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B99C" w14:textId="77777777" w:rsidR="00673D3F" w:rsidRPr="005459E6" w:rsidRDefault="00673D3F" w:rsidP="00042CB0">
      <w:pPr>
        <w:spacing w:line="360" w:lineRule="auto"/>
        <w:jc w:val="center"/>
        <w:rPr>
          <w:rFonts w:ascii="Times New Roman" w:hAnsi="Times New Roman" w:cs="Times New Roman"/>
          <w:b/>
          <w:bCs/>
        </w:rPr>
      </w:pPr>
    </w:p>
    <w:p w14:paraId="597B46CA" w14:textId="5F5891C2" w:rsidR="00E25381" w:rsidRPr="005459E6" w:rsidRDefault="001139B7" w:rsidP="00042CB0">
      <w:pPr>
        <w:spacing w:line="360" w:lineRule="auto"/>
        <w:jc w:val="center"/>
        <w:rPr>
          <w:rFonts w:ascii="Times New Roman" w:hAnsi="Times New Roman" w:cs="Times New Roman"/>
          <w:b/>
          <w:bCs/>
        </w:rPr>
      </w:pPr>
      <w:r w:rsidRPr="005459E6">
        <w:rPr>
          <w:rFonts w:ascii="Times New Roman" w:hAnsi="Times New Roman" w:cs="Times New Roman"/>
          <w:b/>
          <w:bCs/>
          <w:noProof/>
        </w:rPr>
        <w:drawing>
          <wp:anchor distT="0" distB="0" distL="0" distR="0" simplePos="0" relativeHeight="251658752" behindDoc="0" locked="0" layoutInCell="1" allowOverlap="1" wp14:anchorId="23090A14" wp14:editId="0475D8D7">
            <wp:simplePos x="0" y="0"/>
            <wp:positionH relativeFrom="margin">
              <wp:posOffset>2408086</wp:posOffset>
            </wp:positionH>
            <wp:positionV relativeFrom="paragraph">
              <wp:posOffset>268743</wp:posOffset>
            </wp:positionV>
            <wp:extent cx="947157" cy="945641"/>
            <wp:effectExtent l="0" t="0" r="5715" b="6985"/>
            <wp:wrapTopAndBottom/>
            <wp:docPr id="15" name="image1.jpeg"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descr="A picture containing text, ceramic ware, porcelain&#10;&#10;Description automatically generated"/>
                    <pic:cNvPicPr/>
                  </pic:nvPicPr>
                  <pic:blipFill>
                    <a:blip r:embed="rId9" cstate="print"/>
                    <a:stretch>
                      <a:fillRect/>
                    </a:stretch>
                  </pic:blipFill>
                  <pic:spPr>
                    <a:xfrm>
                      <a:off x="0" y="0"/>
                      <a:ext cx="947157" cy="945641"/>
                    </a:xfrm>
                    <a:prstGeom prst="rect">
                      <a:avLst/>
                    </a:prstGeom>
                  </pic:spPr>
                </pic:pic>
              </a:graphicData>
            </a:graphic>
          </wp:anchor>
        </w:drawing>
      </w:r>
      <w:r w:rsidR="0064352A" w:rsidRPr="005459E6">
        <w:rPr>
          <w:rFonts w:ascii="Times New Roman" w:hAnsi="Times New Roman" w:cs="Times New Roman"/>
          <w:b/>
          <w:bCs/>
        </w:rPr>
        <w:t>Università degli Studi di Napoli — Federico II</w:t>
      </w:r>
    </w:p>
    <w:p w14:paraId="135E5C33" w14:textId="11D5D1AC" w:rsidR="0050199B" w:rsidRPr="005459E6" w:rsidRDefault="001139B7" w:rsidP="00042CB0">
      <w:pPr>
        <w:spacing w:line="360" w:lineRule="auto"/>
        <w:jc w:val="center"/>
        <w:rPr>
          <w:rFonts w:ascii="Times New Roman" w:hAnsi="Times New Roman" w:cs="Times New Roman"/>
          <w:b/>
          <w:bCs/>
        </w:rPr>
      </w:pPr>
      <w:r w:rsidRPr="005459E6">
        <w:rPr>
          <w:rFonts w:ascii="Times New Roman" w:hAnsi="Times New Roman" w:cs="Times New Roman"/>
          <w:b/>
          <w:bCs/>
        </w:rPr>
        <w:t>Dipartimento di Economia, Management, Istituzioni</w:t>
      </w:r>
    </w:p>
    <w:p w14:paraId="7AA85ED7" w14:textId="77777777" w:rsidR="0050199B" w:rsidRPr="005459E6" w:rsidRDefault="0050199B" w:rsidP="00042CB0">
      <w:pPr>
        <w:spacing w:line="360" w:lineRule="auto"/>
        <w:jc w:val="center"/>
        <w:rPr>
          <w:rFonts w:ascii="Times New Roman" w:hAnsi="Times New Roman" w:cs="Times New Roman"/>
          <w:b/>
          <w:bCs/>
        </w:rPr>
      </w:pPr>
    </w:p>
    <w:p w14:paraId="10E18077" w14:textId="52D95EDE" w:rsidR="0050199B" w:rsidRPr="005459E6" w:rsidRDefault="0050199B" w:rsidP="00042CB0">
      <w:pPr>
        <w:spacing w:line="360" w:lineRule="auto"/>
        <w:jc w:val="center"/>
        <w:rPr>
          <w:rFonts w:ascii="Times New Roman" w:hAnsi="Times New Roman" w:cs="Times New Roman"/>
          <w:b/>
          <w:bCs/>
        </w:rPr>
      </w:pPr>
      <w:r w:rsidRPr="005459E6">
        <w:rPr>
          <w:rFonts w:ascii="Times New Roman" w:hAnsi="Times New Roman" w:cs="Times New Roman"/>
          <w:b/>
          <w:bCs/>
        </w:rPr>
        <w:t>Dottorato in Management</w:t>
      </w:r>
    </w:p>
    <w:p w14:paraId="1ABCEF41" w14:textId="58B95A88" w:rsidR="003E3A36" w:rsidRPr="005459E6" w:rsidRDefault="0050199B" w:rsidP="00042CB0">
      <w:pPr>
        <w:spacing w:line="360" w:lineRule="auto"/>
        <w:jc w:val="center"/>
        <w:rPr>
          <w:rFonts w:ascii="Times New Roman" w:hAnsi="Times New Roman" w:cs="Times New Roman"/>
          <w:b/>
          <w:bCs/>
        </w:rPr>
      </w:pPr>
      <w:r w:rsidRPr="005459E6">
        <w:rPr>
          <w:rFonts w:ascii="Times New Roman" w:hAnsi="Times New Roman" w:cs="Times New Roman"/>
          <w:b/>
          <w:bCs/>
        </w:rPr>
        <w:t xml:space="preserve">XXXIV </w:t>
      </w:r>
      <w:r w:rsidR="00190A78" w:rsidRPr="005459E6">
        <w:rPr>
          <w:rFonts w:ascii="Times New Roman" w:hAnsi="Times New Roman" w:cs="Times New Roman"/>
          <w:b/>
          <w:bCs/>
        </w:rPr>
        <w:t>ciclo</w:t>
      </w:r>
    </w:p>
    <w:p w14:paraId="5D334DFA" w14:textId="77777777" w:rsidR="003E3A36" w:rsidRPr="005459E6" w:rsidRDefault="003E3A36" w:rsidP="00042CB0">
      <w:pPr>
        <w:spacing w:line="360" w:lineRule="auto"/>
        <w:jc w:val="center"/>
        <w:rPr>
          <w:rFonts w:ascii="Times New Roman" w:hAnsi="Times New Roman" w:cs="Times New Roman"/>
          <w:b/>
          <w:bCs/>
        </w:rPr>
      </w:pPr>
      <w:r w:rsidRPr="005459E6">
        <w:rPr>
          <w:rFonts w:ascii="Times New Roman" w:hAnsi="Times New Roman" w:cs="Times New Roman"/>
          <w:b/>
          <w:bCs/>
        </w:rPr>
        <w:t>Coordinatore: Chiar.ma Prof.ssa Cristina Mele</w:t>
      </w:r>
    </w:p>
    <w:p w14:paraId="55042CB7" w14:textId="77777777" w:rsidR="007E34B7" w:rsidRPr="005459E6" w:rsidRDefault="007E34B7" w:rsidP="00270B39">
      <w:pPr>
        <w:spacing w:line="360" w:lineRule="auto"/>
        <w:rPr>
          <w:rFonts w:ascii="Times New Roman" w:hAnsi="Times New Roman" w:cs="Times New Roman"/>
          <w:b/>
          <w:bCs/>
        </w:rPr>
      </w:pPr>
    </w:p>
    <w:p w14:paraId="4D839FCD" w14:textId="77777777" w:rsidR="00270B39" w:rsidRPr="005459E6" w:rsidRDefault="00270B39" w:rsidP="00270B39">
      <w:pPr>
        <w:spacing w:line="360" w:lineRule="auto"/>
        <w:rPr>
          <w:rFonts w:ascii="Times New Roman" w:hAnsi="Times New Roman" w:cs="Times New Roman"/>
          <w:b/>
          <w:bCs/>
        </w:rPr>
      </w:pPr>
    </w:p>
    <w:p w14:paraId="0959AD15" w14:textId="354BDCFD" w:rsidR="00CD466C" w:rsidRPr="005459E6" w:rsidRDefault="007D2BCF" w:rsidP="00042CB0">
      <w:pPr>
        <w:spacing w:line="360" w:lineRule="auto"/>
        <w:jc w:val="center"/>
        <w:rPr>
          <w:rFonts w:ascii="Times New Roman" w:hAnsi="Times New Roman" w:cs="Times New Roman"/>
          <w:b/>
          <w:bCs/>
        </w:rPr>
      </w:pPr>
      <w:r w:rsidRPr="005459E6">
        <w:rPr>
          <w:rFonts w:ascii="Times New Roman" w:hAnsi="Times New Roman" w:cs="Times New Roman"/>
          <w:b/>
          <w:bCs/>
        </w:rPr>
        <w:t>AUGMENTING PSYCHOLOGICAL WELL-BEING USING ARTIFICIAL INTELLIGENCE:</w:t>
      </w:r>
    </w:p>
    <w:p w14:paraId="7DDA42C7" w14:textId="546387B2" w:rsidR="00E25381" w:rsidRPr="005459E6" w:rsidRDefault="00CD466C" w:rsidP="00042CB0">
      <w:pPr>
        <w:spacing w:line="360" w:lineRule="auto"/>
        <w:jc w:val="center"/>
        <w:rPr>
          <w:rFonts w:ascii="Times New Roman" w:hAnsi="Times New Roman" w:cs="Times New Roman"/>
          <w:b/>
          <w:bCs/>
          <w:sz w:val="24"/>
          <w:szCs w:val="24"/>
        </w:rPr>
      </w:pPr>
      <w:r w:rsidRPr="005459E6">
        <w:rPr>
          <w:rFonts w:ascii="Times New Roman" w:hAnsi="Times New Roman" w:cs="Times New Roman"/>
          <w:b/>
          <w:bCs/>
          <w:sz w:val="24"/>
          <w:szCs w:val="24"/>
        </w:rPr>
        <w:t>Reflections on the Workplace Productivity</w:t>
      </w:r>
    </w:p>
    <w:p w14:paraId="07AB5EE1" w14:textId="77777777" w:rsidR="00CD466C" w:rsidRPr="005459E6" w:rsidRDefault="00CD466C" w:rsidP="00042CB0">
      <w:pPr>
        <w:spacing w:line="360" w:lineRule="auto"/>
        <w:jc w:val="center"/>
        <w:rPr>
          <w:rFonts w:ascii="Times New Roman" w:hAnsi="Times New Roman" w:cs="Times New Roman"/>
          <w:b/>
          <w:bCs/>
        </w:rPr>
      </w:pPr>
    </w:p>
    <w:p w14:paraId="294DEDA3" w14:textId="77777777" w:rsidR="00851078" w:rsidRPr="005459E6" w:rsidRDefault="00851078" w:rsidP="00042CB0">
      <w:pPr>
        <w:spacing w:line="360" w:lineRule="auto"/>
        <w:jc w:val="center"/>
        <w:rPr>
          <w:rFonts w:ascii="Times New Roman" w:hAnsi="Times New Roman" w:cs="Times New Roman"/>
          <w:b/>
          <w:bCs/>
        </w:rPr>
      </w:pPr>
    </w:p>
    <w:p w14:paraId="4793FE8B" w14:textId="77777777" w:rsidR="00851078" w:rsidRPr="005459E6" w:rsidRDefault="00851078" w:rsidP="00042CB0">
      <w:pPr>
        <w:spacing w:line="360" w:lineRule="auto"/>
        <w:jc w:val="center"/>
        <w:rPr>
          <w:rFonts w:ascii="Times New Roman" w:hAnsi="Times New Roman" w:cs="Times New Roman"/>
          <w:b/>
          <w:bCs/>
        </w:rPr>
      </w:pPr>
    </w:p>
    <w:p w14:paraId="7622738B" w14:textId="77777777" w:rsidR="00C54843" w:rsidRPr="005459E6" w:rsidRDefault="00C54843" w:rsidP="00042CB0">
      <w:pPr>
        <w:spacing w:line="360" w:lineRule="auto"/>
        <w:jc w:val="center"/>
        <w:rPr>
          <w:rFonts w:ascii="Times New Roman" w:hAnsi="Times New Roman" w:cs="Times New Roman"/>
        </w:rPr>
      </w:pPr>
      <w:r w:rsidRPr="005459E6">
        <w:rPr>
          <w:rFonts w:ascii="Times New Roman" w:hAnsi="Times New Roman" w:cs="Times New Roman"/>
        </w:rPr>
        <w:t>Anno Accademico 2020-2021</w:t>
      </w:r>
    </w:p>
    <w:p w14:paraId="080B7DC7" w14:textId="77777777" w:rsidR="00E25381" w:rsidRPr="005459E6" w:rsidRDefault="00E25381" w:rsidP="00042CB0">
      <w:pPr>
        <w:spacing w:line="360" w:lineRule="auto"/>
        <w:jc w:val="center"/>
        <w:rPr>
          <w:rFonts w:ascii="Times New Roman" w:hAnsi="Times New Roman" w:cs="Times New Roman"/>
          <w:b/>
          <w:bCs/>
        </w:rPr>
      </w:pPr>
    </w:p>
    <w:p w14:paraId="670B3FEC" w14:textId="77777777" w:rsidR="00CD466C" w:rsidRPr="005459E6" w:rsidRDefault="00CD466C" w:rsidP="00042CB0">
      <w:pPr>
        <w:spacing w:line="360" w:lineRule="auto"/>
        <w:jc w:val="center"/>
        <w:rPr>
          <w:rFonts w:ascii="Times New Roman" w:hAnsi="Times New Roman" w:cs="Times New Roman"/>
          <w:b/>
          <w:bCs/>
        </w:rPr>
      </w:pPr>
    </w:p>
    <w:p w14:paraId="5BD497CE" w14:textId="1F3DC85E" w:rsidR="00CD466C" w:rsidRPr="005459E6" w:rsidRDefault="003C6645" w:rsidP="003C6645">
      <w:pPr>
        <w:spacing w:line="360" w:lineRule="auto"/>
        <w:rPr>
          <w:rFonts w:ascii="Times New Roman" w:hAnsi="Times New Roman" w:cs="Times New Roman"/>
          <w:b/>
          <w:bCs/>
        </w:rPr>
      </w:pPr>
      <w:r w:rsidRPr="005459E6">
        <w:rPr>
          <w:rFonts w:ascii="Times New Roman" w:hAnsi="Times New Roman" w:cs="Times New Roman"/>
          <w:b/>
          <w:bCs/>
        </w:rPr>
        <w:t xml:space="preserve">                  </w:t>
      </w:r>
      <w:r w:rsidR="00CD466C" w:rsidRPr="005459E6">
        <w:rPr>
          <w:rFonts w:ascii="Times New Roman" w:hAnsi="Times New Roman" w:cs="Times New Roman"/>
          <w:b/>
          <w:bCs/>
        </w:rPr>
        <w:t>Supervisor:</w:t>
      </w:r>
      <w:r w:rsidR="003352CC" w:rsidRPr="005459E6">
        <w:rPr>
          <w:rFonts w:ascii="Times New Roman" w:hAnsi="Times New Roman" w:cs="Times New Roman"/>
          <w:b/>
          <w:bCs/>
        </w:rPr>
        <w:t xml:space="preserve">                              </w:t>
      </w:r>
      <w:r w:rsidRPr="005459E6">
        <w:rPr>
          <w:rFonts w:ascii="Times New Roman" w:hAnsi="Times New Roman" w:cs="Times New Roman"/>
          <w:b/>
          <w:bCs/>
        </w:rPr>
        <w:t xml:space="preserve">                 </w:t>
      </w:r>
      <w:r w:rsidR="003352CC" w:rsidRPr="005459E6">
        <w:rPr>
          <w:rFonts w:ascii="Times New Roman" w:hAnsi="Times New Roman" w:cs="Times New Roman"/>
          <w:b/>
          <w:bCs/>
        </w:rPr>
        <w:t xml:space="preserve">                         </w:t>
      </w:r>
      <w:r w:rsidR="00CD466C" w:rsidRPr="005459E6">
        <w:rPr>
          <w:rFonts w:ascii="Times New Roman" w:hAnsi="Times New Roman" w:cs="Times New Roman"/>
          <w:b/>
          <w:bCs/>
        </w:rPr>
        <w:t xml:space="preserve"> Candidato</w:t>
      </w:r>
      <w:r w:rsidR="003352CC" w:rsidRPr="005459E6">
        <w:rPr>
          <w:rFonts w:ascii="Times New Roman" w:hAnsi="Times New Roman" w:cs="Times New Roman"/>
          <w:b/>
          <w:bCs/>
        </w:rPr>
        <w:t>:</w:t>
      </w:r>
    </w:p>
    <w:p w14:paraId="65AAF29B" w14:textId="43588DBF" w:rsidR="003352CC" w:rsidRPr="005459E6" w:rsidRDefault="003352CC" w:rsidP="00042CB0">
      <w:pPr>
        <w:spacing w:line="360" w:lineRule="auto"/>
        <w:jc w:val="center"/>
        <w:rPr>
          <w:rFonts w:ascii="Times New Roman" w:hAnsi="Times New Roman" w:cs="Times New Roman"/>
          <w:b/>
          <w:bCs/>
        </w:rPr>
      </w:pPr>
      <w:r w:rsidRPr="005459E6">
        <w:rPr>
          <w:rFonts w:ascii="Times New Roman" w:hAnsi="Times New Roman" w:cs="Times New Roman"/>
          <w:b/>
          <w:bCs/>
        </w:rPr>
        <w:t>Prof.ssa Cristina Mele                                                        Dott. Swapnil Morande</w:t>
      </w:r>
    </w:p>
    <w:p w14:paraId="1639E401" w14:textId="77777777" w:rsidR="00EA180E" w:rsidRPr="005459E6" w:rsidRDefault="00EA180E" w:rsidP="00042CB0">
      <w:pPr>
        <w:spacing w:line="360" w:lineRule="auto"/>
        <w:jc w:val="both"/>
        <w:rPr>
          <w:rFonts w:ascii="Times New Roman" w:hAnsi="Times New Roman" w:cs="Times New Roman"/>
          <w:b/>
          <w:bCs/>
        </w:rPr>
      </w:pPr>
    </w:p>
    <w:p w14:paraId="153462EA" w14:textId="77777777" w:rsidR="00EA180E" w:rsidRPr="005459E6" w:rsidRDefault="00EA180E" w:rsidP="00042CB0">
      <w:pPr>
        <w:spacing w:line="360" w:lineRule="auto"/>
        <w:jc w:val="both"/>
        <w:rPr>
          <w:rFonts w:ascii="Times New Roman" w:hAnsi="Times New Roman" w:cs="Times New Roman"/>
          <w:b/>
          <w:bCs/>
        </w:rPr>
      </w:pPr>
    </w:p>
    <w:p w14:paraId="15C36348" w14:textId="77777777" w:rsidR="00EA180E" w:rsidRPr="005459E6" w:rsidRDefault="00EA180E" w:rsidP="00042CB0">
      <w:pPr>
        <w:spacing w:line="360" w:lineRule="auto"/>
        <w:jc w:val="both"/>
        <w:rPr>
          <w:rFonts w:ascii="Times New Roman" w:hAnsi="Times New Roman" w:cs="Times New Roman"/>
          <w:b/>
          <w:bCs/>
        </w:rPr>
      </w:pPr>
      <w:r w:rsidRPr="005459E6">
        <w:rPr>
          <w:rFonts w:ascii="Times New Roman" w:hAnsi="Times New Roman" w:cs="Times New Roman"/>
          <w:b/>
          <w:bCs/>
        </w:rPr>
        <w:lastRenderedPageBreak/>
        <w:t>Preface</w:t>
      </w:r>
    </w:p>
    <w:p w14:paraId="03C48472" w14:textId="6D157529"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We are experiencing difficult times while humanity is coping with Covid-19. The associated uncertainty of the pandemic is not only limited to the economic aspect but also increas</w:t>
      </w:r>
      <w:r w:rsidR="0064712B" w:rsidRPr="005459E6">
        <w:rPr>
          <w:rFonts w:ascii="Times New Roman" w:hAnsi="Times New Roman" w:cs="Times New Roman"/>
        </w:rPr>
        <w:t>es</w:t>
      </w:r>
      <w:r w:rsidRPr="005459E6">
        <w:rPr>
          <w:rFonts w:ascii="Times New Roman" w:hAnsi="Times New Roman" w:cs="Times New Roman"/>
        </w:rPr>
        <w:t xml:space="preserve"> the psychological distress of people.  While we are following social distancing protocols to save ourselves from coronavirus, it is affecting us mentally. While I am confident that we will win this battle with the virus: Psychological issues in the form of stress and anxiety are part of our lives and need to be carefully looked at. Also, we must know that lack of human contact cannot be replaced with Mobile applications.  </w:t>
      </w:r>
    </w:p>
    <w:p w14:paraId="2519C13D" w14:textId="77777777"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 xml:space="preserve">Mental health has great importance in our lives, and I would like to contribute with data-driven insights. The idea of the proposed research involves consideration of stressful situations (or stressors) and measurement of associated frequencies using a Brain-Computer Interface (BCI). This dataset was utilized to calculate attributes to develop a robust Machine Learning (ML) model for well-being practices. I believe that recommended ML-based model would be able to support health professionals and therapists offer effective treatment.   I am also confident that the same would reflect on the personal and professional lives of an individual. </w:t>
      </w:r>
    </w:p>
    <w:p w14:paraId="681700FF" w14:textId="77777777"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With this consideration, I leveraged the research foundation at University in Naples, the practical knowledge received at IBM studios, and methodology-driven support from Maastricht University to develop a presented thesis called “Augmenting Psychosomatic Health using Artificial Intelligence (A.I.): Reflections on Workplace productivity. “The research not only reflects upon the application of A.I. in Healthcare but also applies innovative research methods driven by Machine Learning (ML) modeling to enhance the performance of the organization.</w:t>
      </w:r>
    </w:p>
    <w:p w14:paraId="558E2D8C" w14:textId="77777777" w:rsidR="00EA180E" w:rsidRPr="005459E6" w:rsidRDefault="00EA180E" w:rsidP="00042CB0">
      <w:pPr>
        <w:spacing w:line="360" w:lineRule="auto"/>
        <w:jc w:val="both"/>
        <w:rPr>
          <w:rFonts w:ascii="Times New Roman" w:hAnsi="Times New Roman" w:cs="Times New Roman"/>
        </w:rPr>
      </w:pPr>
    </w:p>
    <w:p w14:paraId="4A7637D0" w14:textId="77777777" w:rsidR="00EA180E" w:rsidRPr="005459E6" w:rsidRDefault="00EA180E" w:rsidP="00042CB0">
      <w:pPr>
        <w:spacing w:line="360" w:lineRule="auto"/>
        <w:jc w:val="both"/>
        <w:rPr>
          <w:rFonts w:ascii="Times New Roman" w:hAnsi="Times New Roman" w:cs="Times New Roman"/>
        </w:rPr>
      </w:pPr>
    </w:p>
    <w:p w14:paraId="34480C3E" w14:textId="77777777" w:rsidR="00EA180E" w:rsidRPr="005459E6" w:rsidRDefault="00EA180E" w:rsidP="00042CB0">
      <w:pPr>
        <w:spacing w:line="360" w:lineRule="auto"/>
        <w:jc w:val="both"/>
        <w:rPr>
          <w:rFonts w:ascii="Times New Roman" w:hAnsi="Times New Roman" w:cs="Times New Roman"/>
        </w:rPr>
      </w:pPr>
    </w:p>
    <w:p w14:paraId="4B0A6CA8" w14:textId="77777777" w:rsidR="00EA180E" w:rsidRPr="005459E6" w:rsidRDefault="00EA180E" w:rsidP="00042CB0">
      <w:pPr>
        <w:spacing w:line="360" w:lineRule="auto"/>
        <w:jc w:val="both"/>
        <w:rPr>
          <w:rFonts w:ascii="Times New Roman" w:hAnsi="Times New Roman" w:cs="Times New Roman"/>
        </w:rPr>
      </w:pPr>
    </w:p>
    <w:p w14:paraId="69F74378" w14:textId="77777777" w:rsidR="00EA180E" w:rsidRPr="005459E6" w:rsidRDefault="00EA180E" w:rsidP="00042CB0">
      <w:pPr>
        <w:spacing w:line="360" w:lineRule="auto"/>
        <w:jc w:val="both"/>
        <w:rPr>
          <w:rFonts w:ascii="Times New Roman" w:hAnsi="Times New Roman" w:cs="Times New Roman"/>
        </w:rPr>
      </w:pPr>
    </w:p>
    <w:p w14:paraId="4DE435A6" w14:textId="77777777" w:rsidR="00EA180E" w:rsidRPr="005459E6" w:rsidRDefault="00EA180E" w:rsidP="00042CB0">
      <w:pPr>
        <w:spacing w:line="360" w:lineRule="auto"/>
        <w:jc w:val="both"/>
        <w:rPr>
          <w:rFonts w:ascii="Times New Roman" w:hAnsi="Times New Roman" w:cs="Times New Roman"/>
        </w:rPr>
      </w:pPr>
    </w:p>
    <w:p w14:paraId="46EB0017" w14:textId="77777777" w:rsidR="00EA180E" w:rsidRPr="005459E6" w:rsidRDefault="00EA180E" w:rsidP="00042CB0">
      <w:pPr>
        <w:spacing w:line="360" w:lineRule="auto"/>
        <w:jc w:val="both"/>
        <w:rPr>
          <w:rFonts w:ascii="Times New Roman" w:hAnsi="Times New Roman" w:cs="Times New Roman"/>
        </w:rPr>
      </w:pPr>
    </w:p>
    <w:p w14:paraId="406F4394" w14:textId="77777777" w:rsidR="00EA180E" w:rsidRPr="005459E6" w:rsidRDefault="00EA180E" w:rsidP="00042CB0">
      <w:pPr>
        <w:spacing w:line="360" w:lineRule="auto"/>
        <w:jc w:val="both"/>
        <w:rPr>
          <w:rFonts w:ascii="Times New Roman" w:hAnsi="Times New Roman" w:cs="Times New Roman"/>
        </w:rPr>
      </w:pPr>
    </w:p>
    <w:p w14:paraId="6224B8B4" w14:textId="77777777" w:rsidR="00EA180E" w:rsidRPr="005459E6" w:rsidRDefault="00EA180E" w:rsidP="00042CB0">
      <w:pPr>
        <w:spacing w:line="360" w:lineRule="auto"/>
        <w:jc w:val="both"/>
        <w:rPr>
          <w:rFonts w:ascii="Times New Roman" w:hAnsi="Times New Roman" w:cs="Times New Roman"/>
          <w:b/>
          <w:bCs/>
        </w:rPr>
      </w:pPr>
    </w:p>
    <w:p w14:paraId="35CEC142" w14:textId="29A3CA38" w:rsidR="00EA180E" w:rsidRPr="005459E6" w:rsidRDefault="00EA180E" w:rsidP="00042CB0">
      <w:pPr>
        <w:spacing w:line="360" w:lineRule="auto"/>
        <w:jc w:val="both"/>
        <w:rPr>
          <w:rFonts w:ascii="Times New Roman" w:hAnsi="Times New Roman" w:cs="Times New Roman"/>
          <w:b/>
          <w:bCs/>
        </w:rPr>
      </w:pPr>
      <w:r w:rsidRPr="005459E6">
        <w:rPr>
          <w:rFonts w:ascii="Times New Roman" w:hAnsi="Times New Roman" w:cs="Times New Roman"/>
          <w:b/>
          <w:bCs/>
        </w:rPr>
        <w:lastRenderedPageBreak/>
        <w:t>Acknowledgments</w:t>
      </w:r>
    </w:p>
    <w:p w14:paraId="57D8E215" w14:textId="77777777"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 xml:space="preserve">Although most of my doctoral study period was eclipsed by Covid-19, the research I managed to develop feels me with great pride.  But this pride could never only be mine as I was supported by near and dear once. </w:t>
      </w:r>
    </w:p>
    <w:p w14:paraId="3666290E" w14:textId="0CC62C8F"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 xml:space="preserve">The first comes my mother (Mrs. Mangala Morande) and Vijaya for taking care of all responsibilities while I was out of the country. I was unconditionally supported by Prof. Cristina Mele, Prof. Tiziana Russo-Spena, and Dr. Marco Tregua during this period. The mentoring I received from them in terms of time and access re-enforced my learnings and experiences to </w:t>
      </w:r>
      <w:r w:rsidR="0064712B" w:rsidRPr="005459E6">
        <w:rPr>
          <w:rFonts w:ascii="Times New Roman" w:hAnsi="Times New Roman" w:cs="Times New Roman"/>
        </w:rPr>
        <w:t>the</w:t>
      </w:r>
      <w:r w:rsidRPr="005459E6">
        <w:rPr>
          <w:rFonts w:ascii="Times New Roman" w:hAnsi="Times New Roman" w:cs="Times New Roman"/>
        </w:rPr>
        <w:t xml:space="preserve"> next level. I’ve had a great learning time at IBM Studios with Gianluca Meardi. At the University of Maastricht, I received fulfilling support from Gaby Odekerken-Schroder and Dominik Mahr.</w:t>
      </w:r>
    </w:p>
    <w:p w14:paraId="0841C75F" w14:textId="2DDCFE94"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My friends Francis, Maria Luisa, Erica, Andrea, Fabio, Irene, and Kanwal were also instrumental in making doctoral studies enjoyable.  At the same time, my well-wishers</w:t>
      </w:r>
      <w:r w:rsidR="0064712B" w:rsidRPr="005459E6">
        <w:rPr>
          <w:rFonts w:ascii="Times New Roman" w:hAnsi="Times New Roman" w:cs="Times New Roman"/>
        </w:rPr>
        <w:t>,</w:t>
      </w:r>
      <w:r w:rsidRPr="005459E6">
        <w:rPr>
          <w:rFonts w:ascii="Times New Roman" w:hAnsi="Times New Roman" w:cs="Times New Roman"/>
        </w:rPr>
        <w:t xml:space="preserve"> Miel Surya, Sushmita Mukerji, and Francisco D’souza gave me a lot of confidence when I was feeling down. Finally, Sanju mama, Vidya Mami, Mukta Aatya and Pappa (Mr. Murlidhar Morande) along with my in-laws (especially Shraddha</w:t>
      </w:r>
      <w:r w:rsidR="00CA77B1" w:rsidRPr="005459E6">
        <w:rPr>
          <w:rFonts w:ascii="Times New Roman" w:hAnsi="Times New Roman" w:cs="Times New Roman"/>
        </w:rPr>
        <w:t xml:space="preserve"> and Prashant</w:t>
      </w:r>
      <w:r w:rsidRPr="005459E6">
        <w:rPr>
          <w:rFonts w:ascii="Times New Roman" w:hAnsi="Times New Roman" w:cs="Times New Roman"/>
        </w:rPr>
        <w:t xml:space="preserve">) were always there through thick and thin of my doctoral life. </w:t>
      </w:r>
    </w:p>
    <w:p w14:paraId="5E8A2D59" w14:textId="579C7E3D"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 xml:space="preserve">Covid-19 times experiences of traveling, quarantines and isolation have taught me a lot, and I would have never been able to make it to the other side without constant thoughts of Sanvee and continuous support from university friends. The time I spent away from my motherland has not only made me endure the difficulties but also provided me with a silver lining to achieve a doctorate. </w:t>
      </w:r>
    </w:p>
    <w:p w14:paraId="75FAA51E" w14:textId="77777777"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Cheers!</w:t>
      </w:r>
    </w:p>
    <w:p w14:paraId="2B9D5E6B" w14:textId="77777777" w:rsidR="00EA180E" w:rsidRPr="005459E6" w:rsidRDefault="00EA180E" w:rsidP="00042CB0">
      <w:pPr>
        <w:spacing w:line="360" w:lineRule="auto"/>
        <w:jc w:val="both"/>
        <w:rPr>
          <w:rFonts w:ascii="Times New Roman" w:hAnsi="Times New Roman" w:cs="Times New Roman"/>
        </w:rPr>
      </w:pPr>
      <w:r w:rsidRPr="005459E6">
        <w:rPr>
          <w:rFonts w:ascii="Times New Roman" w:hAnsi="Times New Roman" w:cs="Times New Roman"/>
        </w:rPr>
        <w:t xml:space="preserve"> </w:t>
      </w:r>
    </w:p>
    <w:p w14:paraId="4F3C05B6" w14:textId="77777777" w:rsidR="00EA180E" w:rsidRPr="005459E6" w:rsidRDefault="00EA180E" w:rsidP="00042CB0">
      <w:pPr>
        <w:spacing w:line="360" w:lineRule="auto"/>
        <w:jc w:val="both"/>
        <w:rPr>
          <w:rFonts w:ascii="Times New Roman" w:hAnsi="Times New Roman" w:cs="Times New Roman"/>
        </w:rPr>
      </w:pPr>
    </w:p>
    <w:p w14:paraId="4CB404F6" w14:textId="77777777" w:rsidR="00EA180E" w:rsidRPr="005459E6" w:rsidRDefault="00EA180E" w:rsidP="00042CB0">
      <w:pPr>
        <w:spacing w:line="360" w:lineRule="auto"/>
        <w:jc w:val="both"/>
        <w:rPr>
          <w:rFonts w:ascii="Times New Roman" w:hAnsi="Times New Roman" w:cs="Times New Roman"/>
        </w:rPr>
      </w:pPr>
    </w:p>
    <w:p w14:paraId="312F3626" w14:textId="77777777" w:rsidR="00EA180E" w:rsidRPr="005459E6" w:rsidRDefault="00EA180E" w:rsidP="00042CB0">
      <w:pPr>
        <w:spacing w:line="360" w:lineRule="auto"/>
        <w:jc w:val="both"/>
        <w:rPr>
          <w:rFonts w:ascii="Times New Roman" w:hAnsi="Times New Roman" w:cs="Times New Roman"/>
        </w:rPr>
      </w:pPr>
    </w:p>
    <w:p w14:paraId="200F3951" w14:textId="77777777" w:rsidR="00EA180E" w:rsidRPr="005459E6" w:rsidRDefault="00EA180E" w:rsidP="00042CB0">
      <w:pPr>
        <w:spacing w:line="360" w:lineRule="auto"/>
        <w:jc w:val="both"/>
        <w:rPr>
          <w:rFonts w:ascii="Times New Roman" w:hAnsi="Times New Roman" w:cs="Times New Roman"/>
        </w:rPr>
      </w:pPr>
    </w:p>
    <w:p w14:paraId="1B5489BA" w14:textId="77777777" w:rsidR="00EA180E" w:rsidRPr="005459E6" w:rsidRDefault="00EA180E" w:rsidP="00042CB0">
      <w:pPr>
        <w:spacing w:line="360" w:lineRule="auto"/>
        <w:jc w:val="both"/>
        <w:rPr>
          <w:rFonts w:ascii="Times New Roman" w:hAnsi="Times New Roman" w:cs="Times New Roman"/>
          <w:b/>
          <w:bCs/>
        </w:rPr>
      </w:pPr>
    </w:p>
    <w:p w14:paraId="3BE8D44D" w14:textId="77777777" w:rsidR="003352CC" w:rsidRPr="005459E6" w:rsidRDefault="003352CC" w:rsidP="00042CB0">
      <w:pPr>
        <w:spacing w:line="360" w:lineRule="auto"/>
        <w:jc w:val="both"/>
        <w:rPr>
          <w:rFonts w:ascii="Times New Roman" w:hAnsi="Times New Roman" w:cs="Times New Roman"/>
          <w:b/>
          <w:bCs/>
        </w:rPr>
      </w:pPr>
    </w:p>
    <w:p w14:paraId="0A5AD4F1" w14:textId="77777777" w:rsidR="00EA180E" w:rsidRPr="005459E6" w:rsidRDefault="00EA180E" w:rsidP="00042CB0">
      <w:pPr>
        <w:spacing w:line="360" w:lineRule="auto"/>
        <w:jc w:val="both"/>
        <w:rPr>
          <w:rFonts w:ascii="Times New Roman" w:hAnsi="Times New Roman" w:cs="Times New Roman"/>
        </w:rPr>
      </w:pPr>
    </w:p>
    <w:p w14:paraId="1755B4A2" w14:textId="3B2098A6" w:rsidR="00C56FCC" w:rsidRPr="005459E6" w:rsidRDefault="00C56FCC" w:rsidP="00042CB0">
      <w:pPr>
        <w:autoSpaceDE w:val="0"/>
        <w:autoSpaceDN w:val="0"/>
        <w:adjustRightInd w:val="0"/>
        <w:spacing w:after="0" w:line="360" w:lineRule="auto"/>
        <w:jc w:val="both"/>
        <w:rPr>
          <w:rFonts w:ascii="Times New Roman" w:hAnsi="Times New Roman" w:cs="Times New Roman"/>
          <w:b/>
          <w:bCs/>
        </w:rPr>
      </w:pPr>
      <w:r w:rsidRPr="005459E6">
        <w:rPr>
          <w:rFonts w:ascii="Times New Roman" w:hAnsi="Times New Roman" w:cs="Times New Roman"/>
          <w:b/>
          <w:bCs/>
        </w:rPr>
        <w:lastRenderedPageBreak/>
        <w:t>Overview</w:t>
      </w:r>
    </w:p>
    <w:p w14:paraId="74A5A7DE" w14:textId="6E3F0478" w:rsidR="006A25DD" w:rsidRPr="005459E6" w:rsidRDefault="00730175" w:rsidP="00042CB0">
      <w:pPr>
        <w:autoSpaceDE w:val="0"/>
        <w:autoSpaceDN w:val="0"/>
        <w:adjustRightInd w:val="0"/>
        <w:spacing w:after="0" w:line="360" w:lineRule="auto"/>
        <w:jc w:val="both"/>
        <w:rPr>
          <w:rFonts w:ascii="Times New Roman" w:hAnsi="Times New Roman" w:cs="Times New Roman"/>
        </w:rPr>
      </w:pPr>
      <w:r w:rsidRPr="005459E6">
        <w:rPr>
          <w:rFonts w:ascii="Times New Roman" w:hAnsi="Times New Roman" w:cs="Times New Roman"/>
        </w:rPr>
        <w:t xml:space="preserve">The doctoral thesis, with its interdisciplinary approach, focuses on the augmentation of </w:t>
      </w:r>
      <w:r w:rsidR="00607F65" w:rsidRPr="005459E6">
        <w:rPr>
          <w:rFonts w:ascii="Times New Roman" w:hAnsi="Times New Roman" w:cs="Times New Roman"/>
        </w:rPr>
        <w:t>p</w:t>
      </w:r>
      <w:r w:rsidRPr="005459E6">
        <w:rPr>
          <w:rFonts w:ascii="Times New Roman" w:hAnsi="Times New Roman" w:cs="Times New Roman"/>
        </w:rPr>
        <w:t>sychosomatic health using A.I. and considers its impact</w:t>
      </w:r>
      <w:r w:rsidR="00AD4E84" w:rsidRPr="005459E6">
        <w:rPr>
          <w:rFonts w:ascii="Times New Roman" w:hAnsi="Times New Roman" w:cs="Times New Roman"/>
        </w:rPr>
        <w:t xml:space="preserve"> on a</w:t>
      </w:r>
      <w:r w:rsidR="00A4150A" w:rsidRPr="005459E6">
        <w:rPr>
          <w:rFonts w:ascii="Times New Roman" w:hAnsi="Times New Roman" w:cs="Times New Roman"/>
        </w:rPr>
        <w:t>n</w:t>
      </w:r>
      <w:r w:rsidR="00AD4E84" w:rsidRPr="005459E6">
        <w:rPr>
          <w:rFonts w:ascii="Times New Roman" w:hAnsi="Times New Roman" w:cs="Times New Roman"/>
        </w:rPr>
        <w:t xml:space="preserve"> individual</w:t>
      </w:r>
      <w:r w:rsidRPr="005459E6">
        <w:rPr>
          <w:rFonts w:ascii="Times New Roman" w:hAnsi="Times New Roman" w:cs="Times New Roman"/>
        </w:rPr>
        <w:t xml:space="preserve"> to </w:t>
      </w:r>
      <w:r w:rsidR="00AD4E84" w:rsidRPr="005459E6">
        <w:rPr>
          <w:rFonts w:ascii="Times New Roman" w:hAnsi="Times New Roman" w:cs="Times New Roman"/>
        </w:rPr>
        <w:t>extend</w:t>
      </w:r>
      <w:r w:rsidRPr="005459E6">
        <w:rPr>
          <w:rFonts w:ascii="Times New Roman" w:hAnsi="Times New Roman" w:cs="Times New Roman"/>
        </w:rPr>
        <w:t xml:space="preserve"> reflections on organizational performance.</w:t>
      </w:r>
      <w:r w:rsidR="002B2B2E" w:rsidRPr="005459E6">
        <w:rPr>
          <w:rFonts w:ascii="Times New Roman" w:hAnsi="Times New Roman" w:cs="Times New Roman"/>
        </w:rPr>
        <w:t xml:space="preserve"> </w:t>
      </w:r>
      <w:r w:rsidRPr="005459E6">
        <w:rPr>
          <w:rFonts w:ascii="Times New Roman" w:hAnsi="Times New Roman" w:cs="Times New Roman"/>
        </w:rPr>
        <w:t xml:space="preserve">Health is an essential component of life. We take care of </w:t>
      </w:r>
      <w:r w:rsidR="00957945" w:rsidRPr="005459E6">
        <w:rPr>
          <w:rFonts w:ascii="Times New Roman" w:hAnsi="Times New Roman" w:cs="Times New Roman"/>
        </w:rPr>
        <w:t>p</w:t>
      </w:r>
      <w:r w:rsidRPr="005459E6">
        <w:rPr>
          <w:rFonts w:ascii="Times New Roman" w:hAnsi="Times New Roman" w:cs="Times New Roman"/>
        </w:rPr>
        <w:t xml:space="preserve">hysical health, but mental health is usually taken for granted where it must be given the same care and importance. Psychosomatic health is nothing but </w:t>
      </w:r>
      <w:r w:rsidR="00C1637E" w:rsidRPr="005459E6">
        <w:rPr>
          <w:rFonts w:ascii="Times New Roman" w:hAnsi="Times New Roman" w:cs="Times New Roman"/>
        </w:rPr>
        <w:t>a</w:t>
      </w:r>
      <w:r w:rsidRPr="005459E6">
        <w:rPr>
          <w:rFonts w:ascii="Times New Roman" w:hAnsi="Times New Roman" w:cs="Times New Roman"/>
        </w:rPr>
        <w:t xml:space="preserve"> </w:t>
      </w:r>
      <w:r w:rsidR="00F979B8" w:rsidRPr="005459E6">
        <w:rPr>
          <w:rFonts w:ascii="Times New Roman" w:hAnsi="Times New Roman" w:cs="Times New Roman"/>
        </w:rPr>
        <w:t>holistic reflection</w:t>
      </w:r>
      <w:r w:rsidRPr="005459E6">
        <w:rPr>
          <w:rFonts w:ascii="Times New Roman" w:hAnsi="Times New Roman" w:cs="Times New Roman"/>
        </w:rPr>
        <w:t xml:space="preserve"> of both the physical and mental health of an individual. As per the pilot study, the root causes of the same are related to events </w:t>
      </w:r>
      <w:r w:rsidR="00C1637E" w:rsidRPr="005459E6">
        <w:rPr>
          <w:rFonts w:ascii="Times New Roman" w:hAnsi="Times New Roman" w:cs="Times New Roman"/>
        </w:rPr>
        <w:t>relating to</w:t>
      </w:r>
      <w:r w:rsidRPr="005459E6">
        <w:rPr>
          <w:rFonts w:ascii="Times New Roman" w:hAnsi="Times New Roman" w:cs="Times New Roman"/>
        </w:rPr>
        <w:t xml:space="preserve"> workplaces, finances, and relationships. </w:t>
      </w:r>
      <w:r w:rsidR="001D7947" w:rsidRPr="005459E6">
        <w:rPr>
          <w:rFonts w:ascii="Times New Roman" w:hAnsi="Times New Roman" w:cs="Times New Roman"/>
        </w:rPr>
        <w:t>As</w:t>
      </w:r>
      <w:r w:rsidRPr="005459E6">
        <w:rPr>
          <w:rFonts w:ascii="Times New Roman" w:hAnsi="Times New Roman" w:cs="Times New Roman"/>
        </w:rPr>
        <w:t xml:space="preserve"> studies indicate</w:t>
      </w:r>
      <w:r w:rsidR="005D7B25" w:rsidRPr="005459E6">
        <w:rPr>
          <w:rFonts w:ascii="Times New Roman" w:hAnsi="Times New Roman" w:cs="Times New Roman"/>
        </w:rPr>
        <w:t>,</w:t>
      </w:r>
      <w:r w:rsidRPr="005459E6">
        <w:rPr>
          <w:rFonts w:ascii="Times New Roman" w:hAnsi="Times New Roman" w:cs="Times New Roman"/>
        </w:rPr>
        <w:t xml:space="preserve"> stress, anxiety, and depression are the signs of degrading mental health</w:t>
      </w:r>
      <w:r w:rsidR="001D7947" w:rsidRPr="005459E6">
        <w:rPr>
          <w:rFonts w:ascii="Times New Roman" w:hAnsi="Times New Roman" w:cs="Times New Roman"/>
        </w:rPr>
        <w:t>; c</w:t>
      </w:r>
      <w:r w:rsidR="00E51006" w:rsidRPr="005459E6">
        <w:rPr>
          <w:rFonts w:ascii="Times New Roman" w:hAnsi="Times New Roman" w:cs="Times New Roman"/>
        </w:rPr>
        <w:t xml:space="preserve">onsidering </w:t>
      </w:r>
      <w:r w:rsidR="002221F7" w:rsidRPr="005459E6">
        <w:rPr>
          <w:rFonts w:ascii="Times New Roman" w:hAnsi="Times New Roman" w:cs="Times New Roman"/>
        </w:rPr>
        <w:t>service research priorities</w:t>
      </w:r>
      <w:r w:rsidR="00DC20DD" w:rsidRPr="005459E6">
        <w:rPr>
          <w:rFonts w:ascii="Times New Roman" w:hAnsi="Times New Roman" w:cs="Times New Roman"/>
        </w:rPr>
        <w:t>,</w:t>
      </w:r>
      <w:r w:rsidR="002221F7" w:rsidRPr="005459E6">
        <w:rPr>
          <w:rFonts w:ascii="Times New Roman" w:hAnsi="Times New Roman" w:cs="Times New Roman"/>
        </w:rPr>
        <w:t xml:space="preserve"> </w:t>
      </w:r>
      <w:r w:rsidR="00942502" w:rsidRPr="005459E6">
        <w:rPr>
          <w:rFonts w:ascii="Times New Roman" w:hAnsi="Times New Roman" w:cs="Times New Roman"/>
        </w:rPr>
        <w:t xml:space="preserve">the </w:t>
      </w:r>
      <w:r w:rsidR="00C1637E" w:rsidRPr="005459E6">
        <w:rPr>
          <w:rFonts w:ascii="Times New Roman" w:hAnsi="Times New Roman" w:cs="Times New Roman"/>
        </w:rPr>
        <w:t xml:space="preserve">presented study </w:t>
      </w:r>
      <w:r w:rsidR="002F4B72" w:rsidRPr="005459E6">
        <w:rPr>
          <w:rFonts w:ascii="Times New Roman" w:hAnsi="Times New Roman" w:cs="Times New Roman"/>
        </w:rPr>
        <w:t xml:space="preserve">empirically explores </w:t>
      </w:r>
      <w:r w:rsidR="00DC20DD" w:rsidRPr="005459E6">
        <w:rPr>
          <w:rFonts w:ascii="Times New Roman" w:hAnsi="Times New Roman" w:cs="Times New Roman"/>
        </w:rPr>
        <w:t xml:space="preserve">the </w:t>
      </w:r>
      <w:r w:rsidR="002F4B72" w:rsidRPr="005459E6">
        <w:rPr>
          <w:rFonts w:ascii="Times New Roman" w:hAnsi="Times New Roman" w:cs="Times New Roman"/>
        </w:rPr>
        <w:t xml:space="preserve">impact of positive emotions on psychological well-being. </w:t>
      </w:r>
      <w:r w:rsidR="00442494" w:rsidRPr="005459E6">
        <w:rPr>
          <w:rFonts w:ascii="Times New Roman" w:hAnsi="Times New Roman" w:cs="Times New Roman"/>
        </w:rPr>
        <w:t>Observing the complexity of neural constructs</w:t>
      </w:r>
      <w:r w:rsidR="005D7B25" w:rsidRPr="005459E6">
        <w:rPr>
          <w:rFonts w:ascii="Times New Roman" w:hAnsi="Times New Roman" w:cs="Times New Roman"/>
        </w:rPr>
        <w:t>,</w:t>
      </w:r>
      <w:r w:rsidR="00442494" w:rsidRPr="005459E6">
        <w:rPr>
          <w:rFonts w:ascii="Times New Roman" w:hAnsi="Times New Roman" w:cs="Times New Roman"/>
        </w:rPr>
        <w:t xml:space="preserve"> </w:t>
      </w:r>
      <w:r w:rsidR="001D7947" w:rsidRPr="005459E6">
        <w:rPr>
          <w:rFonts w:ascii="Times New Roman" w:hAnsi="Times New Roman" w:cs="Times New Roman"/>
        </w:rPr>
        <w:t xml:space="preserve">Artificial Intelligence </w:t>
      </w:r>
      <w:r w:rsidR="00442494" w:rsidRPr="005459E6">
        <w:rPr>
          <w:rFonts w:ascii="Times New Roman" w:hAnsi="Times New Roman" w:cs="Times New Roman"/>
        </w:rPr>
        <w:t>is deploy</w:t>
      </w:r>
      <w:r w:rsidR="00DC20DD" w:rsidRPr="005459E6">
        <w:rPr>
          <w:rFonts w:ascii="Times New Roman" w:hAnsi="Times New Roman" w:cs="Times New Roman"/>
        </w:rPr>
        <w:t>ed</w:t>
      </w:r>
      <w:r w:rsidR="00442494" w:rsidRPr="005459E6">
        <w:rPr>
          <w:rFonts w:ascii="Times New Roman" w:hAnsi="Times New Roman" w:cs="Times New Roman"/>
        </w:rPr>
        <w:t xml:space="preserve"> to be able to </w:t>
      </w:r>
      <w:r w:rsidR="006A25DD" w:rsidRPr="005459E6">
        <w:rPr>
          <w:rFonts w:ascii="Times New Roman" w:hAnsi="Times New Roman" w:cs="Times New Roman"/>
        </w:rPr>
        <w:t xml:space="preserve">gain valuable insights. </w:t>
      </w:r>
      <w:r w:rsidR="00DC20DD" w:rsidRPr="005459E6">
        <w:rPr>
          <w:rFonts w:ascii="Times New Roman" w:hAnsi="Times New Roman" w:cs="Times New Roman"/>
        </w:rPr>
        <w:t>A</w:t>
      </w:r>
      <w:r w:rsidR="006A25DD" w:rsidRPr="005459E6">
        <w:rPr>
          <w:rFonts w:ascii="Times New Roman" w:hAnsi="Times New Roman" w:cs="Times New Roman"/>
        </w:rPr>
        <w:t>t the same time</w:t>
      </w:r>
      <w:r w:rsidR="00DC20DD" w:rsidRPr="005459E6">
        <w:rPr>
          <w:rFonts w:ascii="Times New Roman" w:hAnsi="Times New Roman" w:cs="Times New Roman"/>
        </w:rPr>
        <w:t>,</w:t>
      </w:r>
      <w:r w:rsidR="006A25DD" w:rsidRPr="005459E6">
        <w:rPr>
          <w:rFonts w:ascii="Times New Roman" w:hAnsi="Times New Roman" w:cs="Times New Roman"/>
        </w:rPr>
        <w:t xml:space="preserve"> keeping a managerial point of view in </w:t>
      </w:r>
      <w:r w:rsidR="001D7947" w:rsidRPr="005459E6">
        <w:rPr>
          <w:rFonts w:ascii="Times New Roman" w:hAnsi="Times New Roman" w:cs="Times New Roman"/>
        </w:rPr>
        <w:t>research</w:t>
      </w:r>
      <w:r w:rsidR="006A25DD" w:rsidRPr="005459E6">
        <w:rPr>
          <w:rFonts w:ascii="Times New Roman" w:hAnsi="Times New Roman" w:cs="Times New Roman"/>
        </w:rPr>
        <w:t xml:space="preserve"> reflects on co-created value in an organization achieved through </w:t>
      </w:r>
      <w:r w:rsidR="00894A4B" w:rsidRPr="005459E6">
        <w:rPr>
          <w:rFonts w:ascii="Times New Roman" w:hAnsi="Times New Roman" w:cs="Times New Roman"/>
        </w:rPr>
        <w:t xml:space="preserve">a </w:t>
      </w:r>
      <w:r w:rsidR="00C1637E" w:rsidRPr="005459E6">
        <w:rPr>
          <w:rFonts w:ascii="Times New Roman" w:hAnsi="Times New Roman" w:cs="Times New Roman"/>
        </w:rPr>
        <w:t xml:space="preserve">person’s </w:t>
      </w:r>
      <w:r w:rsidR="006A25DD" w:rsidRPr="005459E6">
        <w:rPr>
          <w:rFonts w:ascii="Times New Roman" w:hAnsi="Times New Roman" w:cs="Times New Roman"/>
        </w:rPr>
        <w:t>well-being.</w:t>
      </w:r>
    </w:p>
    <w:p w14:paraId="77169673" w14:textId="2325E4A9" w:rsidR="0032689E" w:rsidRPr="005459E6" w:rsidRDefault="0032689E" w:rsidP="00042CB0">
      <w:pPr>
        <w:autoSpaceDE w:val="0"/>
        <w:autoSpaceDN w:val="0"/>
        <w:adjustRightInd w:val="0"/>
        <w:spacing w:after="0" w:line="360" w:lineRule="auto"/>
        <w:jc w:val="both"/>
        <w:rPr>
          <w:rFonts w:ascii="Times New Roman" w:hAnsi="Times New Roman" w:cs="Times New Roman"/>
        </w:rPr>
      </w:pPr>
    </w:p>
    <w:p w14:paraId="3BCDFED1" w14:textId="33FFBB9D" w:rsidR="00704C33" w:rsidRPr="005459E6" w:rsidRDefault="00730175" w:rsidP="00042CB0">
      <w:pPr>
        <w:autoSpaceDE w:val="0"/>
        <w:autoSpaceDN w:val="0"/>
        <w:adjustRightInd w:val="0"/>
        <w:spacing w:after="0" w:line="360" w:lineRule="auto"/>
        <w:jc w:val="both"/>
        <w:rPr>
          <w:rFonts w:ascii="Times New Roman" w:hAnsi="Times New Roman" w:cs="Times New Roman"/>
        </w:rPr>
      </w:pPr>
      <w:r w:rsidRPr="005459E6">
        <w:rPr>
          <w:rFonts w:ascii="Times New Roman" w:hAnsi="Times New Roman" w:cs="Times New Roman"/>
        </w:rPr>
        <w:t xml:space="preserve">Literature suggests </w:t>
      </w:r>
      <w:r w:rsidR="005D7B25" w:rsidRPr="005459E6">
        <w:rPr>
          <w:rFonts w:ascii="Times New Roman" w:hAnsi="Times New Roman" w:cs="Times New Roman"/>
        </w:rPr>
        <w:t xml:space="preserve">that </w:t>
      </w:r>
      <w:r w:rsidRPr="005459E6">
        <w:rPr>
          <w:rFonts w:ascii="Times New Roman" w:hAnsi="Times New Roman" w:cs="Times New Roman"/>
        </w:rPr>
        <w:t xml:space="preserve">seeking </w:t>
      </w:r>
      <w:r w:rsidR="001D7947" w:rsidRPr="005459E6">
        <w:rPr>
          <w:rFonts w:ascii="Times New Roman" w:hAnsi="Times New Roman" w:cs="Times New Roman"/>
        </w:rPr>
        <w:t>therapy may</w:t>
      </w:r>
      <w:r w:rsidRPr="005459E6">
        <w:rPr>
          <w:rFonts w:ascii="Times New Roman" w:hAnsi="Times New Roman" w:cs="Times New Roman"/>
        </w:rPr>
        <w:t xml:space="preserve"> be the only option</w:t>
      </w:r>
      <w:r w:rsidR="001D7947" w:rsidRPr="005459E6">
        <w:rPr>
          <w:rFonts w:ascii="Times New Roman" w:hAnsi="Times New Roman" w:cs="Times New Roman"/>
        </w:rPr>
        <w:t xml:space="preserve"> while dealing with psychological </w:t>
      </w:r>
      <w:r w:rsidR="00A352A7" w:rsidRPr="005459E6">
        <w:rPr>
          <w:rFonts w:ascii="Times New Roman" w:hAnsi="Times New Roman" w:cs="Times New Roman"/>
        </w:rPr>
        <w:t>issues,</w:t>
      </w:r>
      <w:r w:rsidRPr="005459E6">
        <w:rPr>
          <w:rFonts w:ascii="Times New Roman" w:hAnsi="Times New Roman" w:cs="Times New Roman"/>
        </w:rPr>
        <w:t xml:space="preserve"> but it could be a time-consuming, expensive process with limited access to society. We do have technologies that have advanced over the last few decades but are mainly focused on supporting physical health. The presented study offers insight into how it can be used to support </w:t>
      </w:r>
      <w:r w:rsidR="00957945" w:rsidRPr="005459E6">
        <w:rPr>
          <w:rFonts w:ascii="Times New Roman" w:hAnsi="Times New Roman" w:cs="Times New Roman"/>
        </w:rPr>
        <w:t>psychological</w:t>
      </w:r>
      <w:r w:rsidRPr="005459E6">
        <w:rPr>
          <w:rFonts w:ascii="Times New Roman" w:hAnsi="Times New Roman" w:cs="Times New Roman"/>
        </w:rPr>
        <w:t xml:space="preserve"> health</w:t>
      </w:r>
      <w:r w:rsidR="006A25DD" w:rsidRPr="005459E6">
        <w:rPr>
          <w:rFonts w:ascii="Times New Roman" w:hAnsi="Times New Roman" w:cs="Times New Roman"/>
        </w:rPr>
        <w:t xml:space="preserve"> in the form of Machine Learning</w:t>
      </w:r>
      <w:r w:rsidRPr="005459E6">
        <w:rPr>
          <w:rFonts w:ascii="Times New Roman" w:hAnsi="Times New Roman" w:cs="Times New Roman"/>
        </w:rPr>
        <w:t xml:space="preserve">. The study makes use of state-of-the-art Healthcare IoT and Artificial Intelligence </w:t>
      </w:r>
      <w:r w:rsidR="00704C33" w:rsidRPr="005459E6">
        <w:rPr>
          <w:rFonts w:ascii="Times New Roman" w:hAnsi="Times New Roman" w:cs="Times New Roman"/>
        </w:rPr>
        <w:t xml:space="preserve">(A.I.) </w:t>
      </w:r>
      <w:r w:rsidRPr="005459E6">
        <w:rPr>
          <w:rFonts w:ascii="Times New Roman" w:hAnsi="Times New Roman" w:cs="Times New Roman"/>
        </w:rPr>
        <w:t xml:space="preserve">to fulfill the same. It reflects </w:t>
      </w:r>
      <w:r w:rsidR="00704C33" w:rsidRPr="005459E6">
        <w:rPr>
          <w:rFonts w:ascii="Times New Roman" w:hAnsi="Times New Roman" w:cs="Times New Roman"/>
        </w:rPr>
        <w:t xml:space="preserve">on EEG </w:t>
      </w:r>
      <w:r w:rsidRPr="005459E6">
        <w:rPr>
          <w:rFonts w:ascii="Times New Roman" w:hAnsi="Times New Roman" w:cs="Times New Roman"/>
        </w:rPr>
        <w:t>retrieved in the form of brain signals. Based on the adaption of research design termed as ‘Sequential Mixed Method</w:t>
      </w:r>
      <w:r w:rsidR="001D7947" w:rsidRPr="005459E6">
        <w:rPr>
          <w:rFonts w:ascii="Times New Roman" w:hAnsi="Times New Roman" w:cs="Times New Roman"/>
        </w:rPr>
        <w:t>,’</w:t>
      </w:r>
      <w:r w:rsidR="00704C33" w:rsidRPr="005459E6">
        <w:rPr>
          <w:rFonts w:ascii="Times New Roman" w:hAnsi="Times New Roman" w:cs="Times New Roman"/>
        </w:rPr>
        <w:t xml:space="preserve"> study</w:t>
      </w:r>
      <w:r w:rsidRPr="005459E6">
        <w:rPr>
          <w:rFonts w:ascii="Times New Roman" w:hAnsi="Times New Roman" w:cs="Times New Roman"/>
        </w:rPr>
        <w:t xml:space="preserve"> attempts to minimize stress levels of an individual</w:t>
      </w:r>
      <w:r w:rsidR="00704C33" w:rsidRPr="005459E6">
        <w:rPr>
          <w:rFonts w:ascii="Times New Roman" w:hAnsi="Times New Roman" w:cs="Times New Roman"/>
        </w:rPr>
        <w:t xml:space="preserve"> to enhance psychological Well-being.</w:t>
      </w:r>
      <w:r w:rsidR="001D7947" w:rsidRPr="005459E6">
        <w:rPr>
          <w:rFonts w:ascii="Times New Roman" w:hAnsi="Times New Roman" w:cs="Times New Roman"/>
        </w:rPr>
        <w:t xml:space="preserve"> The study extends its application from the personal to a professional arena for enhancing workplace productivity.</w:t>
      </w:r>
    </w:p>
    <w:p w14:paraId="4482B6B6" w14:textId="77777777" w:rsidR="00704C33" w:rsidRPr="005459E6" w:rsidRDefault="00704C33" w:rsidP="00042CB0">
      <w:pPr>
        <w:autoSpaceDE w:val="0"/>
        <w:autoSpaceDN w:val="0"/>
        <w:adjustRightInd w:val="0"/>
        <w:spacing w:after="0" w:line="360" w:lineRule="auto"/>
        <w:jc w:val="both"/>
        <w:rPr>
          <w:rFonts w:ascii="Times New Roman" w:hAnsi="Times New Roman" w:cs="Times New Roman"/>
        </w:rPr>
      </w:pPr>
    </w:p>
    <w:p w14:paraId="4631895C" w14:textId="3FA8A4B7" w:rsidR="00E96618" w:rsidRPr="005459E6" w:rsidRDefault="00730175" w:rsidP="00042CB0">
      <w:pPr>
        <w:autoSpaceDE w:val="0"/>
        <w:autoSpaceDN w:val="0"/>
        <w:adjustRightInd w:val="0"/>
        <w:spacing w:after="0" w:line="360" w:lineRule="auto"/>
        <w:jc w:val="both"/>
        <w:rPr>
          <w:rFonts w:ascii="Times New Roman" w:hAnsi="Times New Roman" w:cs="Times New Roman"/>
        </w:rPr>
      </w:pPr>
      <w:r w:rsidRPr="005459E6">
        <w:rPr>
          <w:rFonts w:ascii="Times New Roman" w:hAnsi="Times New Roman" w:cs="Times New Roman"/>
        </w:rPr>
        <w:t xml:space="preserve">Research design includes experiments with </w:t>
      </w:r>
      <w:r w:rsidR="001D7947" w:rsidRPr="005459E6">
        <w:rPr>
          <w:rFonts w:ascii="Times New Roman" w:hAnsi="Times New Roman" w:cs="Times New Roman"/>
        </w:rPr>
        <w:t xml:space="preserve">predictive </w:t>
      </w:r>
      <w:r w:rsidR="00A352A7" w:rsidRPr="005459E6">
        <w:rPr>
          <w:rFonts w:ascii="Times New Roman" w:hAnsi="Times New Roman" w:cs="Times New Roman"/>
        </w:rPr>
        <w:t>analytics</w:t>
      </w:r>
      <w:r w:rsidRPr="005459E6">
        <w:rPr>
          <w:rFonts w:ascii="Times New Roman" w:hAnsi="Times New Roman" w:cs="Times New Roman"/>
        </w:rPr>
        <w:t xml:space="preserve"> and drives discussions </w:t>
      </w:r>
      <w:r w:rsidR="00C1637E" w:rsidRPr="005459E6">
        <w:rPr>
          <w:rFonts w:ascii="Times New Roman" w:hAnsi="Times New Roman" w:cs="Times New Roman"/>
        </w:rPr>
        <w:t>using</w:t>
      </w:r>
      <w:r w:rsidRPr="005459E6">
        <w:rPr>
          <w:rFonts w:ascii="Times New Roman" w:hAnsi="Times New Roman" w:cs="Times New Roman"/>
        </w:rPr>
        <w:t xml:space="preserve"> Qualitative and Quantitative data.   Based on the information retrieved from the subjects -</w:t>
      </w:r>
      <w:r w:rsidR="00704C33" w:rsidRPr="005459E6">
        <w:rPr>
          <w:rFonts w:ascii="Times New Roman" w:hAnsi="Times New Roman" w:cs="Times New Roman"/>
        </w:rPr>
        <w:t xml:space="preserve"> captured</w:t>
      </w:r>
      <w:r w:rsidRPr="005459E6">
        <w:rPr>
          <w:rFonts w:ascii="Times New Roman" w:hAnsi="Times New Roman" w:cs="Times New Roman"/>
        </w:rPr>
        <w:t xml:space="preserve"> through a BCI and a survey questionnaire, a Machine Learning (ML) model </w:t>
      </w:r>
      <w:r w:rsidR="00C1637E" w:rsidRPr="005459E6">
        <w:rPr>
          <w:rFonts w:ascii="Times New Roman" w:hAnsi="Times New Roman" w:cs="Times New Roman"/>
        </w:rPr>
        <w:t>was</w:t>
      </w:r>
      <w:r w:rsidRPr="005459E6">
        <w:rPr>
          <w:rFonts w:ascii="Times New Roman" w:hAnsi="Times New Roman" w:cs="Times New Roman"/>
        </w:rPr>
        <w:t xml:space="preserve"> developed.</w:t>
      </w:r>
      <w:r w:rsidR="00704C33" w:rsidRPr="005459E6">
        <w:rPr>
          <w:rFonts w:ascii="Times New Roman" w:hAnsi="Times New Roman" w:cs="Times New Roman"/>
        </w:rPr>
        <w:t xml:space="preserve"> In this study</w:t>
      </w:r>
      <w:r w:rsidR="00DC20DD" w:rsidRPr="005459E6">
        <w:rPr>
          <w:rFonts w:ascii="Times New Roman" w:hAnsi="Times New Roman" w:cs="Times New Roman"/>
        </w:rPr>
        <w:t>,</w:t>
      </w:r>
      <w:r w:rsidR="00704C33" w:rsidRPr="005459E6">
        <w:rPr>
          <w:rFonts w:ascii="Times New Roman" w:hAnsi="Times New Roman" w:cs="Times New Roman"/>
        </w:rPr>
        <w:t xml:space="preserve"> we</w:t>
      </w:r>
      <w:r w:rsidRPr="005459E6">
        <w:rPr>
          <w:rFonts w:ascii="Times New Roman" w:hAnsi="Times New Roman" w:cs="Times New Roman"/>
        </w:rPr>
        <w:t xml:space="preserve"> hypothesize that such treatment protocol can accelerate treatments by therapists for the betterment of Psychosomatic health. Not only that, but the use of the ML model can also offer greater scalability reaching out to masses of people for greater access. The well-being achieved can positively reflect on the individual. Through a comprehensive view, it would support a person </w:t>
      </w:r>
      <w:r w:rsidR="00154071" w:rsidRPr="005459E6">
        <w:rPr>
          <w:rFonts w:ascii="Times New Roman" w:hAnsi="Times New Roman" w:cs="Times New Roman"/>
        </w:rPr>
        <w:t>in</w:t>
      </w:r>
      <w:r w:rsidRPr="005459E6">
        <w:rPr>
          <w:rFonts w:ascii="Times New Roman" w:hAnsi="Times New Roman" w:cs="Times New Roman"/>
        </w:rPr>
        <w:t xml:space="preserve"> improv</w:t>
      </w:r>
      <w:r w:rsidR="005D7B25" w:rsidRPr="005459E6">
        <w:rPr>
          <w:rFonts w:ascii="Times New Roman" w:hAnsi="Times New Roman" w:cs="Times New Roman"/>
        </w:rPr>
        <w:t>ing</w:t>
      </w:r>
      <w:r w:rsidRPr="005459E6">
        <w:rPr>
          <w:rFonts w:ascii="Times New Roman" w:hAnsi="Times New Roman" w:cs="Times New Roman"/>
        </w:rPr>
        <w:t xml:space="preserve"> </w:t>
      </w:r>
      <w:r w:rsidR="00154071" w:rsidRPr="005459E6">
        <w:rPr>
          <w:rFonts w:ascii="Times New Roman" w:hAnsi="Times New Roman" w:cs="Times New Roman"/>
        </w:rPr>
        <w:t xml:space="preserve">their </w:t>
      </w:r>
      <w:r w:rsidRPr="005459E6">
        <w:rPr>
          <w:rFonts w:ascii="Times New Roman" w:hAnsi="Times New Roman" w:cs="Times New Roman"/>
        </w:rPr>
        <w:t xml:space="preserve">personal </w:t>
      </w:r>
      <w:r w:rsidR="00704C33" w:rsidRPr="005459E6">
        <w:rPr>
          <w:rFonts w:ascii="Times New Roman" w:hAnsi="Times New Roman" w:cs="Times New Roman"/>
        </w:rPr>
        <w:t xml:space="preserve">and </w:t>
      </w:r>
      <w:r w:rsidRPr="005459E6">
        <w:rPr>
          <w:rFonts w:ascii="Times New Roman" w:hAnsi="Times New Roman" w:cs="Times New Roman"/>
        </w:rPr>
        <w:t>professional</w:t>
      </w:r>
      <w:r w:rsidR="00704C33" w:rsidRPr="005459E6">
        <w:rPr>
          <w:rFonts w:ascii="Times New Roman" w:hAnsi="Times New Roman" w:cs="Times New Roman"/>
        </w:rPr>
        <w:t xml:space="preserve"> life</w:t>
      </w:r>
      <w:r w:rsidRPr="005459E6">
        <w:rPr>
          <w:rFonts w:ascii="Times New Roman" w:hAnsi="Times New Roman" w:cs="Times New Roman"/>
        </w:rPr>
        <w:t xml:space="preserve">. Ultimately </w:t>
      </w:r>
      <w:r w:rsidR="00C1637E" w:rsidRPr="005459E6">
        <w:rPr>
          <w:rFonts w:ascii="Times New Roman" w:hAnsi="Times New Roman" w:cs="Times New Roman"/>
        </w:rPr>
        <w:t xml:space="preserve">given study suggests that the </w:t>
      </w:r>
      <w:r w:rsidRPr="005459E6">
        <w:rPr>
          <w:rFonts w:ascii="Times New Roman" w:hAnsi="Times New Roman" w:cs="Times New Roman"/>
        </w:rPr>
        <w:t>well-being achieve</w:t>
      </w:r>
      <w:r w:rsidR="00704C33" w:rsidRPr="005459E6">
        <w:rPr>
          <w:rFonts w:ascii="Times New Roman" w:hAnsi="Times New Roman" w:cs="Times New Roman"/>
        </w:rPr>
        <w:t>d</w:t>
      </w:r>
      <w:r w:rsidRPr="005459E6">
        <w:rPr>
          <w:rFonts w:ascii="Times New Roman" w:hAnsi="Times New Roman" w:cs="Times New Roman"/>
        </w:rPr>
        <w:t xml:space="preserve"> could further impact organizations, enhancing their overall performance as </w:t>
      </w:r>
      <w:r w:rsidR="001D7947" w:rsidRPr="005459E6">
        <w:rPr>
          <w:rFonts w:ascii="Times New Roman" w:hAnsi="Times New Roman" w:cs="Times New Roman"/>
        </w:rPr>
        <w:t>validated</w:t>
      </w:r>
      <w:r w:rsidRPr="005459E6">
        <w:rPr>
          <w:rFonts w:ascii="Times New Roman" w:hAnsi="Times New Roman" w:cs="Times New Roman"/>
        </w:rPr>
        <w:t xml:space="preserve"> in the presented thesis.</w:t>
      </w:r>
    </w:p>
    <w:p w14:paraId="3FE7571A" w14:textId="77777777" w:rsidR="00EF0334" w:rsidRPr="005459E6" w:rsidRDefault="00EF0334" w:rsidP="00042CB0">
      <w:pPr>
        <w:autoSpaceDE w:val="0"/>
        <w:autoSpaceDN w:val="0"/>
        <w:adjustRightInd w:val="0"/>
        <w:spacing w:after="0" w:line="360" w:lineRule="auto"/>
        <w:jc w:val="both"/>
        <w:rPr>
          <w:rFonts w:ascii="Times New Roman" w:hAnsi="Times New Roman" w:cs="Times New Roman"/>
        </w:rPr>
      </w:pPr>
    </w:p>
    <w:sdt>
      <w:sdtPr>
        <w:rPr>
          <w:rFonts w:ascii="Times New Roman" w:hAnsi="Times New Roman" w:cs="Times New Roman"/>
          <w:color w:val="auto"/>
          <w:sz w:val="22"/>
          <w:szCs w:val="22"/>
        </w:rPr>
        <w:id w:val="405113015"/>
        <w:docPartObj>
          <w:docPartGallery w:val="Table of Contents"/>
          <w:docPartUnique/>
        </w:docPartObj>
      </w:sdtPr>
      <w:sdtEndPr>
        <w:rPr>
          <w:b/>
          <w:bCs/>
          <w:noProof/>
        </w:rPr>
      </w:sdtEndPr>
      <w:sdtContent>
        <w:p w14:paraId="71225EB9" w14:textId="4C142CCF" w:rsidR="00587852" w:rsidRPr="005459E6" w:rsidRDefault="00135FB1" w:rsidP="00042CB0">
          <w:pPr>
            <w:pStyle w:val="Nessunaspaziatura"/>
            <w:spacing w:line="360" w:lineRule="auto"/>
            <w:jc w:val="both"/>
            <w:rPr>
              <w:rFonts w:ascii="Times New Roman" w:hAnsi="Times New Roman" w:cs="Times New Roman"/>
              <w:color w:val="auto"/>
              <w:sz w:val="36"/>
              <w:szCs w:val="36"/>
            </w:rPr>
          </w:pPr>
          <w:r w:rsidRPr="005459E6">
            <w:rPr>
              <w:rFonts w:ascii="Times New Roman" w:hAnsi="Times New Roman" w:cs="Times New Roman"/>
              <w:b/>
              <w:bCs/>
              <w:color w:val="auto"/>
              <w:sz w:val="52"/>
              <w:szCs w:val="52"/>
            </w:rPr>
            <w:t>T</w:t>
          </w:r>
          <w:r w:rsidRPr="005459E6">
            <w:rPr>
              <w:rFonts w:ascii="Times New Roman" w:hAnsi="Times New Roman" w:cs="Times New Roman"/>
              <w:color w:val="auto"/>
              <w:sz w:val="36"/>
              <w:szCs w:val="36"/>
            </w:rPr>
            <w:t>able</w:t>
          </w:r>
          <w:r w:rsidR="00642FBA" w:rsidRPr="005459E6">
            <w:rPr>
              <w:rFonts w:ascii="Times New Roman" w:hAnsi="Times New Roman" w:cs="Times New Roman"/>
              <w:color w:val="auto"/>
              <w:sz w:val="36"/>
              <w:szCs w:val="36"/>
            </w:rPr>
            <w:t xml:space="preserve"> of </w:t>
          </w:r>
          <w:r w:rsidR="00642FBA" w:rsidRPr="005459E6">
            <w:rPr>
              <w:rFonts w:ascii="Times New Roman" w:hAnsi="Times New Roman" w:cs="Times New Roman"/>
              <w:b/>
              <w:bCs/>
              <w:color w:val="auto"/>
              <w:sz w:val="40"/>
              <w:szCs w:val="40"/>
            </w:rPr>
            <w:t>C</w:t>
          </w:r>
          <w:r w:rsidR="00642FBA" w:rsidRPr="005459E6">
            <w:rPr>
              <w:rFonts w:ascii="Times New Roman" w:hAnsi="Times New Roman" w:cs="Times New Roman"/>
              <w:color w:val="auto"/>
              <w:sz w:val="36"/>
              <w:szCs w:val="36"/>
            </w:rPr>
            <w:t>ontents</w:t>
          </w:r>
        </w:p>
        <w:p w14:paraId="73C0C4E5" w14:textId="50967B32" w:rsidR="00C128B5" w:rsidRPr="005459E6" w:rsidRDefault="00642FBA">
          <w:pPr>
            <w:pStyle w:val="Sommario1"/>
            <w:tabs>
              <w:tab w:val="right" w:leader="dot" w:pos="9350"/>
            </w:tabs>
            <w:rPr>
              <w:rFonts w:asciiTheme="minorHAnsi" w:eastAsiaTheme="minorEastAsia" w:hAnsiTheme="minorHAnsi"/>
              <w:noProof/>
            </w:rPr>
          </w:pPr>
          <w:r w:rsidRPr="005459E6">
            <w:rPr>
              <w:rFonts w:ascii="Times New Roman" w:hAnsi="Times New Roman" w:cs="Times New Roman"/>
            </w:rPr>
            <w:fldChar w:fldCharType="begin"/>
          </w:r>
          <w:r w:rsidRPr="005459E6">
            <w:rPr>
              <w:rFonts w:ascii="Times New Roman" w:hAnsi="Times New Roman" w:cs="Times New Roman"/>
            </w:rPr>
            <w:instrText xml:space="preserve"> TOC \o "1-3" \h \z \u </w:instrText>
          </w:r>
          <w:r w:rsidRPr="005459E6">
            <w:rPr>
              <w:rFonts w:ascii="Times New Roman" w:hAnsi="Times New Roman" w:cs="Times New Roman"/>
            </w:rPr>
            <w:fldChar w:fldCharType="separate"/>
          </w:r>
          <w:hyperlink w:anchor="_Toc107248266" w:history="1">
            <w:r w:rsidR="00C128B5" w:rsidRPr="005459E6">
              <w:rPr>
                <w:rStyle w:val="Collegamentoipertestuale"/>
                <w:rFonts w:ascii="Times New Roman" w:hAnsi="Times New Roman" w:cs="Times New Roman"/>
                <w:b/>
                <w:bCs/>
                <w:noProof/>
                <w:color w:val="auto"/>
              </w:rPr>
              <w:t>INTRODUCTION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_Toc107248266 \h </w:instrText>
            </w:r>
            <w:r w:rsidR="00C128B5" w:rsidRPr="005459E6">
              <w:rPr>
                <w:noProof/>
                <w:webHidden/>
              </w:rPr>
            </w:r>
            <w:r w:rsidR="00C128B5" w:rsidRPr="005459E6">
              <w:rPr>
                <w:noProof/>
                <w:webHidden/>
              </w:rPr>
              <w:fldChar w:fldCharType="separate"/>
            </w:r>
            <w:r w:rsidR="006C645B">
              <w:rPr>
                <w:noProof/>
                <w:webHidden/>
              </w:rPr>
              <w:t>7</w:t>
            </w:r>
            <w:r w:rsidR="00C128B5" w:rsidRPr="005459E6">
              <w:rPr>
                <w:noProof/>
                <w:webHidden/>
              </w:rPr>
              <w:fldChar w:fldCharType="end"/>
            </w:r>
          </w:hyperlink>
        </w:p>
        <w:p w14:paraId="454E8971" w14:textId="0A02CD50" w:rsidR="00C128B5" w:rsidRPr="005459E6" w:rsidRDefault="00000000">
          <w:pPr>
            <w:pStyle w:val="Sommario1"/>
            <w:tabs>
              <w:tab w:val="right" w:leader="dot" w:pos="9350"/>
            </w:tabs>
            <w:rPr>
              <w:rFonts w:asciiTheme="minorHAnsi" w:eastAsiaTheme="minorEastAsia" w:hAnsiTheme="minorHAnsi"/>
              <w:noProof/>
            </w:rPr>
          </w:pPr>
          <w:hyperlink w:anchor="_Toc107248267" w:history="1">
            <w:r w:rsidR="00C128B5" w:rsidRPr="005459E6">
              <w:rPr>
                <w:rStyle w:val="Collegamentoipertestuale"/>
                <w:rFonts w:ascii="Times New Roman" w:hAnsi="Times New Roman" w:cs="Times New Roman"/>
                <w:b/>
                <w:bCs/>
                <w:noProof/>
                <w:color w:val="auto"/>
              </w:rPr>
              <w:t>REVIEW OF LITERATURE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_Toc107248267 \h </w:instrText>
            </w:r>
            <w:r w:rsidR="00C128B5" w:rsidRPr="005459E6">
              <w:rPr>
                <w:noProof/>
                <w:webHidden/>
              </w:rPr>
            </w:r>
            <w:r w:rsidR="00C128B5" w:rsidRPr="005459E6">
              <w:rPr>
                <w:noProof/>
                <w:webHidden/>
              </w:rPr>
              <w:fldChar w:fldCharType="separate"/>
            </w:r>
            <w:r w:rsidR="006C645B">
              <w:rPr>
                <w:noProof/>
                <w:webHidden/>
              </w:rPr>
              <w:t>9</w:t>
            </w:r>
            <w:r w:rsidR="00C128B5" w:rsidRPr="005459E6">
              <w:rPr>
                <w:noProof/>
                <w:webHidden/>
              </w:rPr>
              <w:fldChar w:fldCharType="end"/>
            </w:r>
          </w:hyperlink>
        </w:p>
        <w:p w14:paraId="70FB7E74" w14:textId="7EED777B" w:rsidR="00C128B5" w:rsidRPr="005459E6" w:rsidRDefault="00000000">
          <w:pPr>
            <w:pStyle w:val="Sommario2"/>
            <w:tabs>
              <w:tab w:val="right" w:leader="dot" w:pos="9350"/>
            </w:tabs>
            <w:rPr>
              <w:rFonts w:cstheme="minorBidi"/>
              <w:noProof/>
            </w:rPr>
          </w:pPr>
          <w:hyperlink w:anchor="_Toc107248268" w:history="1">
            <w:r w:rsidR="00C128B5" w:rsidRPr="005459E6">
              <w:rPr>
                <w:rStyle w:val="Collegamentoipertestuale"/>
                <w:rFonts w:ascii="Times New Roman" w:hAnsi="Times New Roman"/>
                <w:noProof/>
                <w:color w:val="auto"/>
              </w:rPr>
              <w:t>SERVICE RESEARCH</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_Toc107248268 \h </w:instrText>
            </w:r>
            <w:r w:rsidR="00C128B5" w:rsidRPr="005459E6">
              <w:rPr>
                <w:noProof/>
                <w:webHidden/>
              </w:rPr>
            </w:r>
            <w:r w:rsidR="00C128B5" w:rsidRPr="005459E6">
              <w:rPr>
                <w:noProof/>
                <w:webHidden/>
              </w:rPr>
              <w:fldChar w:fldCharType="separate"/>
            </w:r>
            <w:r w:rsidR="006C645B">
              <w:rPr>
                <w:noProof/>
                <w:webHidden/>
              </w:rPr>
              <w:t>9</w:t>
            </w:r>
            <w:r w:rsidR="00C128B5" w:rsidRPr="005459E6">
              <w:rPr>
                <w:noProof/>
                <w:webHidden/>
              </w:rPr>
              <w:fldChar w:fldCharType="end"/>
            </w:r>
          </w:hyperlink>
        </w:p>
        <w:p w14:paraId="7B2F1023" w14:textId="61CB202E" w:rsidR="00C128B5" w:rsidRPr="005459E6" w:rsidRDefault="00000000">
          <w:pPr>
            <w:pStyle w:val="Sommario3"/>
            <w:tabs>
              <w:tab w:val="right" w:leader="dot" w:pos="9350"/>
            </w:tabs>
            <w:rPr>
              <w:rFonts w:cstheme="minorBidi"/>
              <w:noProof/>
            </w:rPr>
          </w:pPr>
          <w:hyperlink w:anchor="_Toc107248269" w:history="1">
            <w:r w:rsidR="00C128B5" w:rsidRPr="005459E6">
              <w:rPr>
                <w:rStyle w:val="Collegamentoipertestuale"/>
                <w:rFonts w:ascii="Times New Roman" w:hAnsi="Times New Roman"/>
                <w:noProof/>
                <w:color w:val="auto"/>
              </w:rPr>
              <w:t>Service Research in Healthcare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_Toc107248269 \h </w:instrText>
            </w:r>
            <w:r w:rsidR="00C128B5" w:rsidRPr="005459E6">
              <w:rPr>
                <w:noProof/>
                <w:webHidden/>
              </w:rPr>
            </w:r>
            <w:r w:rsidR="00C128B5" w:rsidRPr="005459E6">
              <w:rPr>
                <w:noProof/>
                <w:webHidden/>
              </w:rPr>
              <w:fldChar w:fldCharType="separate"/>
            </w:r>
            <w:r w:rsidR="006C645B">
              <w:rPr>
                <w:noProof/>
                <w:webHidden/>
              </w:rPr>
              <w:t>9</w:t>
            </w:r>
            <w:r w:rsidR="00C128B5" w:rsidRPr="005459E6">
              <w:rPr>
                <w:noProof/>
                <w:webHidden/>
              </w:rPr>
              <w:fldChar w:fldCharType="end"/>
            </w:r>
          </w:hyperlink>
        </w:p>
        <w:p w14:paraId="578B1369" w14:textId="7FA68CFE" w:rsidR="00C128B5" w:rsidRPr="005459E6" w:rsidRDefault="00000000">
          <w:pPr>
            <w:pStyle w:val="Sommario3"/>
            <w:tabs>
              <w:tab w:val="right" w:leader="dot" w:pos="9350"/>
            </w:tabs>
            <w:rPr>
              <w:rFonts w:cstheme="minorBidi"/>
              <w:noProof/>
            </w:rPr>
          </w:pPr>
          <w:hyperlink w:anchor="_Toc107248270" w:history="1">
            <w:r w:rsidR="00C128B5" w:rsidRPr="005459E6">
              <w:rPr>
                <w:rStyle w:val="Collegamentoipertestuale"/>
                <w:rFonts w:ascii="Times New Roman" w:hAnsi="Times New Roman"/>
                <w:noProof/>
                <w:color w:val="auto"/>
              </w:rPr>
              <w:t>Psychosomatic Health</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_Toc107248270 \h </w:instrText>
            </w:r>
            <w:r w:rsidR="00C128B5" w:rsidRPr="005459E6">
              <w:rPr>
                <w:noProof/>
                <w:webHidden/>
              </w:rPr>
            </w:r>
            <w:r w:rsidR="00C128B5" w:rsidRPr="005459E6">
              <w:rPr>
                <w:noProof/>
                <w:webHidden/>
              </w:rPr>
              <w:fldChar w:fldCharType="separate"/>
            </w:r>
            <w:r w:rsidR="006C645B">
              <w:rPr>
                <w:noProof/>
                <w:webHidden/>
              </w:rPr>
              <w:t>11</w:t>
            </w:r>
            <w:r w:rsidR="00C128B5" w:rsidRPr="005459E6">
              <w:rPr>
                <w:noProof/>
                <w:webHidden/>
              </w:rPr>
              <w:fldChar w:fldCharType="end"/>
            </w:r>
          </w:hyperlink>
        </w:p>
        <w:p w14:paraId="0D74975D" w14:textId="34C70F16" w:rsidR="00C128B5" w:rsidRPr="005459E6" w:rsidRDefault="00000000">
          <w:pPr>
            <w:pStyle w:val="Sommario2"/>
            <w:tabs>
              <w:tab w:val="right" w:leader="dot" w:pos="9350"/>
            </w:tabs>
            <w:rPr>
              <w:rFonts w:cstheme="minorBidi"/>
              <w:noProof/>
            </w:rPr>
          </w:pPr>
          <w:hyperlink w:anchor="_Toc107248271" w:history="1">
            <w:r w:rsidR="00C128B5" w:rsidRPr="005459E6">
              <w:rPr>
                <w:rStyle w:val="Collegamentoipertestuale"/>
                <w:rFonts w:ascii="Times New Roman" w:hAnsi="Times New Roman"/>
                <w:noProof/>
                <w:color w:val="auto"/>
              </w:rPr>
              <w:t>TECHNOLOGY AND HEALTH</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_Toc107248271 \h </w:instrText>
            </w:r>
            <w:r w:rsidR="00C128B5" w:rsidRPr="005459E6">
              <w:rPr>
                <w:noProof/>
                <w:webHidden/>
              </w:rPr>
            </w:r>
            <w:r w:rsidR="00C128B5" w:rsidRPr="005459E6">
              <w:rPr>
                <w:noProof/>
                <w:webHidden/>
              </w:rPr>
              <w:fldChar w:fldCharType="separate"/>
            </w:r>
            <w:r w:rsidR="006C645B">
              <w:rPr>
                <w:noProof/>
                <w:webHidden/>
              </w:rPr>
              <w:t>12</w:t>
            </w:r>
            <w:r w:rsidR="00C128B5" w:rsidRPr="005459E6">
              <w:rPr>
                <w:noProof/>
                <w:webHidden/>
              </w:rPr>
              <w:fldChar w:fldCharType="end"/>
            </w:r>
          </w:hyperlink>
        </w:p>
        <w:p w14:paraId="4CDF73B2" w14:textId="69457ED2" w:rsidR="00C128B5" w:rsidRPr="005459E6" w:rsidRDefault="00000000">
          <w:pPr>
            <w:pStyle w:val="Sommario3"/>
            <w:tabs>
              <w:tab w:val="right" w:leader="dot" w:pos="9350"/>
            </w:tabs>
            <w:rPr>
              <w:rFonts w:cstheme="minorBidi"/>
              <w:noProof/>
            </w:rPr>
          </w:pPr>
          <w:hyperlink w:anchor="_Toc107248272" w:history="1">
            <w:r w:rsidR="00C128B5" w:rsidRPr="005459E6">
              <w:rPr>
                <w:rStyle w:val="Collegamentoipertestuale"/>
                <w:rFonts w:ascii="Times New Roman" w:hAnsi="Times New Roman"/>
                <w:noProof/>
                <w:color w:val="auto"/>
              </w:rPr>
              <w:t>Artificial Intelligence (A.I.)</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_Toc107248272 \h </w:instrText>
            </w:r>
            <w:r w:rsidR="00C128B5" w:rsidRPr="005459E6">
              <w:rPr>
                <w:noProof/>
                <w:webHidden/>
              </w:rPr>
            </w:r>
            <w:r w:rsidR="00C128B5" w:rsidRPr="005459E6">
              <w:rPr>
                <w:noProof/>
                <w:webHidden/>
              </w:rPr>
              <w:fldChar w:fldCharType="separate"/>
            </w:r>
            <w:r w:rsidR="006C645B">
              <w:rPr>
                <w:noProof/>
                <w:webHidden/>
              </w:rPr>
              <w:t>14</w:t>
            </w:r>
            <w:r w:rsidR="00C128B5" w:rsidRPr="005459E6">
              <w:rPr>
                <w:noProof/>
                <w:webHidden/>
              </w:rPr>
              <w:fldChar w:fldCharType="end"/>
            </w:r>
          </w:hyperlink>
        </w:p>
        <w:p w14:paraId="3366543F" w14:textId="09DE6E45" w:rsidR="00C128B5" w:rsidRPr="005459E6" w:rsidRDefault="00000000">
          <w:pPr>
            <w:pStyle w:val="Sommario3"/>
            <w:tabs>
              <w:tab w:val="right" w:leader="dot" w:pos="9350"/>
            </w:tabs>
            <w:rPr>
              <w:rFonts w:cstheme="minorBidi"/>
              <w:noProof/>
            </w:rPr>
          </w:pPr>
          <w:hyperlink w:anchor="_Toc107248273" w:history="1">
            <w:r w:rsidR="00C128B5" w:rsidRPr="005459E6">
              <w:rPr>
                <w:rStyle w:val="Collegamentoipertestuale"/>
                <w:rFonts w:ascii="Times New Roman" w:hAnsi="Times New Roman"/>
                <w:noProof/>
                <w:color w:val="auto"/>
              </w:rPr>
              <w:t>Internet of Medical Things (IoMT)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_Toc107248273 \h </w:instrText>
            </w:r>
            <w:r w:rsidR="00C128B5" w:rsidRPr="005459E6">
              <w:rPr>
                <w:noProof/>
                <w:webHidden/>
              </w:rPr>
            </w:r>
            <w:r w:rsidR="00C128B5" w:rsidRPr="005459E6">
              <w:rPr>
                <w:noProof/>
                <w:webHidden/>
              </w:rPr>
              <w:fldChar w:fldCharType="separate"/>
            </w:r>
            <w:r w:rsidR="006C645B">
              <w:rPr>
                <w:noProof/>
                <w:webHidden/>
              </w:rPr>
              <w:t>15</w:t>
            </w:r>
            <w:r w:rsidR="00C128B5" w:rsidRPr="005459E6">
              <w:rPr>
                <w:noProof/>
                <w:webHidden/>
              </w:rPr>
              <w:fldChar w:fldCharType="end"/>
            </w:r>
          </w:hyperlink>
        </w:p>
        <w:p w14:paraId="77BAD3E5" w14:textId="6877736A" w:rsidR="00C128B5" w:rsidRPr="005459E6" w:rsidRDefault="00000000">
          <w:pPr>
            <w:pStyle w:val="Sommario3"/>
            <w:tabs>
              <w:tab w:val="right" w:leader="dot" w:pos="9350"/>
            </w:tabs>
            <w:rPr>
              <w:rFonts w:cstheme="minorBidi"/>
              <w:noProof/>
            </w:rPr>
          </w:pPr>
          <w:hyperlink w:anchor="_Toc107248274" w:history="1">
            <w:r w:rsidR="00C128B5" w:rsidRPr="005459E6">
              <w:rPr>
                <w:rStyle w:val="Collegamentoipertestuale"/>
                <w:rFonts w:ascii="Times New Roman" w:hAnsi="Times New Roman"/>
                <w:noProof/>
                <w:color w:val="auto"/>
              </w:rPr>
              <w:t>State-of-the-Art in Health Services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_Toc107248274 \h </w:instrText>
            </w:r>
            <w:r w:rsidR="00C128B5" w:rsidRPr="005459E6">
              <w:rPr>
                <w:noProof/>
                <w:webHidden/>
              </w:rPr>
            </w:r>
            <w:r w:rsidR="00C128B5" w:rsidRPr="005459E6">
              <w:rPr>
                <w:noProof/>
                <w:webHidden/>
              </w:rPr>
              <w:fldChar w:fldCharType="separate"/>
            </w:r>
            <w:r w:rsidR="006C645B">
              <w:rPr>
                <w:noProof/>
                <w:webHidden/>
              </w:rPr>
              <w:t>16</w:t>
            </w:r>
            <w:r w:rsidR="00C128B5" w:rsidRPr="005459E6">
              <w:rPr>
                <w:noProof/>
                <w:webHidden/>
              </w:rPr>
              <w:fldChar w:fldCharType="end"/>
            </w:r>
          </w:hyperlink>
        </w:p>
        <w:p w14:paraId="555FDE51" w14:textId="3D8143B7" w:rsidR="00C128B5" w:rsidRPr="005459E6" w:rsidRDefault="00000000">
          <w:pPr>
            <w:pStyle w:val="Sommario2"/>
            <w:tabs>
              <w:tab w:val="right" w:leader="dot" w:pos="9350"/>
            </w:tabs>
            <w:rPr>
              <w:rFonts w:cstheme="minorBidi"/>
              <w:noProof/>
            </w:rPr>
          </w:pPr>
          <w:hyperlink w:anchor="_Toc107248275" w:history="1">
            <w:r w:rsidR="00C128B5" w:rsidRPr="005459E6">
              <w:rPr>
                <w:rStyle w:val="Collegamentoipertestuale"/>
                <w:rFonts w:ascii="Times New Roman" w:hAnsi="Times New Roman"/>
                <w:noProof/>
                <w:color w:val="auto"/>
              </w:rPr>
              <w:t>QUANTIFIED SELF</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_Toc107248275 \h </w:instrText>
            </w:r>
            <w:r w:rsidR="00C128B5" w:rsidRPr="005459E6">
              <w:rPr>
                <w:noProof/>
                <w:webHidden/>
              </w:rPr>
            </w:r>
            <w:r w:rsidR="00C128B5" w:rsidRPr="005459E6">
              <w:rPr>
                <w:noProof/>
                <w:webHidden/>
              </w:rPr>
              <w:fldChar w:fldCharType="separate"/>
            </w:r>
            <w:r w:rsidR="006C645B">
              <w:rPr>
                <w:noProof/>
                <w:webHidden/>
              </w:rPr>
              <w:t>19</w:t>
            </w:r>
            <w:r w:rsidR="00C128B5" w:rsidRPr="005459E6">
              <w:rPr>
                <w:noProof/>
                <w:webHidden/>
              </w:rPr>
              <w:fldChar w:fldCharType="end"/>
            </w:r>
          </w:hyperlink>
        </w:p>
        <w:p w14:paraId="59E0B971" w14:textId="2AED6F20" w:rsidR="00C128B5" w:rsidRPr="005459E6" w:rsidRDefault="00000000">
          <w:pPr>
            <w:pStyle w:val="Sommario3"/>
            <w:tabs>
              <w:tab w:val="right" w:leader="dot" w:pos="9350"/>
            </w:tabs>
            <w:rPr>
              <w:rFonts w:cstheme="minorBidi"/>
              <w:noProof/>
            </w:rPr>
          </w:pPr>
          <w:hyperlink w:anchor="_Toc107248276" w:history="1">
            <w:r w:rsidR="00C128B5" w:rsidRPr="005459E6">
              <w:rPr>
                <w:rStyle w:val="Collegamentoipertestuale"/>
                <w:rFonts w:ascii="Times New Roman" w:hAnsi="Times New Roman"/>
                <w:noProof/>
                <w:color w:val="auto"/>
              </w:rPr>
              <w:t>Smart Nudging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_Toc107248276 \h </w:instrText>
            </w:r>
            <w:r w:rsidR="00C128B5" w:rsidRPr="005459E6">
              <w:rPr>
                <w:noProof/>
                <w:webHidden/>
              </w:rPr>
            </w:r>
            <w:r w:rsidR="00C128B5" w:rsidRPr="005459E6">
              <w:rPr>
                <w:noProof/>
                <w:webHidden/>
              </w:rPr>
              <w:fldChar w:fldCharType="separate"/>
            </w:r>
            <w:r w:rsidR="006C645B">
              <w:rPr>
                <w:noProof/>
                <w:webHidden/>
              </w:rPr>
              <w:t>19</w:t>
            </w:r>
            <w:r w:rsidR="00C128B5" w:rsidRPr="005459E6">
              <w:rPr>
                <w:noProof/>
                <w:webHidden/>
              </w:rPr>
              <w:fldChar w:fldCharType="end"/>
            </w:r>
          </w:hyperlink>
        </w:p>
        <w:p w14:paraId="1D371319" w14:textId="5B290FA8" w:rsidR="00C128B5" w:rsidRPr="005459E6" w:rsidRDefault="00000000">
          <w:pPr>
            <w:pStyle w:val="Sommario3"/>
            <w:tabs>
              <w:tab w:val="right" w:leader="dot" w:pos="9350"/>
            </w:tabs>
            <w:rPr>
              <w:rFonts w:cstheme="minorBidi"/>
              <w:noProof/>
            </w:rPr>
          </w:pPr>
          <w:hyperlink w:anchor="_Toc107248277" w:history="1">
            <w:r w:rsidR="00C128B5" w:rsidRPr="005459E6">
              <w:rPr>
                <w:rStyle w:val="Collegamentoipertestuale"/>
                <w:rFonts w:ascii="Times New Roman" w:hAnsi="Times New Roman"/>
                <w:noProof/>
                <w:color w:val="auto"/>
              </w:rPr>
              <w:t>Impact of Self-Quantification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_Toc107248277 \h </w:instrText>
            </w:r>
            <w:r w:rsidR="00C128B5" w:rsidRPr="005459E6">
              <w:rPr>
                <w:noProof/>
                <w:webHidden/>
              </w:rPr>
            </w:r>
            <w:r w:rsidR="00C128B5" w:rsidRPr="005459E6">
              <w:rPr>
                <w:noProof/>
                <w:webHidden/>
              </w:rPr>
              <w:fldChar w:fldCharType="separate"/>
            </w:r>
            <w:r w:rsidR="006C645B">
              <w:rPr>
                <w:noProof/>
                <w:webHidden/>
              </w:rPr>
              <w:t>20</w:t>
            </w:r>
            <w:r w:rsidR="00C128B5" w:rsidRPr="005459E6">
              <w:rPr>
                <w:noProof/>
                <w:webHidden/>
              </w:rPr>
              <w:fldChar w:fldCharType="end"/>
            </w:r>
          </w:hyperlink>
        </w:p>
        <w:p w14:paraId="64E460E6" w14:textId="3400D15A" w:rsidR="00C128B5" w:rsidRPr="005459E6" w:rsidRDefault="00000000">
          <w:pPr>
            <w:pStyle w:val="Sommario2"/>
            <w:tabs>
              <w:tab w:val="right" w:leader="dot" w:pos="9350"/>
            </w:tabs>
            <w:rPr>
              <w:rFonts w:cstheme="minorBidi"/>
              <w:noProof/>
            </w:rPr>
          </w:pPr>
          <w:hyperlink w:anchor="_Toc107248278" w:history="1">
            <w:r w:rsidR="00C128B5" w:rsidRPr="005459E6">
              <w:rPr>
                <w:rStyle w:val="Collegamentoipertestuale"/>
                <w:rFonts w:ascii="Times New Roman" w:hAnsi="Times New Roman"/>
                <w:noProof/>
                <w:color w:val="auto"/>
              </w:rPr>
              <w:t>TOWARDS WELL-BEING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_Toc107248278 \h </w:instrText>
            </w:r>
            <w:r w:rsidR="00C128B5" w:rsidRPr="005459E6">
              <w:rPr>
                <w:noProof/>
                <w:webHidden/>
              </w:rPr>
            </w:r>
            <w:r w:rsidR="00C128B5" w:rsidRPr="005459E6">
              <w:rPr>
                <w:noProof/>
                <w:webHidden/>
              </w:rPr>
              <w:fldChar w:fldCharType="separate"/>
            </w:r>
            <w:r w:rsidR="006C645B">
              <w:rPr>
                <w:noProof/>
                <w:webHidden/>
              </w:rPr>
              <w:t>22</w:t>
            </w:r>
            <w:r w:rsidR="00C128B5" w:rsidRPr="005459E6">
              <w:rPr>
                <w:noProof/>
                <w:webHidden/>
              </w:rPr>
              <w:fldChar w:fldCharType="end"/>
            </w:r>
          </w:hyperlink>
        </w:p>
        <w:p w14:paraId="286647F3" w14:textId="3B2B27A6" w:rsidR="00C128B5" w:rsidRPr="005459E6" w:rsidRDefault="00000000">
          <w:pPr>
            <w:pStyle w:val="Sommario3"/>
            <w:tabs>
              <w:tab w:val="right" w:leader="dot" w:pos="9350"/>
            </w:tabs>
            <w:rPr>
              <w:rFonts w:cstheme="minorBidi"/>
              <w:noProof/>
            </w:rPr>
          </w:pPr>
          <w:hyperlink w:anchor="_Toc107248279" w:history="1">
            <w:r w:rsidR="00C128B5" w:rsidRPr="005459E6">
              <w:rPr>
                <w:rStyle w:val="Collegamentoipertestuale"/>
                <w:rFonts w:ascii="Times New Roman" w:hAnsi="Times New Roman"/>
                <w:noProof/>
                <w:color w:val="auto"/>
              </w:rPr>
              <w:t>The Construct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_Toc107248279 \h </w:instrText>
            </w:r>
            <w:r w:rsidR="00C128B5" w:rsidRPr="005459E6">
              <w:rPr>
                <w:noProof/>
                <w:webHidden/>
              </w:rPr>
            </w:r>
            <w:r w:rsidR="00C128B5" w:rsidRPr="005459E6">
              <w:rPr>
                <w:noProof/>
                <w:webHidden/>
              </w:rPr>
              <w:fldChar w:fldCharType="separate"/>
            </w:r>
            <w:r w:rsidR="006C645B">
              <w:rPr>
                <w:noProof/>
                <w:webHidden/>
              </w:rPr>
              <w:t>23</w:t>
            </w:r>
            <w:r w:rsidR="00C128B5" w:rsidRPr="005459E6">
              <w:rPr>
                <w:noProof/>
                <w:webHidden/>
              </w:rPr>
              <w:fldChar w:fldCharType="end"/>
            </w:r>
          </w:hyperlink>
        </w:p>
        <w:p w14:paraId="76E2FA6F" w14:textId="793DE310" w:rsidR="00C128B5" w:rsidRPr="005459E6" w:rsidRDefault="00000000">
          <w:pPr>
            <w:pStyle w:val="Sommario3"/>
            <w:tabs>
              <w:tab w:val="right" w:leader="dot" w:pos="9350"/>
            </w:tabs>
            <w:rPr>
              <w:rFonts w:cstheme="minorBidi"/>
              <w:noProof/>
            </w:rPr>
          </w:pPr>
          <w:hyperlink w:anchor="_Toc107248280" w:history="1">
            <w:r w:rsidR="00C128B5" w:rsidRPr="005459E6">
              <w:rPr>
                <w:rStyle w:val="Collegamentoipertestuale"/>
                <w:rFonts w:ascii="Times New Roman" w:hAnsi="Times New Roman"/>
                <w:noProof/>
                <w:color w:val="auto"/>
              </w:rPr>
              <w:t>Individual Well-being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_Toc107248280 \h </w:instrText>
            </w:r>
            <w:r w:rsidR="00C128B5" w:rsidRPr="005459E6">
              <w:rPr>
                <w:noProof/>
                <w:webHidden/>
              </w:rPr>
            </w:r>
            <w:r w:rsidR="00C128B5" w:rsidRPr="005459E6">
              <w:rPr>
                <w:noProof/>
                <w:webHidden/>
              </w:rPr>
              <w:fldChar w:fldCharType="separate"/>
            </w:r>
            <w:r w:rsidR="006C645B">
              <w:rPr>
                <w:noProof/>
                <w:webHidden/>
              </w:rPr>
              <w:t>25</w:t>
            </w:r>
            <w:r w:rsidR="00C128B5" w:rsidRPr="005459E6">
              <w:rPr>
                <w:noProof/>
                <w:webHidden/>
              </w:rPr>
              <w:fldChar w:fldCharType="end"/>
            </w:r>
          </w:hyperlink>
        </w:p>
        <w:p w14:paraId="7CAE6743" w14:textId="7476E816" w:rsidR="00C128B5" w:rsidRPr="005459E6" w:rsidRDefault="00000000">
          <w:pPr>
            <w:pStyle w:val="Sommario3"/>
            <w:tabs>
              <w:tab w:val="right" w:leader="dot" w:pos="9350"/>
            </w:tabs>
            <w:rPr>
              <w:rFonts w:cstheme="minorBidi"/>
              <w:noProof/>
            </w:rPr>
          </w:pPr>
          <w:hyperlink w:anchor="_Toc107248281" w:history="1">
            <w:r w:rsidR="00C128B5" w:rsidRPr="005459E6">
              <w:rPr>
                <w:rStyle w:val="Collegamentoipertestuale"/>
                <w:rFonts w:ascii="Times New Roman" w:hAnsi="Times New Roman"/>
                <w:noProof/>
                <w:color w:val="auto"/>
              </w:rPr>
              <w:t>SD-L and Interplay of Actors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_Toc107248281 \h </w:instrText>
            </w:r>
            <w:r w:rsidR="00C128B5" w:rsidRPr="005459E6">
              <w:rPr>
                <w:noProof/>
                <w:webHidden/>
              </w:rPr>
            </w:r>
            <w:r w:rsidR="00C128B5" w:rsidRPr="005459E6">
              <w:rPr>
                <w:noProof/>
                <w:webHidden/>
              </w:rPr>
              <w:fldChar w:fldCharType="separate"/>
            </w:r>
            <w:r w:rsidR="006C645B">
              <w:rPr>
                <w:noProof/>
                <w:webHidden/>
              </w:rPr>
              <w:t>27</w:t>
            </w:r>
            <w:r w:rsidR="00C128B5" w:rsidRPr="005459E6">
              <w:rPr>
                <w:noProof/>
                <w:webHidden/>
              </w:rPr>
              <w:fldChar w:fldCharType="end"/>
            </w:r>
          </w:hyperlink>
        </w:p>
        <w:p w14:paraId="49BC67C1" w14:textId="2BF50A78" w:rsidR="00C128B5" w:rsidRPr="005459E6" w:rsidRDefault="00000000">
          <w:pPr>
            <w:pStyle w:val="Sommario2"/>
            <w:tabs>
              <w:tab w:val="right" w:leader="dot" w:pos="9350"/>
            </w:tabs>
            <w:rPr>
              <w:rFonts w:cstheme="minorBidi"/>
              <w:noProof/>
            </w:rPr>
          </w:pPr>
          <w:hyperlink w:anchor="_Toc107248282" w:history="1">
            <w:r w:rsidR="00C128B5" w:rsidRPr="005459E6">
              <w:rPr>
                <w:rStyle w:val="Collegamentoipertestuale"/>
                <w:rFonts w:ascii="Times New Roman" w:hAnsi="Times New Roman"/>
                <w:noProof/>
                <w:color w:val="auto"/>
              </w:rPr>
              <w:t>CO-CREATING VALUE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_Toc107248282 \h </w:instrText>
            </w:r>
            <w:r w:rsidR="00C128B5" w:rsidRPr="005459E6">
              <w:rPr>
                <w:noProof/>
                <w:webHidden/>
              </w:rPr>
            </w:r>
            <w:r w:rsidR="00C128B5" w:rsidRPr="005459E6">
              <w:rPr>
                <w:noProof/>
                <w:webHidden/>
              </w:rPr>
              <w:fldChar w:fldCharType="separate"/>
            </w:r>
            <w:r w:rsidR="006C645B">
              <w:rPr>
                <w:noProof/>
                <w:webHidden/>
              </w:rPr>
              <w:t>29</w:t>
            </w:r>
            <w:r w:rsidR="00C128B5" w:rsidRPr="005459E6">
              <w:rPr>
                <w:noProof/>
                <w:webHidden/>
              </w:rPr>
              <w:fldChar w:fldCharType="end"/>
            </w:r>
          </w:hyperlink>
        </w:p>
        <w:p w14:paraId="5BE53F0A" w14:textId="697C5D17" w:rsidR="00C128B5" w:rsidRPr="005459E6" w:rsidRDefault="00000000">
          <w:pPr>
            <w:pStyle w:val="Sommario3"/>
            <w:tabs>
              <w:tab w:val="right" w:leader="dot" w:pos="9350"/>
            </w:tabs>
            <w:rPr>
              <w:rFonts w:cstheme="minorBidi"/>
              <w:noProof/>
            </w:rPr>
          </w:pPr>
          <w:hyperlink w:anchor="_Toc107248283" w:history="1">
            <w:r w:rsidR="00C128B5" w:rsidRPr="005459E6">
              <w:rPr>
                <w:rStyle w:val="Collegamentoipertestuale"/>
                <w:rFonts w:ascii="Times New Roman" w:hAnsi="Times New Roman"/>
                <w:noProof/>
                <w:color w:val="auto"/>
              </w:rPr>
              <w:t>Workplace Productivity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_Toc107248283 \h </w:instrText>
            </w:r>
            <w:r w:rsidR="00C128B5" w:rsidRPr="005459E6">
              <w:rPr>
                <w:noProof/>
                <w:webHidden/>
              </w:rPr>
            </w:r>
            <w:r w:rsidR="00C128B5" w:rsidRPr="005459E6">
              <w:rPr>
                <w:noProof/>
                <w:webHidden/>
              </w:rPr>
              <w:fldChar w:fldCharType="separate"/>
            </w:r>
            <w:r w:rsidR="006C645B">
              <w:rPr>
                <w:noProof/>
                <w:webHidden/>
              </w:rPr>
              <w:t>29</w:t>
            </w:r>
            <w:r w:rsidR="00C128B5" w:rsidRPr="005459E6">
              <w:rPr>
                <w:noProof/>
                <w:webHidden/>
              </w:rPr>
              <w:fldChar w:fldCharType="end"/>
            </w:r>
          </w:hyperlink>
        </w:p>
        <w:p w14:paraId="04B03A01" w14:textId="659B0289" w:rsidR="00C128B5" w:rsidRPr="005459E6" w:rsidRDefault="00000000">
          <w:pPr>
            <w:pStyle w:val="Sommario3"/>
            <w:tabs>
              <w:tab w:val="right" w:leader="dot" w:pos="9350"/>
            </w:tabs>
            <w:rPr>
              <w:rFonts w:cstheme="minorBidi"/>
              <w:noProof/>
            </w:rPr>
          </w:pPr>
          <w:hyperlink w:anchor="_Toc107248284" w:history="1">
            <w:r w:rsidR="00C128B5" w:rsidRPr="005459E6">
              <w:rPr>
                <w:rStyle w:val="Collegamentoipertestuale"/>
                <w:rFonts w:ascii="Times New Roman" w:hAnsi="Times New Roman"/>
                <w:noProof/>
                <w:color w:val="auto"/>
              </w:rPr>
              <w:t>Organizational Performance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_Toc107248284 \h </w:instrText>
            </w:r>
            <w:r w:rsidR="00C128B5" w:rsidRPr="005459E6">
              <w:rPr>
                <w:noProof/>
                <w:webHidden/>
              </w:rPr>
            </w:r>
            <w:r w:rsidR="00C128B5" w:rsidRPr="005459E6">
              <w:rPr>
                <w:noProof/>
                <w:webHidden/>
              </w:rPr>
              <w:fldChar w:fldCharType="separate"/>
            </w:r>
            <w:r w:rsidR="006C645B">
              <w:rPr>
                <w:noProof/>
                <w:webHidden/>
              </w:rPr>
              <w:t>30</w:t>
            </w:r>
            <w:r w:rsidR="00C128B5" w:rsidRPr="005459E6">
              <w:rPr>
                <w:noProof/>
                <w:webHidden/>
              </w:rPr>
              <w:fldChar w:fldCharType="end"/>
            </w:r>
          </w:hyperlink>
        </w:p>
        <w:p w14:paraId="77ADE3E5" w14:textId="22E6DE2B" w:rsidR="00C128B5" w:rsidRPr="005459E6" w:rsidRDefault="00000000">
          <w:pPr>
            <w:pStyle w:val="Sommario1"/>
            <w:tabs>
              <w:tab w:val="right" w:leader="dot" w:pos="9350"/>
            </w:tabs>
            <w:rPr>
              <w:rFonts w:asciiTheme="minorHAnsi" w:eastAsiaTheme="minorEastAsia" w:hAnsiTheme="minorHAnsi"/>
              <w:noProof/>
            </w:rPr>
          </w:pPr>
          <w:hyperlink w:anchor="_Toc107248285" w:history="1">
            <w:r w:rsidR="00C128B5" w:rsidRPr="005459E6">
              <w:rPr>
                <w:rStyle w:val="Collegamentoipertestuale"/>
                <w:rFonts w:ascii="Times New Roman" w:hAnsi="Times New Roman" w:cs="Times New Roman"/>
                <w:b/>
                <w:bCs/>
                <w:noProof/>
                <w:color w:val="auto"/>
              </w:rPr>
              <w:t>RESEARCH OBJECTIVE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_Toc107248285 \h </w:instrText>
            </w:r>
            <w:r w:rsidR="00C128B5" w:rsidRPr="005459E6">
              <w:rPr>
                <w:noProof/>
                <w:webHidden/>
              </w:rPr>
            </w:r>
            <w:r w:rsidR="00C128B5" w:rsidRPr="005459E6">
              <w:rPr>
                <w:noProof/>
                <w:webHidden/>
              </w:rPr>
              <w:fldChar w:fldCharType="separate"/>
            </w:r>
            <w:r w:rsidR="006C645B">
              <w:rPr>
                <w:noProof/>
                <w:webHidden/>
              </w:rPr>
              <w:t>31</w:t>
            </w:r>
            <w:r w:rsidR="00C128B5" w:rsidRPr="005459E6">
              <w:rPr>
                <w:noProof/>
                <w:webHidden/>
              </w:rPr>
              <w:fldChar w:fldCharType="end"/>
            </w:r>
          </w:hyperlink>
        </w:p>
        <w:p w14:paraId="650CB67C" w14:textId="4819DCCD" w:rsidR="00C128B5" w:rsidRPr="005459E6" w:rsidRDefault="00000000">
          <w:pPr>
            <w:pStyle w:val="Sommario2"/>
            <w:tabs>
              <w:tab w:val="right" w:leader="dot" w:pos="9350"/>
            </w:tabs>
            <w:rPr>
              <w:rFonts w:cstheme="minorBidi"/>
              <w:noProof/>
            </w:rPr>
          </w:pPr>
          <w:hyperlink w:anchor="_Toc107248286" w:history="1">
            <w:r w:rsidR="00C128B5" w:rsidRPr="005459E6">
              <w:rPr>
                <w:rStyle w:val="Collegamentoipertestuale"/>
                <w:rFonts w:ascii="Times New Roman" w:hAnsi="Times New Roman"/>
                <w:noProof/>
                <w:color w:val="auto"/>
              </w:rPr>
              <w:t>Background</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_Toc107248286 \h </w:instrText>
            </w:r>
            <w:r w:rsidR="00C128B5" w:rsidRPr="005459E6">
              <w:rPr>
                <w:noProof/>
                <w:webHidden/>
              </w:rPr>
            </w:r>
            <w:r w:rsidR="00C128B5" w:rsidRPr="005459E6">
              <w:rPr>
                <w:noProof/>
                <w:webHidden/>
              </w:rPr>
              <w:fldChar w:fldCharType="separate"/>
            </w:r>
            <w:r w:rsidR="006C645B">
              <w:rPr>
                <w:noProof/>
                <w:webHidden/>
              </w:rPr>
              <w:t>31</w:t>
            </w:r>
            <w:r w:rsidR="00C128B5" w:rsidRPr="005459E6">
              <w:rPr>
                <w:noProof/>
                <w:webHidden/>
              </w:rPr>
              <w:fldChar w:fldCharType="end"/>
            </w:r>
          </w:hyperlink>
        </w:p>
        <w:p w14:paraId="33C19B46" w14:textId="47642AFA" w:rsidR="00C128B5" w:rsidRPr="005459E6" w:rsidRDefault="00000000">
          <w:pPr>
            <w:pStyle w:val="Sommario2"/>
            <w:tabs>
              <w:tab w:val="right" w:leader="dot" w:pos="9350"/>
            </w:tabs>
            <w:rPr>
              <w:rFonts w:cstheme="minorBidi"/>
              <w:noProof/>
            </w:rPr>
          </w:pPr>
          <w:hyperlink w:anchor="_Toc107248287" w:history="1">
            <w:r w:rsidR="00C128B5" w:rsidRPr="005459E6">
              <w:rPr>
                <w:rStyle w:val="Collegamentoipertestuale"/>
                <w:rFonts w:ascii="Times New Roman" w:hAnsi="Times New Roman"/>
                <w:noProof/>
                <w:color w:val="auto"/>
              </w:rPr>
              <w:t>Problem Statement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_Toc107248287 \h </w:instrText>
            </w:r>
            <w:r w:rsidR="00C128B5" w:rsidRPr="005459E6">
              <w:rPr>
                <w:noProof/>
                <w:webHidden/>
              </w:rPr>
            </w:r>
            <w:r w:rsidR="00C128B5" w:rsidRPr="005459E6">
              <w:rPr>
                <w:noProof/>
                <w:webHidden/>
              </w:rPr>
              <w:fldChar w:fldCharType="separate"/>
            </w:r>
            <w:r w:rsidR="006C645B">
              <w:rPr>
                <w:noProof/>
                <w:webHidden/>
              </w:rPr>
              <w:t>31</w:t>
            </w:r>
            <w:r w:rsidR="00C128B5" w:rsidRPr="005459E6">
              <w:rPr>
                <w:noProof/>
                <w:webHidden/>
              </w:rPr>
              <w:fldChar w:fldCharType="end"/>
            </w:r>
          </w:hyperlink>
        </w:p>
        <w:p w14:paraId="256E994F" w14:textId="4DA05049" w:rsidR="00C128B5" w:rsidRPr="005459E6" w:rsidRDefault="00000000">
          <w:pPr>
            <w:pStyle w:val="Sommario2"/>
            <w:tabs>
              <w:tab w:val="right" w:leader="dot" w:pos="9350"/>
            </w:tabs>
            <w:rPr>
              <w:rFonts w:cstheme="minorBidi"/>
              <w:noProof/>
            </w:rPr>
          </w:pPr>
          <w:hyperlink w:anchor="_Toc107248288" w:history="1">
            <w:r w:rsidR="00C128B5" w:rsidRPr="005459E6">
              <w:rPr>
                <w:rStyle w:val="Collegamentoipertestuale"/>
                <w:rFonts w:ascii="Times New Roman" w:hAnsi="Times New Roman"/>
                <w:noProof/>
                <w:color w:val="auto"/>
              </w:rPr>
              <w:t>Research Gap</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_Toc107248288 \h </w:instrText>
            </w:r>
            <w:r w:rsidR="00C128B5" w:rsidRPr="005459E6">
              <w:rPr>
                <w:noProof/>
                <w:webHidden/>
              </w:rPr>
            </w:r>
            <w:r w:rsidR="00C128B5" w:rsidRPr="005459E6">
              <w:rPr>
                <w:noProof/>
                <w:webHidden/>
              </w:rPr>
              <w:fldChar w:fldCharType="separate"/>
            </w:r>
            <w:r w:rsidR="006C645B">
              <w:rPr>
                <w:noProof/>
                <w:webHidden/>
              </w:rPr>
              <w:t>32</w:t>
            </w:r>
            <w:r w:rsidR="00C128B5" w:rsidRPr="005459E6">
              <w:rPr>
                <w:noProof/>
                <w:webHidden/>
              </w:rPr>
              <w:fldChar w:fldCharType="end"/>
            </w:r>
          </w:hyperlink>
        </w:p>
        <w:p w14:paraId="1EFC2D1D" w14:textId="7B16B128" w:rsidR="00C128B5" w:rsidRPr="005459E6" w:rsidRDefault="00000000">
          <w:pPr>
            <w:pStyle w:val="Sommario2"/>
            <w:tabs>
              <w:tab w:val="right" w:leader="dot" w:pos="9350"/>
            </w:tabs>
            <w:rPr>
              <w:rFonts w:cstheme="minorBidi"/>
              <w:noProof/>
            </w:rPr>
          </w:pPr>
          <w:hyperlink w:anchor="_Toc107248289" w:history="1">
            <w:r w:rsidR="00C128B5" w:rsidRPr="005459E6">
              <w:rPr>
                <w:rStyle w:val="Collegamentoipertestuale"/>
                <w:rFonts w:ascii="Times New Roman" w:hAnsi="Times New Roman"/>
                <w:noProof/>
                <w:color w:val="auto"/>
              </w:rPr>
              <w:t>Objectives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_Toc107248289 \h </w:instrText>
            </w:r>
            <w:r w:rsidR="00C128B5" w:rsidRPr="005459E6">
              <w:rPr>
                <w:noProof/>
                <w:webHidden/>
              </w:rPr>
            </w:r>
            <w:r w:rsidR="00C128B5" w:rsidRPr="005459E6">
              <w:rPr>
                <w:noProof/>
                <w:webHidden/>
              </w:rPr>
              <w:fldChar w:fldCharType="separate"/>
            </w:r>
            <w:r w:rsidR="006C645B">
              <w:rPr>
                <w:noProof/>
                <w:webHidden/>
              </w:rPr>
              <w:t>35</w:t>
            </w:r>
            <w:r w:rsidR="00C128B5" w:rsidRPr="005459E6">
              <w:rPr>
                <w:noProof/>
                <w:webHidden/>
              </w:rPr>
              <w:fldChar w:fldCharType="end"/>
            </w:r>
          </w:hyperlink>
        </w:p>
        <w:p w14:paraId="4B5B7AF7" w14:textId="36050B45" w:rsidR="00C128B5" w:rsidRPr="005459E6" w:rsidRDefault="00000000">
          <w:pPr>
            <w:pStyle w:val="Sommario2"/>
            <w:tabs>
              <w:tab w:val="right" w:leader="dot" w:pos="9350"/>
            </w:tabs>
            <w:rPr>
              <w:rFonts w:cstheme="minorBidi"/>
              <w:noProof/>
            </w:rPr>
          </w:pPr>
          <w:hyperlink w:anchor="_Toc107248290" w:history="1">
            <w:r w:rsidR="00C128B5" w:rsidRPr="005459E6">
              <w:rPr>
                <w:rStyle w:val="Collegamentoipertestuale"/>
                <w:rFonts w:ascii="Times New Roman" w:hAnsi="Times New Roman"/>
                <w:noProof/>
                <w:color w:val="auto"/>
              </w:rPr>
              <w:t>Scope of Study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_Toc107248290 \h </w:instrText>
            </w:r>
            <w:r w:rsidR="00C128B5" w:rsidRPr="005459E6">
              <w:rPr>
                <w:noProof/>
                <w:webHidden/>
              </w:rPr>
            </w:r>
            <w:r w:rsidR="00C128B5" w:rsidRPr="005459E6">
              <w:rPr>
                <w:noProof/>
                <w:webHidden/>
              </w:rPr>
              <w:fldChar w:fldCharType="separate"/>
            </w:r>
            <w:r w:rsidR="006C645B">
              <w:rPr>
                <w:noProof/>
                <w:webHidden/>
              </w:rPr>
              <w:t>36</w:t>
            </w:r>
            <w:r w:rsidR="00C128B5" w:rsidRPr="005459E6">
              <w:rPr>
                <w:noProof/>
                <w:webHidden/>
              </w:rPr>
              <w:fldChar w:fldCharType="end"/>
            </w:r>
          </w:hyperlink>
        </w:p>
        <w:p w14:paraId="0F892FDF" w14:textId="3BBC89DC" w:rsidR="00C128B5" w:rsidRPr="005459E6" w:rsidRDefault="00000000">
          <w:pPr>
            <w:pStyle w:val="Sommario2"/>
            <w:tabs>
              <w:tab w:val="right" w:leader="dot" w:pos="9350"/>
            </w:tabs>
            <w:rPr>
              <w:rFonts w:cstheme="minorBidi"/>
              <w:noProof/>
            </w:rPr>
          </w:pPr>
          <w:hyperlink w:anchor="_Toc107248291" w:history="1">
            <w:r w:rsidR="00C128B5" w:rsidRPr="005459E6">
              <w:rPr>
                <w:rStyle w:val="Collegamentoipertestuale"/>
                <w:rFonts w:ascii="Times New Roman" w:hAnsi="Times New Roman"/>
                <w:noProof/>
                <w:color w:val="auto"/>
              </w:rPr>
              <w:t>Research Question &amp; Hypothesis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_Toc107248291 \h </w:instrText>
            </w:r>
            <w:r w:rsidR="00C128B5" w:rsidRPr="005459E6">
              <w:rPr>
                <w:noProof/>
                <w:webHidden/>
              </w:rPr>
            </w:r>
            <w:r w:rsidR="00C128B5" w:rsidRPr="005459E6">
              <w:rPr>
                <w:noProof/>
                <w:webHidden/>
              </w:rPr>
              <w:fldChar w:fldCharType="separate"/>
            </w:r>
            <w:r w:rsidR="006C645B">
              <w:rPr>
                <w:noProof/>
                <w:webHidden/>
              </w:rPr>
              <w:t>37</w:t>
            </w:r>
            <w:r w:rsidR="00C128B5" w:rsidRPr="005459E6">
              <w:rPr>
                <w:noProof/>
                <w:webHidden/>
              </w:rPr>
              <w:fldChar w:fldCharType="end"/>
            </w:r>
          </w:hyperlink>
        </w:p>
        <w:p w14:paraId="1CFE4532" w14:textId="15861996" w:rsidR="00C128B5" w:rsidRPr="005459E6" w:rsidRDefault="00000000">
          <w:pPr>
            <w:pStyle w:val="Sommario1"/>
            <w:tabs>
              <w:tab w:val="right" w:leader="dot" w:pos="9350"/>
            </w:tabs>
            <w:rPr>
              <w:rFonts w:asciiTheme="minorHAnsi" w:eastAsiaTheme="minorEastAsia" w:hAnsiTheme="minorHAnsi"/>
              <w:noProof/>
            </w:rPr>
          </w:pPr>
          <w:hyperlink w:anchor="_Toc107248292" w:history="1">
            <w:r w:rsidR="00C128B5" w:rsidRPr="005459E6">
              <w:rPr>
                <w:rStyle w:val="Collegamentoipertestuale"/>
                <w:rFonts w:ascii="Times New Roman" w:hAnsi="Times New Roman" w:cs="Times New Roman"/>
                <w:b/>
                <w:bCs/>
                <w:noProof/>
                <w:color w:val="auto"/>
              </w:rPr>
              <w:t>RESEARCH DESIGN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_Toc107248292 \h </w:instrText>
            </w:r>
            <w:r w:rsidR="00C128B5" w:rsidRPr="005459E6">
              <w:rPr>
                <w:noProof/>
                <w:webHidden/>
              </w:rPr>
            </w:r>
            <w:r w:rsidR="00C128B5" w:rsidRPr="005459E6">
              <w:rPr>
                <w:noProof/>
                <w:webHidden/>
              </w:rPr>
              <w:fldChar w:fldCharType="separate"/>
            </w:r>
            <w:r w:rsidR="006C645B">
              <w:rPr>
                <w:noProof/>
                <w:webHidden/>
              </w:rPr>
              <w:t>39</w:t>
            </w:r>
            <w:r w:rsidR="00C128B5" w:rsidRPr="005459E6">
              <w:rPr>
                <w:noProof/>
                <w:webHidden/>
              </w:rPr>
              <w:fldChar w:fldCharType="end"/>
            </w:r>
          </w:hyperlink>
        </w:p>
        <w:p w14:paraId="61B15811" w14:textId="3E5D2AA5" w:rsidR="00C128B5" w:rsidRPr="005459E6" w:rsidRDefault="00000000">
          <w:pPr>
            <w:pStyle w:val="Sommario2"/>
            <w:tabs>
              <w:tab w:val="right" w:leader="dot" w:pos="9350"/>
            </w:tabs>
            <w:rPr>
              <w:rFonts w:cstheme="minorBidi"/>
              <w:noProof/>
            </w:rPr>
          </w:pPr>
          <w:hyperlink w:anchor="_Toc107248293" w:history="1">
            <w:r w:rsidR="00C128B5" w:rsidRPr="005459E6">
              <w:rPr>
                <w:rStyle w:val="Collegamentoipertestuale"/>
                <w:rFonts w:ascii="Times New Roman" w:hAnsi="Times New Roman"/>
                <w:noProof/>
                <w:color w:val="auto"/>
              </w:rPr>
              <w:t>Exploratory Study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_Toc107248293 \h </w:instrText>
            </w:r>
            <w:r w:rsidR="00C128B5" w:rsidRPr="005459E6">
              <w:rPr>
                <w:noProof/>
                <w:webHidden/>
              </w:rPr>
            </w:r>
            <w:r w:rsidR="00C128B5" w:rsidRPr="005459E6">
              <w:rPr>
                <w:noProof/>
                <w:webHidden/>
              </w:rPr>
              <w:fldChar w:fldCharType="separate"/>
            </w:r>
            <w:r w:rsidR="006C645B">
              <w:rPr>
                <w:noProof/>
                <w:webHidden/>
              </w:rPr>
              <w:t>39</w:t>
            </w:r>
            <w:r w:rsidR="00C128B5" w:rsidRPr="005459E6">
              <w:rPr>
                <w:noProof/>
                <w:webHidden/>
              </w:rPr>
              <w:fldChar w:fldCharType="end"/>
            </w:r>
          </w:hyperlink>
        </w:p>
        <w:p w14:paraId="6B8C7A43" w14:textId="1F5B3BE2" w:rsidR="00C128B5" w:rsidRPr="005459E6" w:rsidRDefault="00000000">
          <w:pPr>
            <w:pStyle w:val="Sommario2"/>
            <w:tabs>
              <w:tab w:val="right" w:leader="dot" w:pos="9350"/>
            </w:tabs>
            <w:rPr>
              <w:rFonts w:cstheme="minorBidi"/>
              <w:noProof/>
            </w:rPr>
          </w:pPr>
          <w:hyperlink w:anchor="_Toc107248294" w:history="1">
            <w:r w:rsidR="00C128B5" w:rsidRPr="005459E6">
              <w:rPr>
                <w:rStyle w:val="Collegamentoipertestuale"/>
                <w:rFonts w:ascii="Times New Roman" w:hAnsi="Times New Roman"/>
                <w:noProof/>
                <w:color w:val="auto"/>
              </w:rPr>
              <w:t>Research Methodology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_Toc107248294 \h </w:instrText>
            </w:r>
            <w:r w:rsidR="00C128B5" w:rsidRPr="005459E6">
              <w:rPr>
                <w:noProof/>
                <w:webHidden/>
              </w:rPr>
            </w:r>
            <w:r w:rsidR="00C128B5" w:rsidRPr="005459E6">
              <w:rPr>
                <w:noProof/>
                <w:webHidden/>
              </w:rPr>
              <w:fldChar w:fldCharType="separate"/>
            </w:r>
            <w:r w:rsidR="006C645B">
              <w:rPr>
                <w:noProof/>
                <w:webHidden/>
              </w:rPr>
              <w:t>40</w:t>
            </w:r>
            <w:r w:rsidR="00C128B5" w:rsidRPr="005459E6">
              <w:rPr>
                <w:noProof/>
                <w:webHidden/>
              </w:rPr>
              <w:fldChar w:fldCharType="end"/>
            </w:r>
          </w:hyperlink>
        </w:p>
        <w:p w14:paraId="073B405F" w14:textId="67028E8D" w:rsidR="00C128B5" w:rsidRPr="005459E6" w:rsidRDefault="00000000">
          <w:pPr>
            <w:pStyle w:val="Sommario3"/>
            <w:tabs>
              <w:tab w:val="right" w:leader="dot" w:pos="9350"/>
            </w:tabs>
            <w:rPr>
              <w:rFonts w:cstheme="minorBidi"/>
              <w:noProof/>
            </w:rPr>
          </w:pPr>
          <w:hyperlink w:anchor="_Toc107248295" w:history="1">
            <w:r w:rsidR="00C128B5" w:rsidRPr="005459E6">
              <w:rPr>
                <w:rStyle w:val="Collegamentoipertestuale"/>
                <w:rFonts w:ascii="Times New Roman" w:hAnsi="Times New Roman"/>
                <w:noProof/>
                <w:color w:val="auto"/>
              </w:rPr>
              <w:t>Study Population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_Toc107248295 \h </w:instrText>
            </w:r>
            <w:r w:rsidR="00C128B5" w:rsidRPr="005459E6">
              <w:rPr>
                <w:noProof/>
                <w:webHidden/>
              </w:rPr>
            </w:r>
            <w:r w:rsidR="00C128B5" w:rsidRPr="005459E6">
              <w:rPr>
                <w:noProof/>
                <w:webHidden/>
              </w:rPr>
              <w:fldChar w:fldCharType="separate"/>
            </w:r>
            <w:r w:rsidR="006C645B">
              <w:rPr>
                <w:noProof/>
                <w:webHidden/>
              </w:rPr>
              <w:t>40</w:t>
            </w:r>
            <w:r w:rsidR="00C128B5" w:rsidRPr="005459E6">
              <w:rPr>
                <w:noProof/>
                <w:webHidden/>
              </w:rPr>
              <w:fldChar w:fldCharType="end"/>
            </w:r>
          </w:hyperlink>
        </w:p>
        <w:p w14:paraId="072142E0" w14:textId="39B44B23" w:rsidR="00C128B5" w:rsidRPr="005459E6" w:rsidRDefault="00000000">
          <w:pPr>
            <w:pStyle w:val="Sommario3"/>
            <w:tabs>
              <w:tab w:val="right" w:leader="dot" w:pos="9350"/>
            </w:tabs>
            <w:rPr>
              <w:rFonts w:cstheme="minorBidi"/>
              <w:noProof/>
            </w:rPr>
          </w:pPr>
          <w:hyperlink w:anchor="_Toc107248296" w:history="1">
            <w:r w:rsidR="00C128B5" w:rsidRPr="005459E6">
              <w:rPr>
                <w:rStyle w:val="Collegamentoipertestuale"/>
                <w:rFonts w:ascii="Times New Roman" w:hAnsi="Times New Roman"/>
                <w:noProof/>
                <w:color w:val="auto"/>
              </w:rPr>
              <w:t>Nature of Investigation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_Toc107248296 \h </w:instrText>
            </w:r>
            <w:r w:rsidR="00C128B5" w:rsidRPr="005459E6">
              <w:rPr>
                <w:noProof/>
                <w:webHidden/>
              </w:rPr>
            </w:r>
            <w:r w:rsidR="00C128B5" w:rsidRPr="005459E6">
              <w:rPr>
                <w:noProof/>
                <w:webHidden/>
              </w:rPr>
              <w:fldChar w:fldCharType="separate"/>
            </w:r>
            <w:r w:rsidR="006C645B">
              <w:rPr>
                <w:noProof/>
                <w:webHidden/>
              </w:rPr>
              <w:t>40</w:t>
            </w:r>
            <w:r w:rsidR="00C128B5" w:rsidRPr="005459E6">
              <w:rPr>
                <w:noProof/>
                <w:webHidden/>
              </w:rPr>
              <w:fldChar w:fldCharType="end"/>
            </w:r>
          </w:hyperlink>
        </w:p>
        <w:p w14:paraId="220F2DFE" w14:textId="7ED0F8A7" w:rsidR="00C128B5" w:rsidRPr="005459E6" w:rsidRDefault="00000000">
          <w:pPr>
            <w:pStyle w:val="Sommario2"/>
            <w:tabs>
              <w:tab w:val="right" w:leader="dot" w:pos="9350"/>
            </w:tabs>
            <w:rPr>
              <w:rFonts w:cstheme="minorBidi"/>
              <w:noProof/>
            </w:rPr>
          </w:pPr>
          <w:hyperlink w:anchor="_Toc107248297" w:history="1">
            <w:r w:rsidR="00C128B5" w:rsidRPr="005459E6">
              <w:rPr>
                <w:rStyle w:val="Collegamentoipertestuale"/>
                <w:rFonts w:ascii="Times New Roman" w:hAnsi="Times New Roman"/>
                <w:noProof/>
                <w:color w:val="auto"/>
              </w:rPr>
              <w:t>Sequential Multiple Method</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_Toc107248297 \h </w:instrText>
            </w:r>
            <w:r w:rsidR="00C128B5" w:rsidRPr="005459E6">
              <w:rPr>
                <w:noProof/>
                <w:webHidden/>
              </w:rPr>
            </w:r>
            <w:r w:rsidR="00C128B5" w:rsidRPr="005459E6">
              <w:rPr>
                <w:noProof/>
                <w:webHidden/>
              </w:rPr>
              <w:fldChar w:fldCharType="separate"/>
            </w:r>
            <w:r w:rsidR="006C645B">
              <w:rPr>
                <w:noProof/>
                <w:webHidden/>
              </w:rPr>
              <w:t>41</w:t>
            </w:r>
            <w:r w:rsidR="00C128B5" w:rsidRPr="005459E6">
              <w:rPr>
                <w:noProof/>
                <w:webHidden/>
              </w:rPr>
              <w:fldChar w:fldCharType="end"/>
            </w:r>
          </w:hyperlink>
        </w:p>
        <w:p w14:paraId="3B643FF7" w14:textId="7BFC3A8D" w:rsidR="00C128B5" w:rsidRPr="005459E6" w:rsidRDefault="00000000">
          <w:pPr>
            <w:pStyle w:val="Sommario2"/>
            <w:tabs>
              <w:tab w:val="right" w:leader="dot" w:pos="9350"/>
            </w:tabs>
            <w:rPr>
              <w:rFonts w:cstheme="minorBidi"/>
              <w:noProof/>
            </w:rPr>
          </w:pPr>
          <w:hyperlink w:anchor="_Toc107248298" w:history="1">
            <w:r w:rsidR="00C128B5" w:rsidRPr="005459E6">
              <w:rPr>
                <w:rStyle w:val="Collegamentoipertestuale"/>
                <w:rFonts w:ascii="Times New Roman" w:hAnsi="Times New Roman"/>
                <w:noProof/>
                <w:color w:val="auto"/>
              </w:rPr>
              <w:t>Multivariate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_Toc107248298 \h </w:instrText>
            </w:r>
            <w:r w:rsidR="00C128B5" w:rsidRPr="005459E6">
              <w:rPr>
                <w:noProof/>
                <w:webHidden/>
              </w:rPr>
            </w:r>
            <w:r w:rsidR="00C128B5" w:rsidRPr="005459E6">
              <w:rPr>
                <w:noProof/>
                <w:webHidden/>
              </w:rPr>
              <w:fldChar w:fldCharType="separate"/>
            </w:r>
            <w:r w:rsidR="006C645B">
              <w:rPr>
                <w:noProof/>
                <w:webHidden/>
              </w:rPr>
              <w:t>42</w:t>
            </w:r>
            <w:r w:rsidR="00C128B5" w:rsidRPr="005459E6">
              <w:rPr>
                <w:noProof/>
                <w:webHidden/>
              </w:rPr>
              <w:fldChar w:fldCharType="end"/>
            </w:r>
          </w:hyperlink>
        </w:p>
        <w:p w14:paraId="0FF6C6A4" w14:textId="5CE5D2B0" w:rsidR="00C128B5" w:rsidRPr="005459E6" w:rsidRDefault="00000000">
          <w:pPr>
            <w:pStyle w:val="Sommario1"/>
            <w:tabs>
              <w:tab w:val="right" w:leader="dot" w:pos="9350"/>
            </w:tabs>
            <w:rPr>
              <w:rFonts w:asciiTheme="minorHAnsi" w:eastAsiaTheme="minorEastAsia" w:hAnsiTheme="minorHAnsi"/>
              <w:noProof/>
            </w:rPr>
          </w:pPr>
          <w:hyperlink w:anchor="_Toc107248299" w:history="1">
            <w:r w:rsidR="00C128B5" w:rsidRPr="005459E6">
              <w:rPr>
                <w:rStyle w:val="Collegamentoipertestuale"/>
                <w:rFonts w:ascii="Times New Roman" w:hAnsi="Times New Roman" w:cs="Times New Roman"/>
                <w:b/>
                <w:bCs/>
                <w:noProof/>
                <w:color w:val="auto"/>
              </w:rPr>
              <w:t>DATA SAMPLING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_Toc107248299 \h </w:instrText>
            </w:r>
            <w:r w:rsidR="00C128B5" w:rsidRPr="005459E6">
              <w:rPr>
                <w:noProof/>
                <w:webHidden/>
              </w:rPr>
            </w:r>
            <w:r w:rsidR="00C128B5" w:rsidRPr="005459E6">
              <w:rPr>
                <w:noProof/>
                <w:webHidden/>
              </w:rPr>
              <w:fldChar w:fldCharType="separate"/>
            </w:r>
            <w:r w:rsidR="006C645B">
              <w:rPr>
                <w:noProof/>
                <w:webHidden/>
              </w:rPr>
              <w:t>43</w:t>
            </w:r>
            <w:r w:rsidR="00C128B5" w:rsidRPr="005459E6">
              <w:rPr>
                <w:noProof/>
                <w:webHidden/>
              </w:rPr>
              <w:fldChar w:fldCharType="end"/>
            </w:r>
          </w:hyperlink>
        </w:p>
        <w:p w14:paraId="092F483D" w14:textId="14C3E1D2" w:rsidR="00C128B5" w:rsidRPr="005459E6" w:rsidRDefault="00000000">
          <w:pPr>
            <w:pStyle w:val="Sommario2"/>
            <w:tabs>
              <w:tab w:val="right" w:leader="dot" w:pos="9350"/>
            </w:tabs>
            <w:rPr>
              <w:rFonts w:cstheme="minorBidi"/>
              <w:noProof/>
            </w:rPr>
          </w:pPr>
          <w:hyperlink w:anchor="_Toc107248300" w:history="1">
            <w:r w:rsidR="00C128B5" w:rsidRPr="005459E6">
              <w:rPr>
                <w:rStyle w:val="Collegamentoipertestuale"/>
                <w:rFonts w:ascii="Times New Roman" w:hAnsi="Times New Roman"/>
                <w:noProof/>
                <w:color w:val="auto"/>
              </w:rPr>
              <w:t>Data Type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_Toc107248300 \h </w:instrText>
            </w:r>
            <w:r w:rsidR="00C128B5" w:rsidRPr="005459E6">
              <w:rPr>
                <w:noProof/>
                <w:webHidden/>
              </w:rPr>
            </w:r>
            <w:r w:rsidR="00C128B5" w:rsidRPr="005459E6">
              <w:rPr>
                <w:noProof/>
                <w:webHidden/>
              </w:rPr>
              <w:fldChar w:fldCharType="separate"/>
            </w:r>
            <w:r w:rsidR="006C645B">
              <w:rPr>
                <w:noProof/>
                <w:webHidden/>
              </w:rPr>
              <w:t>43</w:t>
            </w:r>
            <w:r w:rsidR="00C128B5" w:rsidRPr="005459E6">
              <w:rPr>
                <w:noProof/>
                <w:webHidden/>
              </w:rPr>
              <w:fldChar w:fldCharType="end"/>
            </w:r>
          </w:hyperlink>
        </w:p>
        <w:p w14:paraId="75F30AA6" w14:textId="566E8B9C" w:rsidR="00C128B5" w:rsidRPr="005459E6" w:rsidRDefault="00000000">
          <w:pPr>
            <w:pStyle w:val="Sommario2"/>
            <w:tabs>
              <w:tab w:val="right" w:leader="dot" w:pos="9350"/>
            </w:tabs>
            <w:rPr>
              <w:rFonts w:cstheme="minorBidi"/>
              <w:noProof/>
            </w:rPr>
          </w:pPr>
          <w:hyperlink w:anchor="_Toc107248301" w:history="1">
            <w:r w:rsidR="00C128B5" w:rsidRPr="005459E6">
              <w:rPr>
                <w:rStyle w:val="Collegamentoipertestuale"/>
                <w:rFonts w:ascii="Times New Roman" w:hAnsi="Times New Roman"/>
                <w:noProof/>
                <w:color w:val="auto"/>
              </w:rPr>
              <w:t>Data Measurement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_Toc107248301 \h </w:instrText>
            </w:r>
            <w:r w:rsidR="00C128B5" w:rsidRPr="005459E6">
              <w:rPr>
                <w:noProof/>
                <w:webHidden/>
              </w:rPr>
            </w:r>
            <w:r w:rsidR="00C128B5" w:rsidRPr="005459E6">
              <w:rPr>
                <w:noProof/>
                <w:webHidden/>
              </w:rPr>
              <w:fldChar w:fldCharType="separate"/>
            </w:r>
            <w:r w:rsidR="006C645B">
              <w:rPr>
                <w:noProof/>
                <w:webHidden/>
              </w:rPr>
              <w:t>43</w:t>
            </w:r>
            <w:r w:rsidR="00C128B5" w:rsidRPr="005459E6">
              <w:rPr>
                <w:noProof/>
                <w:webHidden/>
              </w:rPr>
              <w:fldChar w:fldCharType="end"/>
            </w:r>
          </w:hyperlink>
        </w:p>
        <w:p w14:paraId="07EC6EE1" w14:textId="088E8E66" w:rsidR="00C128B5" w:rsidRPr="005459E6" w:rsidRDefault="00000000">
          <w:pPr>
            <w:pStyle w:val="Sommario2"/>
            <w:tabs>
              <w:tab w:val="right" w:leader="dot" w:pos="9350"/>
            </w:tabs>
            <w:rPr>
              <w:rFonts w:cstheme="minorBidi"/>
              <w:noProof/>
            </w:rPr>
          </w:pPr>
          <w:hyperlink w:anchor="_Toc107248302" w:history="1">
            <w:r w:rsidR="00C128B5" w:rsidRPr="005459E6">
              <w:rPr>
                <w:rStyle w:val="Collegamentoipertestuale"/>
                <w:rFonts w:ascii="Times New Roman" w:hAnsi="Times New Roman"/>
                <w:noProof/>
                <w:color w:val="auto"/>
              </w:rPr>
              <w:t>Data Sampling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_Toc107248302 \h </w:instrText>
            </w:r>
            <w:r w:rsidR="00C128B5" w:rsidRPr="005459E6">
              <w:rPr>
                <w:noProof/>
                <w:webHidden/>
              </w:rPr>
            </w:r>
            <w:r w:rsidR="00C128B5" w:rsidRPr="005459E6">
              <w:rPr>
                <w:noProof/>
                <w:webHidden/>
              </w:rPr>
              <w:fldChar w:fldCharType="separate"/>
            </w:r>
            <w:r w:rsidR="006C645B">
              <w:rPr>
                <w:noProof/>
                <w:webHidden/>
              </w:rPr>
              <w:t>43</w:t>
            </w:r>
            <w:r w:rsidR="00C128B5" w:rsidRPr="005459E6">
              <w:rPr>
                <w:noProof/>
                <w:webHidden/>
              </w:rPr>
              <w:fldChar w:fldCharType="end"/>
            </w:r>
          </w:hyperlink>
        </w:p>
        <w:p w14:paraId="146668DC" w14:textId="075CDBB7" w:rsidR="00C128B5" w:rsidRPr="005459E6" w:rsidRDefault="00000000">
          <w:pPr>
            <w:pStyle w:val="Sommario3"/>
            <w:tabs>
              <w:tab w:val="right" w:leader="dot" w:pos="9350"/>
            </w:tabs>
            <w:rPr>
              <w:rFonts w:cstheme="minorBidi"/>
              <w:noProof/>
            </w:rPr>
          </w:pPr>
          <w:hyperlink w:anchor="_Toc107248303" w:history="1">
            <w:r w:rsidR="00C128B5" w:rsidRPr="005459E6">
              <w:rPr>
                <w:rStyle w:val="Collegamentoipertestuale"/>
                <w:rFonts w:ascii="Times New Roman" w:hAnsi="Times New Roman"/>
                <w:noProof/>
                <w:color w:val="auto"/>
              </w:rPr>
              <w:t>Sample Size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_Toc107248303 \h </w:instrText>
            </w:r>
            <w:r w:rsidR="00C128B5" w:rsidRPr="005459E6">
              <w:rPr>
                <w:noProof/>
                <w:webHidden/>
              </w:rPr>
            </w:r>
            <w:r w:rsidR="00C128B5" w:rsidRPr="005459E6">
              <w:rPr>
                <w:noProof/>
                <w:webHidden/>
              </w:rPr>
              <w:fldChar w:fldCharType="separate"/>
            </w:r>
            <w:r w:rsidR="006C645B">
              <w:rPr>
                <w:noProof/>
                <w:webHidden/>
              </w:rPr>
              <w:t>44</w:t>
            </w:r>
            <w:r w:rsidR="00C128B5" w:rsidRPr="005459E6">
              <w:rPr>
                <w:noProof/>
                <w:webHidden/>
              </w:rPr>
              <w:fldChar w:fldCharType="end"/>
            </w:r>
          </w:hyperlink>
        </w:p>
        <w:p w14:paraId="37D17F76" w14:textId="29882C92" w:rsidR="00C128B5" w:rsidRPr="005459E6" w:rsidRDefault="00000000">
          <w:pPr>
            <w:pStyle w:val="Sommario3"/>
            <w:tabs>
              <w:tab w:val="right" w:leader="dot" w:pos="9350"/>
            </w:tabs>
            <w:rPr>
              <w:rFonts w:cstheme="minorBidi"/>
              <w:noProof/>
            </w:rPr>
          </w:pPr>
          <w:hyperlink w:anchor="_Toc107248304" w:history="1">
            <w:r w:rsidR="00C128B5" w:rsidRPr="005459E6">
              <w:rPr>
                <w:rStyle w:val="Collegamentoipertestuale"/>
                <w:rFonts w:ascii="Times New Roman" w:hAnsi="Times New Roman"/>
                <w:noProof/>
                <w:color w:val="auto"/>
              </w:rPr>
              <w:t>Sampling Type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_Toc107248304 \h </w:instrText>
            </w:r>
            <w:r w:rsidR="00C128B5" w:rsidRPr="005459E6">
              <w:rPr>
                <w:noProof/>
                <w:webHidden/>
              </w:rPr>
            </w:r>
            <w:r w:rsidR="00C128B5" w:rsidRPr="005459E6">
              <w:rPr>
                <w:noProof/>
                <w:webHidden/>
              </w:rPr>
              <w:fldChar w:fldCharType="separate"/>
            </w:r>
            <w:r w:rsidR="006C645B">
              <w:rPr>
                <w:noProof/>
                <w:webHidden/>
              </w:rPr>
              <w:t>48</w:t>
            </w:r>
            <w:r w:rsidR="00C128B5" w:rsidRPr="005459E6">
              <w:rPr>
                <w:noProof/>
                <w:webHidden/>
              </w:rPr>
              <w:fldChar w:fldCharType="end"/>
            </w:r>
          </w:hyperlink>
        </w:p>
        <w:p w14:paraId="7B13ACE7" w14:textId="1683EAC7" w:rsidR="00C128B5" w:rsidRPr="005459E6" w:rsidRDefault="00000000">
          <w:pPr>
            <w:pStyle w:val="Sommario3"/>
            <w:tabs>
              <w:tab w:val="right" w:leader="dot" w:pos="9350"/>
            </w:tabs>
            <w:rPr>
              <w:rFonts w:cstheme="minorBidi"/>
              <w:noProof/>
            </w:rPr>
          </w:pPr>
          <w:hyperlink w:anchor="_Toc107248305" w:history="1">
            <w:r w:rsidR="00C128B5" w:rsidRPr="005459E6">
              <w:rPr>
                <w:rStyle w:val="Collegamentoipertestuale"/>
                <w:rFonts w:ascii="Times New Roman" w:hAnsi="Times New Roman"/>
                <w:noProof/>
                <w:color w:val="auto"/>
              </w:rPr>
              <w:t>Sample Selection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_Toc107248305 \h </w:instrText>
            </w:r>
            <w:r w:rsidR="00C128B5" w:rsidRPr="005459E6">
              <w:rPr>
                <w:noProof/>
                <w:webHidden/>
              </w:rPr>
            </w:r>
            <w:r w:rsidR="00C128B5" w:rsidRPr="005459E6">
              <w:rPr>
                <w:noProof/>
                <w:webHidden/>
              </w:rPr>
              <w:fldChar w:fldCharType="separate"/>
            </w:r>
            <w:r w:rsidR="006C645B">
              <w:rPr>
                <w:noProof/>
                <w:webHidden/>
              </w:rPr>
              <w:t>48</w:t>
            </w:r>
            <w:r w:rsidR="00C128B5" w:rsidRPr="005459E6">
              <w:rPr>
                <w:noProof/>
                <w:webHidden/>
              </w:rPr>
              <w:fldChar w:fldCharType="end"/>
            </w:r>
          </w:hyperlink>
        </w:p>
        <w:p w14:paraId="3CDD0E5B" w14:textId="6F6D70B8" w:rsidR="00C128B5" w:rsidRPr="005459E6" w:rsidRDefault="00000000">
          <w:pPr>
            <w:pStyle w:val="Sommario2"/>
            <w:tabs>
              <w:tab w:val="right" w:leader="dot" w:pos="9350"/>
            </w:tabs>
            <w:rPr>
              <w:rFonts w:cstheme="minorBidi"/>
              <w:noProof/>
            </w:rPr>
          </w:pPr>
          <w:hyperlink w:anchor="_Toc107248306" w:history="1">
            <w:r w:rsidR="00C128B5" w:rsidRPr="005459E6">
              <w:rPr>
                <w:rStyle w:val="Collegamentoipertestuale"/>
                <w:rFonts w:ascii="Times New Roman" w:hAnsi="Times New Roman"/>
                <w:noProof/>
                <w:color w:val="auto"/>
              </w:rPr>
              <w:t>Ethical Considerations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_Toc107248306 \h </w:instrText>
            </w:r>
            <w:r w:rsidR="00C128B5" w:rsidRPr="005459E6">
              <w:rPr>
                <w:noProof/>
                <w:webHidden/>
              </w:rPr>
            </w:r>
            <w:r w:rsidR="00C128B5" w:rsidRPr="005459E6">
              <w:rPr>
                <w:noProof/>
                <w:webHidden/>
              </w:rPr>
              <w:fldChar w:fldCharType="separate"/>
            </w:r>
            <w:r w:rsidR="006C645B">
              <w:rPr>
                <w:noProof/>
                <w:webHidden/>
              </w:rPr>
              <w:t>49</w:t>
            </w:r>
            <w:r w:rsidR="00C128B5" w:rsidRPr="005459E6">
              <w:rPr>
                <w:noProof/>
                <w:webHidden/>
              </w:rPr>
              <w:fldChar w:fldCharType="end"/>
            </w:r>
          </w:hyperlink>
        </w:p>
        <w:p w14:paraId="077C9D64" w14:textId="5757B3D0" w:rsidR="00C128B5" w:rsidRPr="005459E6" w:rsidRDefault="00000000">
          <w:pPr>
            <w:pStyle w:val="Sommario2"/>
            <w:tabs>
              <w:tab w:val="right" w:leader="dot" w:pos="9350"/>
            </w:tabs>
            <w:rPr>
              <w:rFonts w:cstheme="minorBidi"/>
              <w:noProof/>
            </w:rPr>
          </w:pPr>
          <w:hyperlink w:anchor="_Toc107248307" w:history="1">
            <w:r w:rsidR="00C128B5" w:rsidRPr="005459E6">
              <w:rPr>
                <w:rStyle w:val="Collegamentoipertestuale"/>
                <w:rFonts w:ascii="Times New Roman" w:hAnsi="Times New Roman"/>
                <w:noProof/>
                <w:color w:val="auto"/>
              </w:rPr>
              <w:t>Research Instrument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_Toc107248307 \h </w:instrText>
            </w:r>
            <w:r w:rsidR="00C128B5" w:rsidRPr="005459E6">
              <w:rPr>
                <w:noProof/>
                <w:webHidden/>
              </w:rPr>
            </w:r>
            <w:r w:rsidR="00C128B5" w:rsidRPr="005459E6">
              <w:rPr>
                <w:noProof/>
                <w:webHidden/>
              </w:rPr>
              <w:fldChar w:fldCharType="separate"/>
            </w:r>
            <w:r w:rsidR="006C645B">
              <w:rPr>
                <w:noProof/>
                <w:webHidden/>
              </w:rPr>
              <w:t>51</w:t>
            </w:r>
            <w:r w:rsidR="00C128B5" w:rsidRPr="005459E6">
              <w:rPr>
                <w:noProof/>
                <w:webHidden/>
              </w:rPr>
              <w:fldChar w:fldCharType="end"/>
            </w:r>
          </w:hyperlink>
        </w:p>
        <w:p w14:paraId="52AEC11F" w14:textId="636776C0" w:rsidR="00C128B5" w:rsidRPr="005459E6" w:rsidRDefault="00000000">
          <w:pPr>
            <w:pStyle w:val="Sommario3"/>
            <w:tabs>
              <w:tab w:val="right" w:leader="dot" w:pos="9350"/>
            </w:tabs>
            <w:rPr>
              <w:rFonts w:cstheme="minorBidi"/>
              <w:noProof/>
            </w:rPr>
          </w:pPr>
          <w:hyperlink w:anchor="_Toc107248308" w:history="1">
            <w:r w:rsidR="00C128B5" w:rsidRPr="005459E6">
              <w:rPr>
                <w:rStyle w:val="Collegamentoipertestuale"/>
                <w:rFonts w:ascii="Times New Roman" w:hAnsi="Times New Roman"/>
                <w:noProof/>
                <w:color w:val="auto"/>
              </w:rPr>
              <w:t>Emotiv Brainwear</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_Toc107248308 \h </w:instrText>
            </w:r>
            <w:r w:rsidR="00C128B5" w:rsidRPr="005459E6">
              <w:rPr>
                <w:noProof/>
                <w:webHidden/>
              </w:rPr>
            </w:r>
            <w:r w:rsidR="00C128B5" w:rsidRPr="005459E6">
              <w:rPr>
                <w:noProof/>
                <w:webHidden/>
              </w:rPr>
              <w:fldChar w:fldCharType="separate"/>
            </w:r>
            <w:r w:rsidR="006C645B">
              <w:rPr>
                <w:noProof/>
                <w:webHidden/>
              </w:rPr>
              <w:t>51</w:t>
            </w:r>
            <w:r w:rsidR="00C128B5" w:rsidRPr="005459E6">
              <w:rPr>
                <w:noProof/>
                <w:webHidden/>
              </w:rPr>
              <w:fldChar w:fldCharType="end"/>
            </w:r>
          </w:hyperlink>
        </w:p>
        <w:p w14:paraId="15339A28" w14:textId="23604B8D" w:rsidR="00C128B5" w:rsidRPr="005459E6" w:rsidRDefault="00000000">
          <w:pPr>
            <w:pStyle w:val="Sommario3"/>
            <w:tabs>
              <w:tab w:val="right" w:leader="dot" w:pos="9350"/>
            </w:tabs>
            <w:rPr>
              <w:rFonts w:cstheme="minorBidi"/>
              <w:noProof/>
            </w:rPr>
          </w:pPr>
          <w:hyperlink w:anchor="_Toc107248309" w:history="1">
            <w:r w:rsidR="00C128B5" w:rsidRPr="005459E6">
              <w:rPr>
                <w:rStyle w:val="Collegamentoipertestuale"/>
                <w:rFonts w:ascii="Times New Roman" w:hAnsi="Times New Roman"/>
                <w:noProof/>
                <w:color w:val="auto"/>
              </w:rPr>
              <w:t>Brainwaves &amp; Frequency bands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_Toc107248309 \h </w:instrText>
            </w:r>
            <w:r w:rsidR="00C128B5" w:rsidRPr="005459E6">
              <w:rPr>
                <w:noProof/>
                <w:webHidden/>
              </w:rPr>
            </w:r>
            <w:r w:rsidR="00C128B5" w:rsidRPr="005459E6">
              <w:rPr>
                <w:noProof/>
                <w:webHidden/>
              </w:rPr>
              <w:fldChar w:fldCharType="separate"/>
            </w:r>
            <w:r w:rsidR="006C645B">
              <w:rPr>
                <w:noProof/>
                <w:webHidden/>
              </w:rPr>
              <w:t>56</w:t>
            </w:r>
            <w:r w:rsidR="00C128B5" w:rsidRPr="005459E6">
              <w:rPr>
                <w:noProof/>
                <w:webHidden/>
              </w:rPr>
              <w:fldChar w:fldCharType="end"/>
            </w:r>
          </w:hyperlink>
        </w:p>
        <w:p w14:paraId="77ADA67A" w14:textId="4FA9E2C6" w:rsidR="00C128B5" w:rsidRPr="005459E6" w:rsidRDefault="00000000">
          <w:pPr>
            <w:pStyle w:val="Sommario3"/>
            <w:tabs>
              <w:tab w:val="right" w:leader="dot" w:pos="9350"/>
            </w:tabs>
            <w:rPr>
              <w:rFonts w:cstheme="minorBidi"/>
              <w:noProof/>
            </w:rPr>
          </w:pPr>
          <w:hyperlink w:anchor="_Toc107248310" w:history="1">
            <w:r w:rsidR="00C128B5" w:rsidRPr="005459E6">
              <w:rPr>
                <w:rStyle w:val="Collegamentoipertestuale"/>
                <w:rFonts w:ascii="Times New Roman" w:hAnsi="Times New Roman"/>
                <w:noProof/>
                <w:color w:val="auto"/>
              </w:rPr>
              <w:t>Emotional States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_Toc107248310 \h </w:instrText>
            </w:r>
            <w:r w:rsidR="00C128B5" w:rsidRPr="005459E6">
              <w:rPr>
                <w:noProof/>
                <w:webHidden/>
              </w:rPr>
            </w:r>
            <w:r w:rsidR="00C128B5" w:rsidRPr="005459E6">
              <w:rPr>
                <w:noProof/>
                <w:webHidden/>
              </w:rPr>
              <w:fldChar w:fldCharType="separate"/>
            </w:r>
            <w:r w:rsidR="006C645B">
              <w:rPr>
                <w:noProof/>
                <w:webHidden/>
              </w:rPr>
              <w:t>58</w:t>
            </w:r>
            <w:r w:rsidR="00C128B5" w:rsidRPr="005459E6">
              <w:rPr>
                <w:noProof/>
                <w:webHidden/>
              </w:rPr>
              <w:fldChar w:fldCharType="end"/>
            </w:r>
          </w:hyperlink>
        </w:p>
        <w:p w14:paraId="5BD88E21" w14:textId="62E71416" w:rsidR="00C128B5" w:rsidRPr="005459E6" w:rsidRDefault="00000000">
          <w:pPr>
            <w:pStyle w:val="Sommario2"/>
            <w:tabs>
              <w:tab w:val="right" w:leader="dot" w:pos="9350"/>
            </w:tabs>
            <w:rPr>
              <w:rFonts w:cstheme="minorBidi"/>
              <w:noProof/>
            </w:rPr>
          </w:pPr>
          <w:hyperlink w:anchor="_Toc107248311" w:history="1">
            <w:r w:rsidR="00C128B5" w:rsidRPr="005459E6">
              <w:rPr>
                <w:rStyle w:val="Collegamentoipertestuale"/>
                <w:rFonts w:ascii="Times New Roman" w:hAnsi="Times New Roman"/>
                <w:noProof/>
                <w:color w:val="auto"/>
              </w:rPr>
              <w:t>Relationship between Well-being &amp; Productivity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_Toc107248311 \h </w:instrText>
            </w:r>
            <w:r w:rsidR="00C128B5" w:rsidRPr="005459E6">
              <w:rPr>
                <w:noProof/>
                <w:webHidden/>
              </w:rPr>
            </w:r>
            <w:r w:rsidR="00C128B5" w:rsidRPr="005459E6">
              <w:rPr>
                <w:noProof/>
                <w:webHidden/>
              </w:rPr>
              <w:fldChar w:fldCharType="separate"/>
            </w:r>
            <w:r w:rsidR="006C645B">
              <w:rPr>
                <w:noProof/>
                <w:webHidden/>
              </w:rPr>
              <w:t>59</w:t>
            </w:r>
            <w:r w:rsidR="00C128B5" w:rsidRPr="005459E6">
              <w:rPr>
                <w:noProof/>
                <w:webHidden/>
              </w:rPr>
              <w:fldChar w:fldCharType="end"/>
            </w:r>
          </w:hyperlink>
        </w:p>
        <w:p w14:paraId="1DD172EA" w14:textId="0472AE45" w:rsidR="00C128B5" w:rsidRPr="005459E6" w:rsidRDefault="00000000">
          <w:pPr>
            <w:pStyle w:val="Sommario1"/>
            <w:tabs>
              <w:tab w:val="right" w:leader="dot" w:pos="9350"/>
            </w:tabs>
            <w:rPr>
              <w:rFonts w:asciiTheme="minorHAnsi" w:eastAsiaTheme="minorEastAsia" w:hAnsiTheme="minorHAnsi"/>
              <w:noProof/>
            </w:rPr>
          </w:pPr>
          <w:hyperlink w:anchor="_Toc107248312" w:history="1">
            <w:r w:rsidR="00C128B5" w:rsidRPr="005459E6">
              <w:rPr>
                <w:rStyle w:val="Collegamentoipertestuale"/>
                <w:rFonts w:ascii="Times New Roman" w:hAnsi="Times New Roman" w:cs="Times New Roman"/>
                <w:b/>
                <w:bCs/>
                <w:noProof/>
                <w:color w:val="auto"/>
              </w:rPr>
              <w:t>DATA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_Toc107248312 \h </w:instrText>
            </w:r>
            <w:r w:rsidR="00C128B5" w:rsidRPr="005459E6">
              <w:rPr>
                <w:noProof/>
                <w:webHidden/>
              </w:rPr>
            </w:r>
            <w:r w:rsidR="00C128B5" w:rsidRPr="005459E6">
              <w:rPr>
                <w:noProof/>
                <w:webHidden/>
              </w:rPr>
              <w:fldChar w:fldCharType="separate"/>
            </w:r>
            <w:r w:rsidR="006C645B">
              <w:rPr>
                <w:noProof/>
                <w:webHidden/>
              </w:rPr>
              <w:t>61</w:t>
            </w:r>
            <w:r w:rsidR="00C128B5" w:rsidRPr="005459E6">
              <w:rPr>
                <w:noProof/>
                <w:webHidden/>
              </w:rPr>
              <w:fldChar w:fldCharType="end"/>
            </w:r>
          </w:hyperlink>
        </w:p>
        <w:p w14:paraId="07323634" w14:textId="55EAA3C8" w:rsidR="00C128B5" w:rsidRPr="005459E6" w:rsidRDefault="00000000">
          <w:pPr>
            <w:pStyle w:val="Sommario2"/>
            <w:tabs>
              <w:tab w:val="right" w:leader="dot" w:pos="9350"/>
            </w:tabs>
            <w:rPr>
              <w:rFonts w:cstheme="minorBidi"/>
              <w:noProof/>
            </w:rPr>
          </w:pPr>
          <w:hyperlink w:anchor="_Toc107248313" w:history="1">
            <w:r w:rsidR="00C128B5" w:rsidRPr="005459E6">
              <w:rPr>
                <w:rStyle w:val="Collegamentoipertestuale"/>
                <w:rFonts w:ascii="Times New Roman" w:hAnsi="Times New Roman"/>
                <w:noProof/>
                <w:color w:val="auto"/>
              </w:rPr>
              <w:t>Pearson correlation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_Toc107248313 \h </w:instrText>
            </w:r>
            <w:r w:rsidR="00C128B5" w:rsidRPr="005459E6">
              <w:rPr>
                <w:noProof/>
                <w:webHidden/>
              </w:rPr>
            </w:r>
            <w:r w:rsidR="00C128B5" w:rsidRPr="005459E6">
              <w:rPr>
                <w:noProof/>
                <w:webHidden/>
              </w:rPr>
              <w:fldChar w:fldCharType="separate"/>
            </w:r>
            <w:r w:rsidR="006C645B">
              <w:rPr>
                <w:noProof/>
                <w:webHidden/>
              </w:rPr>
              <w:t>61</w:t>
            </w:r>
            <w:r w:rsidR="00C128B5" w:rsidRPr="005459E6">
              <w:rPr>
                <w:noProof/>
                <w:webHidden/>
              </w:rPr>
              <w:fldChar w:fldCharType="end"/>
            </w:r>
          </w:hyperlink>
        </w:p>
        <w:p w14:paraId="2C562F66" w14:textId="24CC57E2" w:rsidR="00C128B5" w:rsidRPr="005459E6" w:rsidRDefault="00000000">
          <w:pPr>
            <w:pStyle w:val="Sommario2"/>
            <w:tabs>
              <w:tab w:val="right" w:leader="dot" w:pos="9350"/>
            </w:tabs>
            <w:rPr>
              <w:rFonts w:cstheme="minorBidi"/>
              <w:noProof/>
            </w:rPr>
          </w:pPr>
          <w:hyperlink w:anchor="_Toc107248314" w:history="1">
            <w:r w:rsidR="00C128B5" w:rsidRPr="005459E6">
              <w:rPr>
                <w:rStyle w:val="Collegamentoipertestuale"/>
                <w:rFonts w:ascii="Times New Roman" w:hAnsi="Times New Roman"/>
                <w:noProof/>
                <w:color w:val="auto"/>
              </w:rPr>
              <w:t>Qualitative Content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_Toc107248314 \h </w:instrText>
            </w:r>
            <w:r w:rsidR="00C128B5" w:rsidRPr="005459E6">
              <w:rPr>
                <w:noProof/>
                <w:webHidden/>
              </w:rPr>
            </w:r>
            <w:r w:rsidR="00C128B5" w:rsidRPr="005459E6">
              <w:rPr>
                <w:noProof/>
                <w:webHidden/>
              </w:rPr>
              <w:fldChar w:fldCharType="separate"/>
            </w:r>
            <w:r w:rsidR="006C645B">
              <w:rPr>
                <w:noProof/>
                <w:webHidden/>
              </w:rPr>
              <w:t>75</w:t>
            </w:r>
            <w:r w:rsidR="00C128B5" w:rsidRPr="005459E6">
              <w:rPr>
                <w:noProof/>
                <w:webHidden/>
              </w:rPr>
              <w:fldChar w:fldCharType="end"/>
            </w:r>
          </w:hyperlink>
        </w:p>
        <w:p w14:paraId="016532FA" w14:textId="1201F01E" w:rsidR="00C128B5" w:rsidRPr="005459E6" w:rsidRDefault="00000000">
          <w:pPr>
            <w:pStyle w:val="Sommario3"/>
            <w:tabs>
              <w:tab w:val="right" w:leader="dot" w:pos="9350"/>
            </w:tabs>
            <w:rPr>
              <w:rFonts w:cstheme="minorBidi"/>
              <w:noProof/>
            </w:rPr>
          </w:pPr>
          <w:hyperlink w:anchor="_Toc107248315" w:history="1">
            <w:r w:rsidR="00C128B5" w:rsidRPr="005459E6">
              <w:rPr>
                <w:rStyle w:val="Collegamentoipertestuale"/>
                <w:rFonts w:ascii="Times New Roman" w:hAnsi="Times New Roman"/>
                <w:noProof/>
                <w:color w:val="auto"/>
              </w:rPr>
              <w:t>Sentiment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_Toc107248315 \h </w:instrText>
            </w:r>
            <w:r w:rsidR="00C128B5" w:rsidRPr="005459E6">
              <w:rPr>
                <w:noProof/>
                <w:webHidden/>
              </w:rPr>
            </w:r>
            <w:r w:rsidR="00C128B5" w:rsidRPr="005459E6">
              <w:rPr>
                <w:noProof/>
                <w:webHidden/>
              </w:rPr>
              <w:fldChar w:fldCharType="separate"/>
            </w:r>
            <w:r w:rsidR="006C645B">
              <w:rPr>
                <w:noProof/>
                <w:webHidden/>
              </w:rPr>
              <w:t>81</w:t>
            </w:r>
            <w:r w:rsidR="00C128B5" w:rsidRPr="005459E6">
              <w:rPr>
                <w:noProof/>
                <w:webHidden/>
              </w:rPr>
              <w:fldChar w:fldCharType="end"/>
            </w:r>
          </w:hyperlink>
        </w:p>
        <w:p w14:paraId="226148E9" w14:textId="1F7EAE6B" w:rsidR="00C128B5" w:rsidRPr="005459E6" w:rsidRDefault="00000000">
          <w:pPr>
            <w:pStyle w:val="Sommario3"/>
            <w:tabs>
              <w:tab w:val="right" w:leader="dot" w:pos="9350"/>
            </w:tabs>
            <w:rPr>
              <w:rFonts w:cstheme="minorBidi"/>
              <w:noProof/>
            </w:rPr>
          </w:pPr>
          <w:hyperlink w:anchor="_Toc107248316" w:history="1">
            <w:r w:rsidR="00C128B5" w:rsidRPr="005459E6">
              <w:rPr>
                <w:rStyle w:val="Collegamentoipertestuale"/>
                <w:rFonts w:ascii="Times New Roman" w:hAnsi="Times New Roman"/>
                <w:noProof/>
                <w:color w:val="auto"/>
              </w:rPr>
              <w:t>Cluster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_Toc107248316 \h </w:instrText>
            </w:r>
            <w:r w:rsidR="00C128B5" w:rsidRPr="005459E6">
              <w:rPr>
                <w:noProof/>
                <w:webHidden/>
              </w:rPr>
            </w:r>
            <w:r w:rsidR="00C128B5" w:rsidRPr="005459E6">
              <w:rPr>
                <w:noProof/>
                <w:webHidden/>
              </w:rPr>
              <w:fldChar w:fldCharType="separate"/>
            </w:r>
            <w:r w:rsidR="006C645B">
              <w:rPr>
                <w:noProof/>
                <w:webHidden/>
              </w:rPr>
              <w:t>82</w:t>
            </w:r>
            <w:r w:rsidR="00C128B5" w:rsidRPr="005459E6">
              <w:rPr>
                <w:noProof/>
                <w:webHidden/>
              </w:rPr>
              <w:fldChar w:fldCharType="end"/>
            </w:r>
          </w:hyperlink>
        </w:p>
        <w:p w14:paraId="0936CCF2" w14:textId="5072578C" w:rsidR="00C128B5" w:rsidRPr="005459E6" w:rsidRDefault="00000000">
          <w:pPr>
            <w:pStyle w:val="Sommario3"/>
            <w:tabs>
              <w:tab w:val="right" w:leader="dot" w:pos="9350"/>
            </w:tabs>
            <w:rPr>
              <w:rFonts w:cstheme="minorBidi"/>
              <w:noProof/>
            </w:rPr>
          </w:pPr>
          <w:hyperlink w:anchor="_Toc107248317" w:history="1">
            <w:r w:rsidR="00C128B5" w:rsidRPr="005459E6">
              <w:rPr>
                <w:rStyle w:val="Collegamentoipertestuale"/>
                <w:rFonts w:ascii="Times New Roman" w:hAnsi="Times New Roman"/>
                <w:noProof/>
                <w:color w:val="auto"/>
              </w:rPr>
              <w:t>Co-occurrence Table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_Toc107248317 \h </w:instrText>
            </w:r>
            <w:r w:rsidR="00C128B5" w:rsidRPr="005459E6">
              <w:rPr>
                <w:noProof/>
                <w:webHidden/>
              </w:rPr>
            </w:r>
            <w:r w:rsidR="00C128B5" w:rsidRPr="005459E6">
              <w:rPr>
                <w:noProof/>
                <w:webHidden/>
              </w:rPr>
              <w:fldChar w:fldCharType="separate"/>
            </w:r>
            <w:r w:rsidR="006C645B">
              <w:rPr>
                <w:noProof/>
                <w:webHidden/>
              </w:rPr>
              <w:t>83</w:t>
            </w:r>
            <w:r w:rsidR="00C128B5" w:rsidRPr="005459E6">
              <w:rPr>
                <w:noProof/>
                <w:webHidden/>
              </w:rPr>
              <w:fldChar w:fldCharType="end"/>
            </w:r>
          </w:hyperlink>
        </w:p>
        <w:p w14:paraId="166104AB" w14:textId="7B691AFC" w:rsidR="00C128B5" w:rsidRPr="005459E6" w:rsidRDefault="00000000">
          <w:pPr>
            <w:pStyle w:val="Sommario2"/>
            <w:tabs>
              <w:tab w:val="right" w:leader="dot" w:pos="9350"/>
            </w:tabs>
            <w:rPr>
              <w:rFonts w:cstheme="minorBidi"/>
              <w:noProof/>
            </w:rPr>
          </w:pPr>
          <w:hyperlink w:anchor="_Toc107248318" w:history="1">
            <w:r w:rsidR="00C128B5" w:rsidRPr="005459E6">
              <w:rPr>
                <w:rStyle w:val="Collegamentoipertestuale"/>
                <w:rFonts w:ascii="Times New Roman" w:hAnsi="Times New Roman"/>
                <w:noProof/>
                <w:color w:val="auto"/>
              </w:rPr>
              <w:t>Linear Regression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_Toc107248318 \h </w:instrText>
            </w:r>
            <w:r w:rsidR="00C128B5" w:rsidRPr="005459E6">
              <w:rPr>
                <w:noProof/>
                <w:webHidden/>
              </w:rPr>
            </w:r>
            <w:r w:rsidR="00C128B5" w:rsidRPr="005459E6">
              <w:rPr>
                <w:noProof/>
                <w:webHidden/>
              </w:rPr>
              <w:fldChar w:fldCharType="separate"/>
            </w:r>
            <w:r w:rsidR="006C645B">
              <w:rPr>
                <w:noProof/>
                <w:webHidden/>
              </w:rPr>
              <w:t>85</w:t>
            </w:r>
            <w:r w:rsidR="00C128B5" w:rsidRPr="005459E6">
              <w:rPr>
                <w:noProof/>
                <w:webHidden/>
              </w:rPr>
              <w:fldChar w:fldCharType="end"/>
            </w:r>
          </w:hyperlink>
        </w:p>
        <w:p w14:paraId="22FCDE6A" w14:textId="6A12CF2F" w:rsidR="00C128B5" w:rsidRPr="005459E6" w:rsidRDefault="00000000">
          <w:pPr>
            <w:pStyle w:val="Sommario2"/>
            <w:tabs>
              <w:tab w:val="right" w:leader="dot" w:pos="9350"/>
            </w:tabs>
            <w:rPr>
              <w:rFonts w:cstheme="minorBidi"/>
              <w:noProof/>
            </w:rPr>
          </w:pPr>
          <w:hyperlink w:anchor="_Toc107248319" w:history="1">
            <w:r w:rsidR="00C128B5" w:rsidRPr="005459E6">
              <w:rPr>
                <w:rStyle w:val="Collegamentoipertestuale"/>
                <w:rFonts w:ascii="Times New Roman" w:hAnsi="Times New Roman"/>
                <w:noProof/>
                <w:color w:val="auto"/>
              </w:rPr>
              <w:t>Spearman Correlation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_Toc107248319 \h </w:instrText>
            </w:r>
            <w:r w:rsidR="00C128B5" w:rsidRPr="005459E6">
              <w:rPr>
                <w:noProof/>
                <w:webHidden/>
              </w:rPr>
            </w:r>
            <w:r w:rsidR="00C128B5" w:rsidRPr="005459E6">
              <w:rPr>
                <w:noProof/>
                <w:webHidden/>
              </w:rPr>
              <w:fldChar w:fldCharType="separate"/>
            </w:r>
            <w:r w:rsidR="006C645B">
              <w:rPr>
                <w:noProof/>
                <w:webHidden/>
              </w:rPr>
              <w:t>95</w:t>
            </w:r>
            <w:r w:rsidR="00C128B5" w:rsidRPr="005459E6">
              <w:rPr>
                <w:noProof/>
                <w:webHidden/>
              </w:rPr>
              <w:fldChar w:fldCharType="end"/>
            </w:r>
          </w:hyperlink>
        </w:p>
        <w:p w14:paraId="59ED52DF" w14:textId="045A40D8" w:rsidR="00C128B5" w:rsidRPr="005459E6" w:rsidRDefault="00000000">
          <w:pPr>
            <w:pStyle w:val="Sommario1"/>
            <w:tabs>
              <w:tab w:val="right" w:leader="dot" w:pos="9350"/>
            </w:tabs>
            <w:rPr>
              <w:rFonts w:asciiTheme="minorHAnsi" w:eastAsiaTheme="minorEastAsia" w:hAnsiTheme="minorHAnsi"/>
              <w:noProof/>
            </w:rPr>
          </w:pPr>
          <w:hyperlink w:anchor="_Toc107248320" w:history="1">
            <w:r w:rsidR="00C128B5" w:rsidRPr="005459E6">
              <w:rPr>
                <w:rStyle w:val="Collegamentoipertestuale"/>
                <w:rFonts w:ascii="Times New Roman" w:hAnsi="Times New Roman" w:cs="Times New Roman"/>
                <w:b/>
                <w:bCs/>
                <w:noProof/>
                <w:color w:val="auto"/>
              </w:rPr>
              <w:t>PREDICTIVE MODELLING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_Toc107248320 \h </w:instrText>
            </w:r>
            <w:r w:rsidR="00C128B5" w:rsidRPr="005459E6">
              <w:rPr>
                <w:noProof/>
                <w:webHidden/>
              </w:rPr>
            </w:r>
            <w:r w:rsidR="00C128B5" w:rsidRPr="005459E6">
              <w:rPr>
                <w:noProof/>
                <w:webHidden/>
              </w:rPr>
              <w:fldChar w:fldCharType="separate"/>
            </w:r>
            <w:r w:rsidR="006C645B">
              <w:rPr>
                <w:noProof/>
                <w:webHidden/>
              </w:rPr>
              <w:t>105</w:t>
            </w:r>
            <w:r w:rsidR="00C128B5" w:rsidRPr="005459E6">
              <w:rPr>
                <w:noProof/>
                <w:webHidden/>
              </w:rPr>
              <w:fldChar w:fldCharType="end"/>
            </w:r>
          </w:hyperlink>
        </w:p>
        <w:p w14:paraId="00912CB7" w14:textId="77664041" w:rsidR="00C128B5" w:rsidRPr="005459E6" w:rsidRDefault="00000000">
          <w:pPr>
            <w:pStyle w:val="Sommario2"/>
            <w:tabs>
              <w:tab w:val="right" w:leader="dot" w:pos="9350"/>
            </w:tabs>
            <w:rPr>
              <w:rFonts w:cstheme="minorBidi"/>
              <w:noProof/>
            </w:rPr>
          </w:pPr>
          <w:hyperlink w:anchor="_Toc107248321" w:history="1">
            <w:r w:rsidR="00C128B5" w:rsidRPr="005459E6">
              <w:rPr>
                <w:rStyle w:val="Collegamentoipertestuale"/>
                <w:rFonts w:ascii="Times New Roman" w:hAnsi="Times New Roman"/>
                <w:noProof/>
                <w:color w:val="auto"/>
              </w:rPr>
              <w:t>Data Pre-processing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_Toc107248321 \h </w:instrText>
            </w:r>
            <w:r w:rsidR="00C128B5" w:rsidRPr="005459E6">
              <w:rPr>
                <w:noProof/>
                <w:webHidden/>
              </w:rPr>
            </w:r>
            <w:r w:rsidR="00C128B5" w:rsidRPr="005459E6">
              <w:rPr>
                <w:noProof/>
                <w:webHidden/>
              </w:rPr>
              <w:fldChar w:fldCharType="separate"/>
            </w:r>
            <w:r w:rsidR="006C645B">
              <w:rPr>
                <w:noProof/>
                <w:webHidden/>
              </w:rPr>
              <w:t>105</w:t>
            </w:r>
            <w:r w:rsidR="00C128B5" w:rsidRPr="005459E6">
              <w:rPr>
                <w:noProof/>
                <w:webHidden/>
              </w:rPr>
              <w:fldChar w:fldCharType="end"/>
            </w:r>
          </w:hyperlink>
        </w:p>
        <w:p w14:paraId="5C6D0F4B" w14:textId="4F55890D" w:rsidR="00C128B5" w:rsidRPr="005459E6" w:rsidRDefault="00000000">
          <w:pPr>
            <w:pStyle w:val="Sommario3"/>
            <w:tabs>
              <w:tab w:val="right" w:leader="dot" w:pos="9350"/>
            </w:tabs>
            <w:rPr>
              <w:rFonts w:cstheme="minorBidi"/>
              <w:noProof/>
            </w:rPr>
          </w:pPr>
          <w:hyperlink w:anchor="_Toc107248322" w:history="1">
            <w:r w:rsidR="00C128B5" w:rsidRPr="005459E6">
              <w:rPr>
                <w:rStyle w:val="Collegamentoipertestuale"/>
                <w:rFonts w:ascii="Times New Roman" w:hAnsi="Times New Roman"/>
                <w:noProof/>
                <w:color w:val="auto"/>
              </w:rPr>
              <w:t>Data Cleansing &amp; Standardization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_Toc107248322 \h </w:instrText>
            </w:r>
            <w:r w:rsidR="00C128B5" w:rsidRPr="005459E6">
              <w:rPr>
                <w:noProof/>
                <w:webHidden/>
              </w:rPr>
            </w:r>
            <w:r w:rsidR="00C128B5" w:rsidRPr="005459E6">
              <w:rPr>
                <w:noProof/>
                <w:webHidden/>
              </w:rPr>
              <w:fldChar w:fldCharType="separate"/>
            </w:r>
            <w:r w:rsidR="006C645B">
              <w:rPr>
                <w:noProof/>
                <w:webHidden/>
              </w:rPr>
              <w:t>105</w:t>
            </w:r>
            <w:r w:rsidR="00C128B5" w:rsidRPr="005459E6">
              <w:rPr>
                <w:noProof/>
                <w:webHidden/>
              </w:rPr>
              <w:fldChar w:fldCharType="end"/>
            </w:r>
          </w:hyperlink>
        </w:p>
        <w:p w14:paraId="5EF08D88" w14:textId="4A06A840" w:rsidR="00C128B5" w:rsidRPr="005459E6" w:rsidRDefault="00000000">
          <w:pPr>
            <w:pStyle w:val="Sommario3"/>
            <w:tabs>
              <w:tab w:val="right" w:leader="dot" w:pos="9350"/>
            </w:tabs>
            <w:rPr>
              <w:rFonts w:cstheme="minorBidi"/>
              <w:noProof/>
            </w:rPr>
          </w:pPr>
          <w:hyperlink w:anchor="_Toc107248323" w:history="1">
            <w:r w:rsidR="00C128B5" w:rsidRPr="005459E6">
              <w:rPr>
                <w:rStyle w:val="Collegamentoipertestuale"/>
                <w:rFonts w:ascii="Times New Roman" w:hAnsi="Times New Roman"/>
                <w:noProof/>
                <w:color w:val="auto"/>
              </w:rPr>
              <w:t>Data Conversion and Feeding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_Toc107248323 \h </w:instrText>
            </w:r>
            <w:r w:rsidR="00C128B5" w:rsidRPr="005459E6">
              <w:rPr>
                <w:noProof/>
                <w:webHidden/>
              </w:rPr>
            </w:r>
            <w:r w:rsidR="00C128B5" w:rsidRPr="005459E6">
              <w:rPr>
                <w:noProof/>
                <w:webHidden/>
              </w:rPr>
              <w:fldChar w:fldCharType="separate"/>
            </w:r>
            <w:r w:rsidR="006C645B">
              <w:rPr>
                <w:noProof/>
                <w:webHidden/>
              </w:rPr>
              <w:t>105</w:t>
            </w:r>
            <w:r w:rsidR="00C128B5" w:rsidRPr="005459E6">
              <w:rPr>
                <w:noProof/>
                <w:webHidden/>
              </w:rPr>
              <w:fldChar w:fldCharType="end"/>
            </w:r>
          </w:hyperlink>
        </w:p>
        <w:p w14:paraId="4D72852E" w14:textId="28A9943E" w:rsidR="00C128B5" w:rsidRPr="005459E6" w:rsidRDefault="00000000">
          <w:pPr>
            <w:pStyle w:val="Sommario2"/>
            <w:tabs>
              <w:tab w:val="right" w:leader="dot" w:pos="9350"/>
            </w:tabs>
            <w:rPr>
              <w:rFonts w:cstheme="minorBidi"/>
              <w:noProof/>
            </w:rPr>
          </w:pPr>
          <w:hyperlink w:anchor="_Toc107248324" w:history="1">
            <w:r w:rsidR="00C128B5" w:rsidRPr="005459E6">
              <w:rPr>
                <w:rStyle w:val="Collegamentoipertestuale"/>
                <w:rFonts w:ascii="Times New Roman" w:hAnsi="Times New Roman"/>
                <w:noProof/>
                <w:color w:val="auto"/>
              </w:rPr>
              <w:t>Machine Learning (ML) Modelling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_Toc107248324 \h </w:instrText>
            </w:r>
            <w:r w:rsidR="00C128B5" w:rsidRPr="005459E6">
              <w:rPr>
                <w:noProof/>
                <w:webHidden/>
              </w:rPr>
            </w:r>
            <w:r w:rsidR="00C128B5" w:rsidRPr="005459E6">
              <w:rPr>
                <w:noProof/>
                <w:webHidden/>
              </w:rPr>
              <w:fldChar w:fldCharType="separate"/>
            </w:r>
            <w:r w:rsidR="006C645B">
              <w:rPr>
                <w:noProof/>
                <w:webHidden/>
              </w:rPr>
              <w:t>106</w:t>
            </w:r>
            <w:r w:rsidR="00C128B5" w:rsidRPr="005459E6">
              <w:rPr>
                <w:noProof/>
                <w:webHidden/>
              </w:rPr>
              <w:fldChar w:fldCharType="end"/>
            </w:r>
          </w:hyperlink>
        </w:p>
        <w:p w14:paraId="3D6C0955" w14:textId="46FE086C" w:rsidR="00C128B5" w:rsidRPr="005459E6" w:rsidRDefault="00000000">
          <w:pPr>
            <w:pStyle w:val="Sommario3"/>
            <w:tabs>
              <w:tab w:val="right" w:leader="dot" w:pos="9350"/>
            </w:tabs>
            <w:rPr>
              <w:rFonts w:cstheme="minorBidi"/>
              <w:noProof/>
            </w:rPr>
          </w:pPr>
          <w:hyperlink w:anchor="_Toc107248325" w:history="1">
            <w:r w:rsidR="00C128B5" w:rsidRPr="005459E6">
              <w:rPr>
                <w:rStyle w:val="Collegamentoipertestuale"/>
                <w:rFonts w:ascii="Times New Roman" w:hAnsi="Times New Roman"/>
                <w:noProof/>
                <w:color w:val="auto"/>
              </w:rPr>
              <w:t>Data Staging &amp; Feature Extraction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_Toc107248325 \h </w:instrText>
            </w:r>
            <w:r w:rsidR="00C128B5" w:rsidRPr="005459E6">
              <w:rPr>
                <w:noProof/>
                <w:webHidden/>
              </w:rPr>
            </w:r>
            <w:r w:rsidR="00C128B5" w:rsidRPr="005459E6">
              <w:rPr>
                <w:noProof/>
                <w:webHidden/>
              </w:rPr>
              <w:fldChar w:fldCharType="separate"/>
            </w:r>
            <w:r w:rsidR="006C645B">
              <w:rPr>
                <w:noProof/>
                <w:webHidden/>
              </w:rPr>
              <w:t>107</w:t>
            </w:r>
            <w:r w:rsidR="00C128B5" w:rsidRPr="005459E6">
              <w:rPr>
                <w:noProof/>
                <w:webHidden/>
              </w:rPr>
              <w:fldChar w:fldCharType="end"/>
            </w:r>
          </w:hyperlink>
        </w:p>
        <w:p w14:paraId="74AED0A0" w14:textId="060BEF0B" w:rsidR="00C128B5" w:rsidRPr="005459E6" w:rsidRDefault="00000000">
          <w:pPr>
            <w:pStyle w:val="Sommario3"/>
            <w:tabs>
              <w:tab w:val="right" w:leader="dot" w:pos="9350"/>
            </w:tabs>
            <w:rPr>
              <w:rFonts w:cstheme="minorBidi"/>
              <w:noProof/>
            </w:rPr>
          </w:pPr>
          <w:hyperlink w:anchor="_Toc107248326" w:history="1">
            <w:r w:rsidR="00C128B5" w:rsidRPr="005459E6">
              <w:rPr>
                <w:rStyle w:val="Collegamentoipertestuale"/>
                <w:rFonts w:ascii="Times New Roman" w:hAnsi="Times New Roman"/>
                <w:noProof/>
                <w:color w:val="auto"/>
              </w:rPr>
              <w:t>Hyperparameter optimization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_Toc107248326 \h </w:instrText>
            </w:r>
            <w:r w:rsidR="00C128B5" w:rsidRPr="005459E6">
              <w:rPr>
                <w:noProof/>
                <w:webHidden/>
              </w:rPr>
            </w:r>
            <w:r w:rsidR="00C128B5" w:rsidRPr="005459E6">
              <w:rPr>
                <w:noProof/>
                <w:webHidden/>
              </w:rPr>
              <w:fldChar w:fldCharType="separate"/>
            </w:r>
            <w:r w:rsidR="006C645B">
              <w:rPr>
                <w:noProof/>
                <w:webHidden/>
              </w:rPr>
              <w:t>108</w:t>
            </w:r>
            <w:r w:rsidR="00C128B5" w:rsidRPr="005459E6">
              <w:rPr>
                <w:noProof/>
                <w:webHidden/>
              </w:rPr>
              <w:fldChar w:fldCharType="end"/>
            </w:r>
          </w:hyperlink>
        </w:p>
        <w:p w14:paraId="718686A7" w14:textId="6FC7765A" w:rsidR="00C128B5" w:rsidRPr="005459E6" w:rsidRDefault="00000000">
          <w:pPr>
            <w:pStyle w:val="Sommario3"/>
            <w:tabs>
              <w:tab w:val="right" w:leader="dot" w:pos="9350"/>
            </w:tabs>
            <w:rPr>
              <w:rFonts w:cstheme="minorBidi"/>
              <w:noProof/>
            </w:rPr>
          </w:pPr>
          <w:hyperlink w:anchor="_Toc107248327" w:history="1">
            <w:r w:rsidR="00C128B5" w:rsidRPr="005459E6">
              <w:rPr>
                <w:rStyle w:val="Collegamentoipertestuale"/>
                <w:rFonts w:ascii="Times New Roman" w:hAnsi="Times New Roman"/>
                <w:noProof/>
                <w:color w:val="auto"/>
              </w:rPr>
              <w:t>Feature engineering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_Toc107248327 \h </w:instrText>
            </w:r>
            <w:r w:rsidR="00C128B5" w:rsidRPr="005459E6">
              <w:rPr>
                <w:noProof/>
                <w:webHidden/>
              </w:rPr>
            </w:r>
            <w:r w:rsidR="00C128B5" w:rsidRPr="005459E6">
              <w:rPr>
                <w:noProof/>
                <w:webHidden/>
              </w:rPr>
              <w:fldChar w:fldCharType="separate"/>
            </w:r>
            <w:r w:rsidR="006C645B">
              <w:rPr>
                <w:noProof/>
                <w:webHidden/>
              </w:rPr>
              <w:t>108</w:t>
            </w:r>
            <w:r w:rsidR="00C128B5" w:rsidRPr="005459E6">
              <w:rPr>
                <w:noProof/>
                <w:webHidden/>
              </w:rPr>
              <w:fldChar w:fldCharType="end"/>
            </w:r>
          </w:hyperlink>
        </w:p>
        <w:p w14:paraId="50E8B0AC" w14:textId="6F7D577E" w:rsidR="00C128B5" w:rsidRPr="005459E6" w:rsidRDefault="00000000">
          <w:pPr>
            <w:pStyle w:val="Sommario2"/>
            <w:tabs>
              <w:tab w:val="right" w:leader="dot" w:pos="9350"/>
            </w:tabs>
            <w:rPr>
              <w:rFonts w:cstheme="minorBidi"/>
              <w:noProof/>
            </w:rPr>
          </w:pPr>
          <w:hyperlink w:anchor="_Toc107248328" w:history="1">
            <w:r w:rsidR="00C128B5" w:rsidRPr="005459E6">
              <w:rPr>
                <w:rStyle w:val="Collegamentoipertestuale"/>
                <w:rFonts w:ascii="Times New Roman" w:hAnsi="Times New Roman"/>
                <w:noProof/>
                <w:color w:val="auto"/>
              </w:rPr>
              <w:t>Data Models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_Toc107248328 \h </w:instrText>
            </w:r>
            <w:r w:rsidR="00C128B5" w:rsidRPr="005459E6">
              <w:rPr>
                <w:noProof/>
                <w:webHidden/>
              </w:rPr>
            </w:r>
            <w:r w:rsidR="00C128B5" w:rsidRPr="005459E6">
              <w:rPr>
                <w:noProof/>
                <w:webHidden/>
              </w:rPr>
              <w:fldChar w:fldCharType="separate"/>
            </w:r>
            <w:r w:rsidR="006C645B">
              <w:rPr>
                <w:noProof/>
                <w:webHidden/>
              </w:rPr>
              <w:t>109</w:t>
            </w:r>
            <w:r w:rsidR="00C128B5" w:rsidRPr="005459E6">
              <w:rPr>
                <w:noProof/>
                <w:webHidden/>
              </w:rPr>
              <w:fldChar w:fldCharType="end"/>
            </w:r>
          </w:hyperlink>
        </w:p>
        <w:p w14:paraId="09CEA801" w14:textId="2A72CFC8" w:rsidR="00C128B5" w:rsidRPr="005459E6" w:rsidRDefault="00000000">
          <w:pPr>
            <w:pStyle w:val="Sommario3"/>
            <w:tabs>
              <w:tab w:val="right" w:leader="dot" w:pos="9350"/>
            </w:tabs>
            <w:rPr>
              <w:rFonts w:cstheme="minorBidi"/>
              <w:noProof/>
            </w:rPr>
          </w:pPr>
          <w:hyperlink w:anchor="_Toc107248329" w:history="1">
            <w:r w:rsidR="00C128B5" w:rsidRPr="005459E6">
              <w:rPr>
                <w:rStyle w:val="Collegamentoipertestuale"/>
                <w:rFonts w:ascii="Times New Roman" w:hAnsi="Times New Roman"/>
                <w:noProof/>
                <w:color w:val="auto"/>
              </w:rPr>
              <w:t>Supervised Modelling</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_Toc107248329 \h </w:instrText>
            </w:r>
            <w:r w:rsidR="00C128B5" w:rsidRPr="005459E6">
              <w:rPr>
                <w:noProof/>
                <w:webHidden/>
              </w:rPr>
            </w:r>
            <w:r w:rsidR="00C128B5" w:rsidRPr="005459E6">
              <w:rPr>
                <w:noProof/>
                <w:webHidden/>
              </w:rPr>
              <w:fldChar w:fldCharType="separate"/>
            </w:r>
            <w:r w:rsidR="006C645B">
              <w:rPr>
                <w:noProof/>
                <w:webHidden/>
              </w:rPr>
              <w:t>110</w:t>
            </w:r>
            <w:r w:rsidR="00C128B5" w:rsidRPr="005459E6">
              <w:rPr>
                <w:noProof/>
                <w:webHidden/>
              </w:rPr>
              <w:fldChar w:fldCharType="end"/>
            </w:r>
          </w:hyperlink>
        </w:p>
        <w:p w14:paraId="580FE8F5" w14:textId="5AD4E1B3" w:rsidR="00C128B5" w:rsidRPr="005459E6" w:rsidRDefault="00000000">
          <w:pPr>
            <w:pStyle w:val="Sommario2"/>
            <w:tabs>
              <w:tab w:val="right" w:leader="dot" w:pos="9350"/>
            </w:tabs>
            <w:rPr>
              <w:rFonts w:cstheme="minorBidi"/>
              <w:noProof/>
            </w:rPr>
          </w:pPr>
          <w:hyperlink w:anchor="_Toc107248330" w:history="1">
            <w:r w:rsidR="00C128B5" w:rsidRPr="005459E6">
              <w:rPr>
                <w:rStyle w:val="Collegamentoipertestuale"/>
                <w:rFonts w:ascii="Times New Roman" w:hAnsi="Times New Roman"/>
                <w:noProof/>
                <w:color w:val="auto"/>
              </w:rPr>
              <w:t>Reliability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_Toc107248330 \h </w:instrText>
            </w:r>
            <w:r w:rsidR="00C128B5" w:rsidRPr="005459E6">
              <w:rPr>
                <w:noProof/>
                <w:webHidden/>
              </w:rPr>
            </w:r>
            <w:r w:rsidR="00C128B5" w:rsidRPr="005459E6">
              <w:rPr>
                <w:noProof/>
                <w:webHidden/>
              </w:rPr>
              <w:fldChar w:fldCharType="separate"/>
            </w:r>
            <w:r w:rsidR="006C645B">
              <w:rPr>
                <w:noProof/>
                <w:webHidden/>
              </w:rPr>
              <w:t>112</w:t>
            </w:r>
            <w:r w:rsidR="00C128B5" w:rsidRPr="005459E6">
              <w:rPr>
                <w:noProof/>
                <w:webHidden/>
              </w:rPr>
              <w:fldChar w:fldCharType="end"/>
            </w:r>
          </w:hyperlink>
        </w:p>
        <w:p w14:paraId="7568DA7D" w14:textId="36641B31" w:rsidR="00C128B5" w:rsidRPr="005459E6" w:rsidRDefault="00000000">
          <w:pPr>
            <w:pStyle w:val="Sommario3"/>
            <w:tabs>
              <w:tab w:val="right" w:leader="dot" w:pos="9350"/>
            </w:tabs>
            <w:rPr>
              <w:rFonts w:cstheme="minorBidi"/>
              <w:noProof/>
            </w:rPr>
          </w:pPr>
          <w:hyperlink w:anchor="_Toc107248331" w:history="1">
            <w:r w:rsidR="00C128B5" w:rsidRPr="005459E6">
              <w:rPr>
                <w:rStyle w:val="Collegamentoipertestuale"/>
                <w:rFonts w:ascii="Times New Roman" w:hAnsi="Times New Roman"/>
                <w:noProof/>
                <w:color w:val="auto"/>
              </w:rPr>
              <w:t>Model Development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_Toc107248331 \h </w:instrText>
            </w:r>
            <w:r w:rsidR="00C128B5" w:rsidRPr="005459E6">
              <w:rPr>
                <w:noProof/>
                <w:webHidden/>
              </w:rPr>
            </w:r>
            <w:r w:rsidR="00C128B5" w:rsidRPr="005459E6">
              <w:rPr>
                <w:noProof/>
                <w:webHidden/>
              </w:rPr>
              <w:fldChar w:fldCharType="separate"/>
            </w:r>
            <w:r w:rsidR="006C645B">
              <w:rPr>
                <w:noProof/>
                <w:webHidden/>
              </w:rPr>
              <w:t>112</w:t>
            </w:r>
            <w:r w:rsidR="00C128B5" w:rsidRPr="005459E6">
              <w:rPr>
                <w:noProof/>
                <w:webHidden/>
              </w:rPr>
              <w:fldChar w:fldCharType="end"/>
            </w:r>
          </w:hyperlink>
        </w:p>
        <w:p w14:paraId="5292E54B" w14:textId="319A0D24" w:rsidR="00C128B5" w:rsidRPr="005459E6" w:rsidRDefault="00000000">
          <w:pPr>
            <w:pStyle w:val="Sommario2"/>
            <w:tabs>
              <w:tab w:val="right" w:leader="dot" w:pos="9350"/>
            </w:tabs>
            <w:rPr>
              <w:rFonts w:cstheme="minorBidi"/>
              <w:noProof/>
            </w:rPr>
          </w:pPr>
          <w:hyperlink w:anchor="_Toc107248332" w:history="1">
            <w:r w:rsidR="00C128B5" w:rsidRPr="005459E6">
              <w:rPr>
                <w:rStyle w:val="Collegamentoipertestuale"/>
                <w:rFonts w:ascii="Times New Roman" w:hAnsi="Times New Roman"/>
                <w:noProof/>
                <w:color w:val="auto"/>
              </w:rPr>
              <w:t>Validity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_Toc107248332 \h </w:instrText>
            </w:r>
            <w:r w:rsidR="00C128B5" w:rsidRPr="005459E6">
              <w:rPr>
                <w:noProof/>
                <w:webHidden/>
              </w:rPr>
            </w:r>
            <w:r w:rsidR="00C128B5" w:rsidRPr="005459E6">
              <w:rPr>
                <w:noProof/>
                <w:webHidden/>
              </w:rPr>
              <w:fldChar w:fldCharType="separate"/>
            </w:r>
            <w:r w:rsidR="006C645B">
              <w:rPr>
                <w:noProof/>
                <w:webHidden/>
              </w:rPr>
              <w:t>113</w:t>
            </w:r>
            <w:r w:rsidR="00C128B5" w:rsidRPr="005459E6">
              <w:rPr>
                <w:noProof/>
                <w:webHidden/>
              </w:rPr>
              <w:fldChar w:fldCharType="end"/>
            </w:r>
          </w:hyperlink>
        </w:p>
        <w:p w14:paraId="6873600F" w14:textId="03EE4270" w:rsidR="00C128B5" w:rsidRPr="005459E6" w:rsidRDefault="00000000">
          <w:pPr>
            <w:pStyle w:val="Sommario3"/>
            <w:tabs>
              <w:tab w:val="right" w:leader="dot" w:pos="9350"/>
            </w:tabs>
            <w:rPr>
              <w:rFonts w:cstheme="minorBidi"/>
              <w:noProof/>
            </w:rPr>
          </w:pPr>
          <w:hyperlink w:anchor="_Toc107248333" w:history="1">
            <w:r w:rsidR="00C128B5" w:rsidRPr="005459E6">
              <w:rPr>
                <w:rStyle w:val="Collegamentoipertestuale"/>
                <w:rFonts w:ascii="Times New Roman" w:hAnsi="Times New Roman"/>
                <w:noProof/>
                <w:color w:val="auto"/>
              </w:rPr>
              <w:t>Performance Matrix</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_Toc107248333 \h </w:instrText>
            </w:r>
            <w:r w:rsidR="00C128B5" w:rsidRPr="005459E6">
              <w:rPr>
                <w:noProof/>
                <w:webHidden/>
              </w:rPr>
            </w:r>
            <w:r w:rsidR="00C128B5" w:rsidRPr="005459E6">
              <w:rPr>
                <w:noProof/>
                <w:webHidden/>
              </w:rPr>
              <w:fldChar w:fldCharType="separate"/>
            </w:r>
            <w:r w:rsidR="006C645B">
              <w:rPr>
                <w:noProof/>
                <w:webHidden/>
              </w:rPr>
              <w:t>114</w:t>
            </w:r>
            <w:r w:rsidR="00C128B5" w:rsidRPr="005459E6">
              <w:rPr>
                <w:noProof/>
                <w:webHidden/>
              </w:rPr>
              <w:fldChar w:fldCharType="end"/>
            </w:r>
          </w:hyperlink>
        </w:p>
        <w:p w14:paraId="2D391C48" w14:textId="1155EB6A" w:rsidR="00C128B5" w:rsidRPr="005459E6" w:rsidRDefault="00000000">
          <w:pPr>
            <w:pStyle w:val="Sommario1"/>
            <w:tabs>
              <w:tab w:val="right" w:leader="dot" w:pos="9350"/>
            </w:tabs>
            <w:rPr>
              <w:rFonts w:asciiTheme="minorHAnsi" w:eastAsiaTheme="minorEastAsia" w:hAnsiTheme="minorHAnsi"/>
              <w:noProof/>
            </w:rPr>
          </w:pPr>
          <w:hyperlink w:anchor="_Toc107248334" w:history="1">
            <w:r w:rsidR="00C128B5" w:rsidRPr="005459E6">
              <w:rPr>
                <w:rStyle w:val="Collegamentoipertestuale"/>
                <w:rFonts w:ascii="Times New Roman" w:hAnsi="Times New Roman" w:cs="Times New Roman"/>
                <w:b/>
                <w:bCs/>
                <w:noProof/>
                <w:color w:val="auto"/>
              </w:rPr>
              <w:t>OBSERVATIONS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_Toc107248334 \h </w:instrText>
            </w:r>
            <w:r w:rsidR="00C128B5" w:rsidRPr="005459E6">
              <w:rPr>
                <w:noProof/>
                <w:webHidden/>
              </w:rPr>
            </w:r>
            <w:r w:rsidR="00C128B5" w:rsidRPr="005459E6">
              <w:rPr>
                <w:noProof/>
                <w:webHidden/>
              </w:rPr>
              <w:fldChar w:fldCharType="separate"/>
            </w:r>
            <w:r w:rsidR="006C645B">
              <w:rPr>
                <w:noProof/>
                <w:webHidden/>
              </w:rPr>
              <w:t>115</w:t>
            </w:r>
            <w:r w:rsidR="00C128B5" w:rsidRPr="005459E6">
              <w:rPr>
                <w:noProof/>
                <w:webHidden/>
              </w:rPr>
              <w:fldChar w:fldCharType="end"/>
            </w:r>
          </w:hyperlink>
        </w:p>
        <w:p w14:paraId="02FEC12A" w14:textId="1336F2C1" w:rsidR="00C128B5" w:rsidRPr="005459E6" w:rsidRDefault="00000000">
          <w:pPr>
            <w:pStyle w:val="Sommario2"/>
            <w:tabs>
              <w:tab w:val="right" w:leader="dot" w:pos="9350"/>
            </w:tabs>
            <w:rPr>
              <w:rFonts w:cstheme="minorBidi"/>
              <w:noProof/>
            </w:rPr>
          </w:pPr>
          <w:hyperlink w:anchor="_Toc107248335" w:history="1">
            <w:r w:rsidR="00C128B5" w:rsidRPr="005459E6">
              <w:rPr>
                <w:rStyle w:val="Collegamentoipertestuale"/>
                <w:rFonts w:ascii="Times New Roman" w:hAnsi="Times New Roman"/>
                <w:noProof/>
                <w:color w:val="auto"/>
              </w:rPr>
              <w:t>Cognitive attributes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_Toc107248335 \h </w:instrText>
            </w:r>
            <w:r w:rsidR="00C128B5" w:rsidRPr="005459E6">
              <w:rPr>
                <w:noProof/>
                <w:webHidden/>
              </w:rPr>
            </w:r>
            <w:r w:rsidR="00C128B5" w:rsidRPr="005459E6">
              <w:rPr>
                <w:noProof/>
                <w:webHidden/>
              </w:rPr>
              <w:fldChar w:fldCharType="separate"/>
            </w:r>
            <w:r w:rsidR="006C645B">
              <w:rPr>
                <w:noProof/>
                <w:webHidden/>
              </w:rPr>
              <w:t>120</w:t>
            </w:r>
            <w:r w:rsidR="00C128B5" w:rsidRPr="005459E6">
              <w:rPr>
                <w:noProof/>
                <w:webHidden/>
              </w:rPr>
              <w:fldChar w:fldCharType="end"/>
            </w:r>
          </w:hyperlink>
        </w:p>
        <w:p w14:paraId="024514EB" w14:textId="5F368EA9" w:rsidR="00C128B5" w:rsidRPr="005459E6" w:rsidRDefault="00000000">
          <w:pPr>
            <w:pStyle w:val="Sommario2"/>
            <w:tabs>
              <w:tab w:val="right" w:leader="dot" w:pos="9350"/>
            </w:tabs>
            <w:rPr>
              <w:rFonts w:cstheme="minorBidi"/>
              <w:noProof/>
            </w:rPr>
          </w:pPr>
          <w:hyperlink w:anchor="_Toc107248336" w:history="1">
            <w:r w:rsidR="00C128B5" w:rsidRPr="005459E6">
              <w:rPr>
                <w:rStyle w:val="Collegamentoipertestuale"/>
                <w:rFonts w:ascii="Times New Roman" w:hAnsi="Times New Roman"/>
                <w:noProof/>
                <w:color w:val="auto"/>
              </w:rPr>
              <w:t>State of mind</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_Toc107248336 \h </w:instrText>
            </w:r>
            <w:r w:rsidR="00C128B5" w:rsidRPr="005459E6">
              <w:rPr>
                <w:noProof/>
                <w:webHidden/>
              </w:rPr>
            </w:r>
            <w:r w:rsidR="00C128B5" w:rsidRPr="005459E6">
              <w:rPr>
                <w:noProof/>
                <w:webHidden/>
              </w:rPr>
              <w:fldChar w:fldCharType="separate"/>
            </w:r>
            <w:r w:rsidR="006C645B">
              <w:rPr>
                <w:noProof/>
                <w:webHidden/>
              </w:rPr>
              <w:t>121</w:t>
            </w:r>
            <w:r w:rsidR="00C128B5" w:rsidRPr="005459E6">
              <w:rPr>
                <w:noProof/>
                <w:webHidden/>
              </w:rPr>
              <w:fldChar w:fldCharType="end"/>
            </w:r>
          </w:hyperlink>
        </w:p>
        <w:p w14:paraId="2F4038BE" w14:textId="1D8CE3A0" w:rsidR="00C128B5" w:rsidRPr="005459E6" w:rsidRDefault="00000000">
          <w:pPr>
            <w:pStyle w:val="Sommario2"/>
            <w:tabs>
              <w:tab w:val="right" w:leader="dot" w:pos="9350"/>
            </w:tabs>
            <w:rPr>
              <w:rFonts w:cstheme="minorBidi"/>
              <w:noProof/>
            </w:rPr>
          </w:pPr>
          <w:hyperlink w:anchor="_Toc107248337" w:history="1">
            <w:r w:rsidR="00C128B5" w:rsidRPr="005459E6">
              <w:rPr>
                <w:rStyle w:val="Collegamentoipertestuale"/>
                <w:rFonts w:ascii="Times New Roman" w:hAnsi="Times New Roman"/>
                <w:noProof/>
                <w:color w:val="auto"/>
              </w:rPr>
              <w:t>Well-being with Technology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_Toc107248337 \h </w:instrText>
            </w:r>
            <w:r w:rsidR="00C128B5" w:rsidRPr="005459E6">
              <w:rPr>
                <w:noProof/>
                <w:webHidden/>
              </w:rPr>
            </w:r>
            <w:r w:rsidR="00C128B5" w:rsidRPr="005459E6">
              <w:rPr>
                <w:noProof/>
                <w:webHidden/>
              </w:rPr>
              <w:fldChar w:fldCharType="separate"/>
            </w:r>
            <w:r w:rsidR="006C645B">
              <w:rPr>
                <w:noProof/>
                <w:webHidden/>
              </w:rPr>
              <w:t>122</w:t>
            </w:r>
            <w:r w:rsidR="00C128B5" w:rsidRPr="005459E6">
              <w:rPr>
                <w:noProof/>
                <w:webHidden/>
              </w:rPr>
              <w:fldChar w:fldCharType="end"/>
            </w:r>
          </w:hyperlink>
        </w:p>
        <w:p w14:paraId="4DCD926E" w14:textId="00F1D03D" w:rsidR="00C128B5" w:rsidRPr="005459E6" w:rsidRDefault="00000000">
          <w:pPr>
            <w:pStyle w:val="Sommario1"/>
            <w:tabs>
              <w:tab w:val="right" w:leader="dot" w:pos="9350"/>
            </w:tabs>
            <w:rPr>
              <w:rFonts w:asciiTheme="minorHAnsi" w:eastAsiaTheme="minorEastAsia" w:hAnsiTheme="minorHAnsi"/>
              <w:noProof/>
            </w:rPr>
          </w:pPr>
          <w:hyperlink w:anchor="_Toc107248338" w:history="1">
            <w:r w:rsidR="00C128B5" w:rsidRPr="005459E6">
              <w:rPr>
                <w:rStyle w:val="Collegamentoipertestuale"/>
                <w:rFonts w:ascii="Times New Roman" w:hAnsi="Times New Roman" w:cs="Times New Roman"/>
                <w:b/>
                <w:bCs/>
                <w:noProof/>
                <w:color w:val="auto"/>
              </w:rPr>
              <w:t>FINDINGS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_Toc107248338 \h </w:instrText>
            </w:r>
            <w:r w:rsidR="00C128B5" w:rsidRPr="005459E6">
              <w:rPr>
                <w:noProof/>
                <w:webHidden/>
              </w:rPr>
            </w:r>
            <w:r w:rsidR="00C128B5" w:rsidRPr="005459E6">
              <w:rPr>
                <w:noProof/>
                <w:webHidden/>
              </w:rPr>
              <w:fldChar w:fldCharType="separate"/>
            </w:r>
            <w:r w:rsidR="006C645B">
              <w:rPr>
                <w:noProof/>
                <w:webHidden/>
              </w:rPr>
              <w:t>123</w:t>
            </w:r>
            <w:r w:rsidR="00C128B5" w:rsidRPr="005459E6">
              <w:rPr>
                <w:noProof/>
                <w:webHidden/>
              </w:rPr>
              <w:fldChar w:fldCharType="end"/>
            </w:r>
          </w:hyperlink>
        </w:p>
        <w:p w14:paraId="62776E1C" w14:textId="2231837F" w:rsidR="00C128B5" w:rsidRPr="005459E6" w:rsidRDefault="00000000">
          <w:pPr>
            <w:pStyle w:val="Sommario2"/>
            <w:tabs>
              <w:tab w:val="right" w:leader="dot" w:pos="9350"/>
            </w:tabs>
            <w:rPr>
              <w:rFonts w:cstheme="minorBidi"/>
              <w:noProof/>
            </w:rPr>
          </w:pPr>
          <w:hyperlink w:anchor="_Toc107248339" w:history="1">
            <w:r w:rsidR="00C128B5" w:rsidRPr="005459E6">
              <w:rPr>
                <w:rStyle w:val="Collegamentoipertestuale"/>
                <w:rFonts w:ascii="Times New Roman" w:hAnsi="Times New Roman"/>
                <w:noProof/>
                <w:color w:val="auto"/>
              </w:rPr>
              <w:t>Pervasive Health</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_Toc107248339 \h </w:instrText>
            </w:r>
            <w:r w:rsidR="00C128B5" w:rsidRPr="005459E6">
              <w:rPr>
                <w:noProof/>
                <w:webHidden/>
              </w:rPr>
            </w:r>
            <w:r w:rsidR="00C128B5" w:rsidRPr="005459E6">
              <w:rPr>
                <w:noProof/>
                <w:webHidden/>
              </w:rPr>
              <w:fldChar w:fldCharType="separate"/>
            </w:r>
            <w:r w:rsidR="006C645B">
              <w:rPr>
                <w:noProof/>
                <w:webHidden/>
              </w:rPr>
              <w:t>125</w:t>
            </w:r>
            <w:r w:rsidR="00C128B5" w:rsidRPr="005459E6">
              <w:rPr>
                <w:noProof/>
                <w:webHidden/>
              </w:rPr>
              <w:fldChar w:fldCharType="end"/>
            </w:r>
          </w:hyperlink>
        </w:p>
        <w:p w14:paraId="1AC81472" w14:textId="52375DD9" w:rsidR="00C128B5" w:rsidRPr="005459E6" w:rsidRDefault="00000000">
          <w:pPr>
            <w:pStyle w:val="Sommario2"/>
            <w:tabs>
              <w:tab w:val="right" w:leader="dot" w:pos="9350"/>
            </w:tabs>
            <w:rPr>
              <w:rFonts w:cstheme="minorBidi"/>
              <w:noProof/>
            </w:rPr>
          </w:pPr>
          <w:hyperlink w:anchor="_Toc107248340" w:history="1">
            <w:r w:rsidR="00C128B5" w:rsidRPr="005459E6">
              <w:rPr>
                <w:rStyle w:val="Collegamentoipertestuale"/>
                <w:rFonts w:ascii="Times New Roman" w:hAnsi="Times New Roman"/>
                <w:noProof/>
                <w:color w:val="auto"/>
              </w:rPr>
              <w:t>Positive Emotions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_Toc107248340 \h </w:instrText>
            </w:r>
            <w:r w:rsidR="00C128B5" w:rsidRPr="005459E6">
              <w:rPr>
                <w:noProof/>
                <w:webHidden/>
              </w:rPr>
            </w:r>
            <w:r w:rsidR="00C128B5" w:rsidRPr="005459E6">
              <w:rPr>
                <w:noProof/>
                <w:webHidden/>
              </w:rPr>
              <w:fldChar w:fldCharType="separate"/>
            </w:r>
            <w:r w:rsidR="006C645B">
              <w:rPr>
                <w:noProof/>
                <w:webHidden/>
              </w:rPr>
              <w:t>126</w:t>
            </w:r>
            <w:r w:rsidR="00C128B5" w:rsidRPr="005459E6">
              <w:rPr>
                <w:noProof/>
                <w:webHidden/>
              </w:rPr>
              <w:fldChar w:fldCharType="end"/>
            </w:r>
          </w:hyperlink>
        </w:p>
        <w:p w14:paraId="08C51EF4" w14:textId="08DBCA75" w:rsidR="00C128B5" w:rsidRPr="005459E6" w:rsidRDefault="00000000">
          <w:pPr>
            <w:pStyle w:val="Sommario2"/>
            <w:tabs>
              <w:tab w:val="right" w:leader="dot" w:pos="9350"/>
            </w:tabs>
            <w:rPr>
              <w:rFonts w:cstheme="minorBidi"/>
              <w:noProof/>
            </w:rPr>
          </w:pPr>
          <w:hyperlink w:anchor="_Toc107248341" w:history="1">
            <w:r w:rsidR="00C128B5" w:rsidRPr="005459E6">
              <w:rPr>
                <w:rStyle w:val="Collegamentoipertestuale"/>
                <w:rFonts w:ascii="Times New Roman" w:hAnsi="Times New Roman"/>
                <w:noProof/>
                <w:color w:val="auto"/>
              </w:rPr>
              <w:t>Generating Value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_Toc107248341 \h </w:instrText>
            </w:r>
            <w:r w:rsidR="00C128B5" w:rsidRPr="005459E6">
              <w:rPr>
                <w:noProof/>
                <w:webHidden/>
              </w:rPr>
            </w:r>
            <w:r w:rsidR="00C128B5" w:rsidRPr="005459E6">
              <w:rPr>
                <w:noProof/>
                <w:webHidden/>
              </w:rPr>
              <w:fldChar w:fldCharType="separate"/>
            </w:r>
            <w:r w:rsidR="006C645B">
              <w:rPr>
                <w:noProof/>
                <w:webHidden/>
              </w:rPr>
              <w:t>127</w:t>
            </w:r>
            <w:r w:rsidR="00C128B5" w:rsidRPr="005459E6">
              <w:rPr>
                <w:noProof/>
                <w:webHidden/>
              </w:rPr>
              <w:fldChar w:fldCharType="end"/>
            </w:r>
          </w:hyperlink>
        </w:p>
        <w:p w14:paraId="0D411956" w14:textId="635838B0" w:rsidR="00C128B5" w:rsidRPr="005459E6" w:rsidRDefault="00000000">
          <w:pPr>
            <w:pStyle w:val="Sommario1"/>
            <w:tabs>
              <w:tab w:val="right" w:leader="dot" w:pos="9350"/>
            </w:tabs>
            <w:rPr>
              <w:rFonts w:asciiTheme="minorHAnsi" w:eastAsiaTheme="minorEastAsia" w:hAnsiTheme="minorHAnsi"/>
              <w:noProof/>
            </w:rPr>
          </w:pPr>
          <w:hyperlink w:anchor="_Toc107248342" w:history="1">
            <w:r w:rsidR="00C128B5" w:rsidRPr="005459E6">
              <w:rPr>
                <w:rStyle w:val="Collegamentoipertestuale"/>
                <w:rFonts w:ascii="Times New Roman" w:hAnsi="Times New Roman" w:cs="Times New Roman"/>
                <w:b/>
                <w:bCs/>
                <w:noProof/>
                <w:color w:val="auto"/>
              </w:rPr>
              <w:t>DISCUSSIONS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_Toc107248342 \h </w:instrText>
            </w:r>
            <w:r w:rsidR="00C128B5" w:rsidRPr="005459E6">
              <w:rPr>
                <w:noProof/>
                <w:webHidden/>
              </w:rPr>
            </w:r>
            <w:r w:rsidR="00C128B5" w:rsidRPr="005459E6">
              <w:rPr>
                <w:noProof/>
                <w:webHidden/>
              </w:rPr>
              <w:fldChar w:fldCharType="separate"/>
            </w:r>
            <w:r w:rsidR="006C645B">
              <w:rPr>
                <w:noProof/>
                <w:webHidden/>
              </w:rPr>
              <w:t>128</w:t>
            </w:r>
            <w:r w:rsidR="00C128B5" w:rsidRPr="005459E6">
              <w:rPr>
                <w:noProof/>
                <w:webHidden/>
              </w:rPr>
              <w:fldChar w:fldCharType="end"/>
            </w:r>
          </w:hyperlink>
        </w:p>
        <w:p w14:paraId="1575AF8B" w14:textId="3511CA3E" w:rsidR="00C128B5" w:rsidRPr="005459E6" w:rsidRDefault="00000000">
          <w:pPr>
            <w:pStyle w:val="Sommario1"/>
            <w:tabs>
              <w:tab w:val="right" w:leader="dot" w:pos="9350"/>
            </w:tabs>
            <w:rPr>
              <w:rFonts w:asciiTheme="minorHAnsi" w:eastAsiaTheme="minorEastAsia" w:hAnsiTheme="minorHAnsi"/>
              <w:noProof/>
            </w:rPr>
          </w:pPr>
          <w:hyperlink w:anchor="_Toc107248343" w:history="1">
            <w:r w:rsidR="00C128B5" w:rsidRPr="005459E6">
              <w:rPr>
                <w:rStyle w:val="Collegamentoipertestuale"/>
                <w:rFonts w:ascii="Times New Roman" w:hAnsi="Times New Roman" w:cs="Times New Roman"/>
                <w:b/>
                <w:bCs/>
                <w:noProof/>
                <w:color w:val="auto"/>
              </w:rPr>
              <w:t>IMPLICATIONS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_Toc107248343 \h </w:instrText>
            </w:r>
            <w:r w:rsidR="00C128B5" w:rsidRPr="005459E6">
              <w:rPr>
                <w:noProof/>
                <w:webHidden/>
              </w:rPr>
            </w:r>
            <w:r w:rsidR="00C128B5" w:rsidRPr="005459E6">
              <w:rPr>
                <w:noProof/>
                <w:webHidden/>
              </w:rPr>
              <w:fldChar w:fldCharType="separate"/>
            </w:r>
            <w:r w:rsidR="006C645B">
              <w:rPr>
                <w:noProof/>
                <w:webHidden/>
              </w:rPr>
              <w:t>132</w:t>
            </w:r>
            <w:r w:rsidR="00C128B5" w:rsidRPr="005459E6">
              <w:rPr>
                <w:noProof/>
                <w:webHidden/>
              </w:rPr>
              <w:fldChar w:fldCharType="end"/>
            </w:r>
          </w:hyperlink>
        </w:p>
        <w:p w14:paraId="5EDC1CEB" w14:textId="3B27D708" w:rsidR="00C128B5" w:rsidRPr="005459E6" w:rsidRDefault="00000000">
          <w:pPr>
            <w:pStyle w:val="Sommario1"/>
            <w:tabs>
              <w:tab w:val="right" w:leader="dot" w:pos="9350"/>
            </w:tabs>
            <w:rPr>
              <w:rFonts w:asciiTheme="minorHAnsi" w:eastAsiaTheme="minorEastAsia" w:hAnsiTheme="minorHAnsi"/>
              <w:noProof/>
            </w:rPr>
          </w:pPr>
          <w:hyperlink w:anchor="_Toc107248344" w:history="1">
            <w:r w:rsidR="00C128B5" w:rsidRPr="005459E6">
              <w:rPr>
                <w:rStyle w:val="Collegamentoipertestuale"/>
                <w:rFonts w:ascii="Times New Roman" w:hAnsi="Times New Roman" w:cs="Times New Roman"/>
                <w:b/>
                <w:bCs/>
                <w:noProof/>
                <w:color w:val="auto"/>
              </w:rPr>
              <w:t>LIMITATIONS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_Toc107248344 \h </w:instrText>
            </w:r>
            <w:r w:rsidR="00C128B5" w:rsidRPr="005459E6">
              <w:rPr>
                <w:noProof/>
                <w:webHidden/>
              </w:rPr>
            </w:r>
            <w:r w:rsidR="00C128B5" w:rsidRPr="005459E6">
              <w:rPr>
                <w:noProof/>
                <w:webHidden/>
              </w:rPr>
              <w:fldChar w:fldCharType="separate"/>
            </w:r>
            <w:r w:rsidR="006C645B">
              <w:rPr>
                <w:noProof/>
                <w:webHidden/>
              </w:rPr>
              <w:t>135</w:t>
            </w:r>
            <w:r w:rsidR="00C128B5" w:rsidRPr="005459E6">
              <w:rPr>
                <w:noProof/>
                <w:webHidden/>
              </w:rPr>
              <w:fldChar w:fldCharType="end"/>
            </w:r>
          </w:hyperlink>
        </w:p>
        <w:p w14:paraId="3D4E50C4" w14:textId="493FA55F" w:rsidR="00C128B5" w:rsidRPr="005459E6" w:rsidRDefault="00000000">
          <w:pPr>
            <w:pStyle w:val="Sommario1"/>
            <w:tabs>
              <w:tab w:val="right" w:leader="dot" w:pos="9350"/>
            </w:tabs>
            <w:rPr>
              <w:rFonts w:asciiTheme="minorHAnsi" w:eastAsiaTheme="minorEastAsia" w:hAnsiTheme="minorHAnsi"/>
              <w:noProof/>
            </w:rPr>
          </w:pPr>
          <w:hyperlink w:anchor="_Toc107248345" w:history="1">
            <w:r w:rsidR="00C128B5" w:rsidRPr="005459E6">
              <w:rPr>
                <w:rStyle w:val="Collegamentoipertestuale"/>
                <w:rFonts w:ascii="Times New Roman" w:hAnsi="Times New Roman" w:cs="Times New Roman"/>
                <w:b/>
                <w:bCs/>
                <w:noProof/>
                <w:color w:val="auto"/>
              </w:rPr>
              <w:t>FUTURE SCOPE &amp; RECOMMENDATIONS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_Toc107248345 \h </w:instrText>
            </w:r>
            <w:r w:rsidR="00C128B5" w:rsidRPr="005459E6">
              <w:rPr>
                <w:noProof/>
                <w:webHidden/>
              </w:rPr>
            </w:r>
            <w:r w:rsidR="00C128B5" w:rsidRPr="005459E6">
              <w:rPr>
                <w:noProof/>
                <w:webHidden/>
              </w:rPr>
              <w:fldChar w:fldCharType="separate"/>
            </w:r>
            <w:r w:rsidR="006C645B">
              <w:rPr>
                <w:noProof/>
                <w:webHidden/>
              </w:rPr>
              <w:t>136</w:t>
            </w:r>
            <w:r w:rsidR="00C128B5" w:rsidRPr="005459E6">
              <w:rPr>
                <w:noProof/>
                <w:webHidden/>
              </w:rPr>
              <w:fldChar w:fldCharType="end"/>
            </w:r>
          </w:hyperlink>
        </w:p>
        <w:p w14:paraId="007D508A" w14:textId="1266C2BD" w:rsidR="00C128B5" w:rsidRPr="005459E6" w:rsidRDefault="00000000">
          <w:pPr>
            <w:pStyle w:val="Sommario1"/>
            <w:tabs>
              <w:tab w:val="right" w:leader="dot" w:pos="9350"/>
            </w:tabs>
            <w:rPr>
              <w:rFonts w:asciiTheme="minorHAnsi" w:eastAsiaTheme="minorEastAsia" w:hAnsiTheme="minorHAnsi"/>
              <w:noProof/>
            </w:rPr>
          </w:pPr>
          <w:hyperlink w:anchor="_Toc107248346" w:history="1">
            <w:r w:rsidR="00C128B5" w:rsidRPr="005459E6">
              <w:rPr>
                <w:rStyle w:val="Collegamentoipertestuale"/>
                <w:rFonts w:ascii="Times New Roman" w:hAnsi="Times New Roman" w:cs="Times New Roman"/>
                <w:b/>
                <w:bCs/>
                <w:noProof/>
                <w:color w:val="auto"/>
              </w:rPr>
              <w:t>INFERENCE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_Toc107248346 \h </w:instrText>
            </w:r>
            <w:r w:rsidR="00C128B5" w:rsidRPr="005459E6">
              <w:rPr>
                <w:noProof/>
                <w:webHidden/>
              </w:rPr>
            </w:r>
            <w:r w:rsidR="00C128B5" w:rsidRPr="005459E6">
              <w:rPr>
                <w:noProof/>
                <w:webHidden/>
              </w:rPr>
              <w:fldChar w:fldCharType="separate"/>
            </w:r>
            <w:r w:rsidR="006C645B">
              <w:rPr>
                <w:noProof/>
                <w:webHidden/>
              </w:rPr>
              <w:t>138</w:t>
            </w:r>
            <w:r w:rsidR="00C128B5" w:rsidRPr="005459E6">
              <w:rPr>
                <w:noProof/>
                <w:webHidden/>
              </w:rPr>
              <w:fldChar w:fldCharType="end"/>
            </w:r>
          </w:hyperlink>
        </w:p>
        <w:p w14:paraId="62876FBC" w14:textId="1DCE3000" w:rsidR="00C128B5" w:rsidRPr="005459E6" w:rsidRDefault="00000000">
          <w:pPr>
            <w:pStyle w:val="Sommario1"/>
            <w:tabs>
              <w:tab w:val="right" w:leader="dot" w:pos="9350"/>
            </w:tabs>
            <w:rPr>
              <w:rFonts w:asciiTheme="minorHAnsi" w:eastAsiaTheme="minorEastAsia" w:hAnsiTheme="minorHAnsi"/>
              <w:noProof/>
            </w:rPr>
          </w:pPr>
          <w:hyperlink w:anchor="_Toc107248347" w:history="1">
            <w:r w:rsidR="00C128B5" w:rsidRPr="005459E6">
              <w:rPr>
                <w:rStyle w:val="Collegamentoipertestuale"/>
                <w:rFonts w:ascii="Times New Roman" w:hAnsi="Times New Roman" w:cs="Times New Roman"/>
                <w:b/>
                <w:bCs/>
                <w:noProof/>
                <w:color w:val="auto"/>
              </w:rPr>
              <w:t>CONTRIBUTION</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_Toc107248347 \h </w:instrText>
            </w:r>
            <w:r w:rsidR="00C128B5" w:rsidRPr="005459E6">
              <w:rPr>
                <w:noProof/>
                <w:webHidden/>
              </w:rPr>
            </w:r>
            <w:r w:rsidR="00C128B5" w:rsidRPr="005459E6">
              <w:rPr>
                <w:noProof/>
                <w:webHidden/>
              </w:rPr>
              <w:fldChar w:fldCharType="separate"/>
            </w:r>
            <w:r w:rsidR="006C645B">
              <w:rPr>
                <w:noProof/>
                <w:webHidden/>
              </w:rPr>
              <w:t>140</w:t>
            </w:r>
            <w:r w:rsidR="00C128B5" w:rsidRPr="005459E6">
              <w:rPr>
                <w:noProof/>
                <w:webHidden/>
              </w:rPr>
              <w:fldChar w:fldCharType="end"/>
            </w:r>
          </w:hyperlink>
        </w:p>
        <w:p w14:paraId="00D66295" w14:textId="457604E4" w:rsidR="00C128B5" w:rsidRPr="005459E6" w:rsidRDefault="00000000">
          <w:pPr>
            <w:pStyle w:val="Sommario1"/>
            <w:tabs>
              <w:tab w:val="right" w:leader="dot" w:pos="9350"/>
            </w:tabs>
            <w:rPr>
              <w:rFonts w:asciiTheme="minorHAnsi" w:eastAsiaTheme="minorEastAsia" w:hAnsiTheme="minorHAnsi"/>
              <w:noProof/>
            </w:rPr>
          </w:pPr>
          <w:hyperlink w:anchor="_Toc107248348" w:history="1">
            <w:r w:rsidR="00C128B5" w:rsidRPr="005459E6">
              <w:rPr>
                <w:rStyle w:val="Collegamentoipertestuale"/>
                <w:rFonts w:ascii="Times New Roman" w:hAnsi="Times New Roman" w:cs="Times New Roman"/>
                <w:b/>
                <w:bCs/>
                <w:noProof/>
                <w:color w:val="auto"/>
              </w:rPr>
              <w:t>APPENDICES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_Toc107248348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3B90A08E" w14:textId="1E7E1221" w:rsidR="00C128B5" w:rsidRPr="005459E6" w:rsidRDefault="00000000">
          <w:pPr>
            <w:pStyle w:val="Sommario1"/>
            <w:tabs>
              <w:tab w:val="right" w:leader="dot" w:pos="9350"/>
            </w:tabs>
            <w:rPr>
              <w:rFonts w:asciiTheme="minorHAnsi" w:eastAsiaTheme="minorEastAsia" w:hAnsiTheme="minorHAnsi"/>
              <w:noProof/>
            </w:rPr>
          </w:pPr>
          <w:hyperlink w:anchor="_Toc107248349" w:history="1">
            <w:r w:rsidR="00C128B5" w:rsidRPr="005459E6">
              <w:rPr>
                <w:rStyle w:val="Collegamentoipertestuale"/>
                <w:rFonts w:ascii="Times New Roman" w:hAnsi="Times New Roman" w:cs="Times New Roman"/>
                <w:noProof/>
                <w:color w:val="auto"/>
              </w:rPr>
              <w:t>APPENDIX A: Pilot Study</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_Toc107248349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366C4ACB" w14:textId="0331840D" w:rsidR="00C128B5" w:rsidRPr="005459E6" w:rsidRDefault="00000000">
          <w:pPr>
            <w:pStyle w:val="Sommario1"/>
            <w:tabs>
              <w:tab w:val="right" w:leader="dot" w:pos="9350"/>
            </w:tabs>
            <w:rPr>
              <w:rFonts w:asciiTheme="minorHAnsi" w:eastAsiaTheme="minorEastAsia" w:hAnsiTheme="minorHAnsi"/>
              <w:noProof/>
            </w:rPr>
          </w:pPr>
          <w:hyperlink w:anchor="_Toc107248350" w:history="1">
            <w:r w:rsidR="00C128B5" w:rsidRPr="005459E6">
              <w:rPr>
                <w:rStyle w:val="Collegamentoipertestuale"/>
                <w:rFonts w:ascii="Times New Roman" w:hAnsi="Times New Roman" w:cs="Times New Roman"/>
                <w:noProof/>
                <w:color w:val="auto"/>
              </w:rPr>
              <w:t>APPENDIX B: Survey Questionnaire</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_Toc107248350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737E1F91" w14:textId="276B1332" w:rsidR="00C128B5" w:rsidRPr="005459E6" w:rsidRDefault="00000000">
          <w:pPr>
            <w:pStyle w:val="Sommario1"/>
            <w:tabs>
              <w:tab w:val="right" w:leader="dot" w:pos="9350"/>
            </w:tabs>
            <w:rPr>
              <w:rFonts w:asciiTheme="minorHAnsi" w:eastAsiaTheme="minorEastAsia" w:hAnsiTheme="minorHAnsi"/>
              <w:noProof/>
            </w:rPr>
          </w:pPr>
          <w:hyperlink w:anchor="_Toc107248351" w:history="1">
            <w:r w:rsidR="00C128B5" w:rsidRPr="005459E6">
              <w:rPr>
                <w:rStyle w:val="Collegamentoipertestuale"/>
                <w:rFonts w:ascii="Times New Roman" w:hAnsi="Times New Roman" w:cs="Times New Roman"/>
                <w:noProof/>
                <w:color w:val="auto"/>
              </w:rPr>
              <w:t>APPENDIX C: Codebook of Qualitative Content Analysis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_Toc107248351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488DE500" w14:textId="21FBEDA9" w:rsidR="00C128B5" w:rsidRPr="005459E6" w:rsidRDefault="00000000">
          <w:pPr>
            <w:pStyle w:val="Sommario1"/>
            <w:tabs>
              <w:tab w:val="right" w:leader="dot" w:pos="9350"/>
            </w:tabs>
            <w:rPr>
              <w:rFonts w:asciiTheme="minorHAnsi" w:eastAsiaTheme="minorEastAsia" w:hAnsiTheme="minorHAnsi"/>
              <w:noProof/>
            </w:rPr>
          </w:pPr>
          <w:hyperlink w:anchor="_Toc107248352" w:history="1">
            <w:r w:rsidR="00C128B5" w:rsidRPr="005459E6">
              <w:rPr>
                <w:rStyle w:val="Collegamentoipertestuale"/>
                <w:rFonts w:ascii="Times New Roman" w:hAnsi="Times New Roman" w:cs="Times New Roman"/>
                <w:noProof/>
                <w:color w:val="auto"/>
              </w:rPr>
              <w:t>APPENDIX D: Dataset &amp; Code Snippets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_Toc107248352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06971D6D" w14:textId="1F49216C" w:rsidR="00C128B5" w:rsidRPr="005459E6" w:rsidRDefault="00000000">
          <w:pPr>
            <w:pStyle w:val="Sommario1"/>
            <w:tabs>
              <w:tab w:val="right" w:leader="dot" w:pos="9350"/>
            </w:tabs>
            <w:rPr>
              <w:rFonts w:asciiTheme="minorHAnsi" w:eastAsiaTheme="minorEastAsia" w:hAnsiTheme="minorHAnsi"/>
              <w:noProof/>
            </w:rPr>
          </w:pPr>
          <w:hyperlink w:anchor="_Toc107248353" w:history="1">
            <w:r w:rsidR="00C128B5" w:rsidRPr="005459E6">
              <w:rPr>
                <w:rStyle w:val="Collegamentoipertestuale"/>
                <w:rFonts w:ascii="Times New Roman" w:hAnsi="Times New Roman" w:cs="Times New Roman"/>
                <w:noProof/>
                <w:color w:val="auto"/>
              </w:rPr>
              <w:t>APPENDIX E: GDPR Compliance Statement</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_Toc107248353 \h </w:instrText>
            </w:r>
            <w:r w:rsidR="00C128B5" w:rsidRPr="005459E6">
              <w:rPr>
                <w:noProof/>
                <w:webHidden/>
              </w:rPr>
            </w:r>
            <w:r w:rsidR="00C128B5" w:rsidRPr="005459E6">
              <w:rPr>
                <w:noProof/>
                <w:webHidden/>
              </w:rPr>
              <w:fldChar w:fldCharType="separate"/>
            </w:r>
            <w:r w:rsidR="006C645B">
              <w:rPr>
                <w:noProof/>
                <w:webHidden/>
              </w:rPr>
              <w:t>141</w:t>
            </w:r>
            <w:r w:rsidR="00C128B5" w:rsidRPr="005459E6">
              <w:rPr>
                <w:noProof/>
                <w:webHidden/>
              </w:rPr>
              <w:fldChar w:fldCharType="end"/>
            </w:r>
          </w:hyperlink>
        </w:p>
        <w:p w14:paraId="6E508BB4" w14:textId="6FDF6266" w:rsidR="00C128B5" w:rsidRPr="005459E6" w:rsidRDefault="00000000">
          <w:pPr>
            <w:pStyle w:val="Sommario1"/>
            <w:tabs>
              <w:tab w:val="right" w:leader="dot" w:pos="9350"/>
            </w:tabs>
            <w:rPr>
              <w:rFonts w:asciiTheme="minorHAnsi" w:eastAsiaTheme="minorEastAsia" w:hAnsiTheme="minorHAnsi"/>
              <w:noProof/>
            </w:rPr>
          </w:pPr>
          <w:hyperlink w:anchor="_Toc107248354" w:history="1">
            <w:r w:rsidR="00C128B5" w:rsidRPr="005459E6">
              <w:rPr>
                <w:rStyle w:val="Collegamentoipertestuale"/>
                <w:rFonts w:ascii="Times New Roman" w:hAnsi="Times New Roman" w:cs="Times New Roman"/>
                <w:b/>
                <w:bCs/>
                <w:noProof/>
                <w:color w:val="auto"/>
              </w:rPr>
              <w:t>List of Illustrations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_Toc107248354 \h </w:instrText>
            </w:r>
            <w:r w:rsidR="00C128B5" w:rsidRPr="005459E6">
              <w:rPr>
                <w:noProof/>
                <w:webHidden/>
              </w:rPr>
            </w:r>
            <w:r w:rsidR="00C128B5" w:rsidRPr="005459E6">
              <w:rPr>
                <w:noProof/>
                <w:webHidden/>
              </w:rPr>
              <w:fldChar w:fldCharType="separate"/>
            </w:r>
            <w:r w:rsidR="006C645B">
              <w:rPr>
                <w:noProof/>
                <w:webHidden/>
              </w:rPr>
              <w:t>142</w:t>
            </w:r>
            <w:r w:rsidR="00C128B5" w:rsidRPr="005459E6">
              <w:rPr>
                <w:noProof/>
                <w:webHidden/>
              </w:rPr>
              <w:fldChar w:fldCharType="end"/>
            </w:r>
          </w:hyperlink>
        </w:p>
        <w:p w14:paraId="230C5F92" w14:textId="07D162A4" w:rsidR="00C128B5" w:rsidRPr="005459E6" w:rsidRDefault="00000000">
          <w:pPr>
            <w:pStyle w:val="Sommario1"/>
            <w:tabs>
              <w:tab w:val="right" w:leader="dot" w:pos="9350"/>
            </w:tabs>
            <w:rPr>
              <w:rFonts w:asciiTheme="minorHAnsi" w:eastAsiaTheme="minorEastAsia" w:hAnsiTheme="minorHAnsi"/>
              <w:noProof/>
            </w:rPr>
          </w:pPr>
          <w:hyperlink w:anchor="_Toc107248355" w:history="1">
            <w:r w:rsidR="00C128B5" w:rsidRPr="005459E6">
              <w:rPr>
                <w:rStyle w:val="Collegamentoipertestuale"/>
                <w:rFonts w:ascii="Times New Roman" w:hAnsi="Times New Roman" w:cs="Times New Roman"/>
                <w:b/>
                <w:bCs/>
                <w:noProof/>
                <w:color w:val="auto"/>
              </w:rPr>
              <w:t>References</w:t>
            </w:r>
            <w:r w:rsidR="00C128B5" w:rsidRPr="005459E6">
              <w:rPr>
                <w:noProof/>
                <w:webHidden/>
              </w:rPr>
              <w:tab/>
            </w:r>
            <w:r w:rsidR="00C128B5" w:rsidRPr="005459E6">
              <w:rPr>
                <w:noProof/>
                <w:webHidden/>
              </w:rPr>
              <w:fldChar w:fldCharType="begin"/>
            </w:r>
            <w:r w:rsidR="00C128B5" w:rsidRPr="005459E6">
              <w:rPr>
                <w:noProof/>
                <w:webHidden/>
              </w:rPr>
              <w:instrText xml:space="preserve"> PAGEREF _Toc107248355 \h </w:instrText>
            </w:r>
            <w:r w:rsidR="00C128B5" w:rsidRPr="005459E6">
              <w:rPr>
                <w:noProof/>
                <w:webHidden/>
              </w:rPr>
            </w:r>
            <w:r w:rsidR="00C128B5" w:rsidRPr="005459E6">
              <w:rPr>
                <w:noProof/>
                <w:webHidden/>
              </w:rPr>
              <w:fldChar w:fldCharType="separate"/>
            </w:r>
            <w:r w:rsidR="006C645B">
              <w:rPr>
                <w:noProof/>
                <w:webHidden/>
              </w:rPr>
              <w:t>144</w:t>
            </w:r>
            <w:r w:rsidR="00C128B5" w:rsidRPr="005459E6">
              <w:rPr>
                <w:noProof/>
                <w:webHidden/>
              </w:rPr>
              <w:fldChar w:fldCharType="end"/>
            </w:r>
          </w:hyperlink>
        </w:p>
        <w:p w14:paraId="610D9269" w14:textId="2CBB1C29" w:rsidR="006F7BC0" w:rsidRPr="005459E6" w:rsidRDefault="00642FBA" w:rsidP="00042CB0">
          <w:pPr>
            <w:spacing w:line="360" w:lineRule="auto"/>
            <w:jc w:val="both"/>
            <w:rPr>
              <w:rFonts w:ascii="Times New Roman" w:hAnsi="Times New Roman" w:cs="Times New Roman"/>
              <w:b/>
              <w:bCs/>
              <w:noProof/>
            </w:rPr>
          </w:pPr>
          <w:r w:rsidRPr="005459E6">
            <w:rPr>
              <w:rFonts w:ascii="Times New Roman" w:hAnsi="Times New Roman" w:cs="Times New Roman"/>
              <w:b/>
              <w:bCs/>
              <w:noProof/>
            </w:rPr>
            <w:fldChar w:fldCharType="end"/>
          </w:r>
        </w:p>
      </w:sdtContent>
    </w:sdt>
    <w:p w14:paraId="1CC043BB" w14:textId="24EE3254" w:rsidR="00276A73" w:rsidRPr="005459E6" w:rsidRDefault="006A71B4" w:rsidP="00042CB0">
      <w:pPr>
        <w:spacing w:line="360" w:lineRule="auto"/>
        <w:jc w:val="both"/>
        <w:rPr>
          <w:rFonts w:ascii="Times New Roman" w:hAnsi="Times New Roman" w:cs="Times New Roman"/>
          <w:b/>
          <w:bCs/>
          <w:noProof/>
        </w:rPr>
      </w:pPr>
      <w:r w:rsidRPr="005459E6">
        <w:rPr>
          <w:rFonts w:ascii="Times New Roman" w:eastAsiaTheme="majorEastAsia" w:hAnsi="Times New Roman" w:cs="Times New Roman"/>
          <w:b/>
          <w:bCs/>
          <w:spacing w:val="-10"/>
          <w:kern w:val="28"/>
          <w:sz w:val="40"/>
          <w:szCs w:val="40"/>
        </w:rPr>
        <w:lastRenderedPageBreak/>
        <w:t xml:space="preserve">Augmenting </w:t>
      </w:r>
      <w:r w:rsidR="003C6B8B" w:rsidRPr="005459E6">
        <w:rPr>
          <w:rFonts w:ascii="Times New Roman" w:eastAsiaTheme="majorEastAsia" w:hAnsi="Times New Roman" w:cs="Times New Roman"/>
          <w:b/>
          <w:bCs/>
          <w:spacing w:val="-10"/>
          <w:kern w:val="28"/>
          <w:sz w:val="40"/>
          <w:szCs w:val="40"/>
        </w:rPr>
        <w:t>Psychological Well-being using</w:t>
      </w:r>
      <w:r w:rsidR="00A67D8D" w:rsidRPr="005459E6">
        <w:rPr>
          <w:rFonts w:ascii="Times New Roman" w:eastAsiaTheme="majorEastAsia" w:hAnsi="Times New Roman" w:cs="Times New Roman"/>
          <w:b/>
          <w:bCs/>
          <w:spacing w:val="-10"/>
          <w:kern w:val="28"/>
          <w:sz w:val="40"/>
          <w:szCs w:val="40"/>
        </w:rPr>
        <w:t xml:space="preserve"> </w:t>
      </w:r>
      <w:r w:rsidRPr="005459E6">
        <w:rPr>
          <w:rFonts w:ascii="Times New Roman" w:eastAsiaTheme="majorEastAsia" w:hAnsi="Times New Roman" w:cs="Times New Roman"/>
          <w:b/>
          <w:bCs/>
          <w:spacing w:val="-10"/>
          <w:kern w:val="28"/>
          <w:sz w:val="40"/>
          <w:szCs w:val="40"/>
        </w:rPr>
        <w:t xml:space="preserve">Artificial </w:t>
      </w:r>
      <w:r w:rsidR="00870A00" w:rsidRPr="005459E6">
        <w:rPr>
          <w:rFonts w:ascii="Times New Roman" w:eastAsiaTheme="majorEastAsia" w:hAnsi="Times New Roman" w:cs="Times New Roman"/>
          <w:b/>
          <w:bCs/>
          <w:spacing w:val="-10"/>
          <w:kern w:val="28"/>
          <w:sz w:val="40"/>
          <w:szCs w:val="40"/>
        </w:rPr>
        <w:t>Intelligence:</w:t>
      </w:r>
      <w:r w:rsidRPr="005459E6">
        <w:rPr>
          <w:rFonts w:ascii="Times New Roman" w:eastAsiaTheme="majorEastAsia" w:hAnsi="Times New Roman" w:cs="Times New Roman"/>
          <w:b/>
          <w:bCs/>
          <w:spacing w:val="-10"/>
          <w:kern w:val="28"/>
          <w:sz w:val="40"/>
          <w:szCs w:val="40"/>
        </w:rPr>
        <w:t xml:space="preserve"> Reflections on the Workplace Productivity</w:t>
      </w:r>
    </w:p>
    <w:p w14:paraId="5A131DA5" w14:textId="459D494A" w:rsidR="00864DC8" w:rsidRPr="005459E6" w:rsidRDefault="00864DC8" w:rsidP="00042CB0">
      <w:pPr>
        <w:pStyle w:val="Titolo1"/>
        <w:spacing w:line="360" w:lineRule="auto"/>
        <w:jc w:val="both"/>
        <w:rPr>
          <w:rFonts w:ascii="Times New Roman" w:hAnsi="Times New Roman" w:cs="Times New Roman"/>
          <w:b/>
          <w:bCs/>
          <w:color w:val="auto"/>
          <w:sz w:val="22"/>
          <w:szCs w:val="22"/>
        </w:rPr>
      </w:pPr>
      <w:bookmarkStart w:id="0" w:name="_Toc87349469"/>
      <w:bookmarkStart w:id="1" w:name="_Toc87349582"/>
      <w:bookmarkStart w:id="2" w:name="_Toc87349689"/>
      <w:bookmarkStart w:id="3" w:name="_Toc107248266"/>
      <w:r w:rsidRPr="005459E6">
        <w:rPr>
          <w:rFonts w:ascii="Times New Roman" w:hAnsi="Times New Roman" w:cs="Times New Roman"/>
          <w:b/>
          <w:bCs/>
          <w:color w:val="auto"/>
          <w:sz w:val="22"/>
          <w:szCs w:val="22"/>
        </w:rPr>
        <w:t>INTRODUCTION</w:t>
      </w:r>
      <w:bookmarkEnd w:id="0"/>
      <w:bookmarkEnd w:id="1"/>
      <w:bookmarkEnd w:id="2"/>
      <w:bookmarkEnd w:id="3"/>
      <w:r w:rsidRPr="005459E6">
        <w:rPr>
          <w:rFonts w:ascii="Times New Roman" w:hAnsi="Times New Roman" w:cs="Times New Roman"/>
          <w:b/>
          <w:bCs/>
          <w:color w:val="auto"/>
          <w:sz w:val="22"/>
          <w:szCs w:val="22"/>
        </w:rPr>
        <w:tab/>
      </w:r>
    </w:p>
    <w:p w14:paraId="7AFA609C" w14:textId="36E06E7D" w:rsidR="00526420" w:rsidRPr="005459E6" w:rsidRDefault="00526420" w:rsidP="00042CB0">
      <w:pPr>
        <w:spacing w:line="360" w:lineRule="auto"/>
        <w:jc w:val="both"/>
        <w:rPr>
          <w:rFonts w:ascii="Times New Roman" w:hAnsi="Times New Roman" w:cs="Times New Roman"/>
        </w:rPr>
      </w:pPr>
      <w:r w:rsidRPr="005459E6">
        <w:rPr>
          <w:rFonts w:ascii="Times New Roman" w:hAnsi="Times New Roman" w:cs="Times New Roman"/>
        </w:rPr>
        <w:t xml:space="preserve">In the 21st Century, societal evolution has yielded a complex lifestyle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{"citationItems":[{"id":"ITEM-1","itemData":{"abstract":"Objective: The aim of the present study was to investigate the stress level in a group of nurses and to correlate the stress level and its subsequent symptoms with personality factors. Materials and Methods: The study was conducted on 34 psychiatric nurses, 68% of them being female. The average age of the male subjects was 32.25 years with a standard deviation of 6.21 years, while the average age of the fe- male subjects was 35.18 years, with a standard deviation of 8.03 years. The analysis focused on the stress level, stress symptoms, age, dura- tion of employment and personality factors. Results: The findings showed that female staff members were more affected by stress as they grow older and have spent a longer time on the job, while male staff members were subjected to higher stress levels at the beginning of their activ- ity. Correlations between personality factors and stress both in concerns of perceived stress and the level of subsequent stress symptomatology were identified. High stress levels were identified in people with low social presence (r=-0.417, p=0.01) and low empathy (r=-0.393, p=0.02). A higher intensity of psychological symptoms following stress was also associated with low social presence (r =-0.379, p=0.03), low empathy (r=-0.465, p&lt;0.01), low independence (r=-0.347, p=0.04), low good impression (r=-0.380, p=0.03), low well-being state (r =-0.429, p=0.01), low tolerance (r=-0.484, p&lt;0.01), low intellectual efficiency (r=-0.406, p=0.02), low psychological intuition (r=-0.437, p=0.01), low work ori- entation (r=-0.463, p&lt;0.01) and increased femininity (r=0.431, p=0.01). Conclusion: Several personality factors, such as social presence, em- pathy, independence, good impression, intellectual efficiency, psychological intuition, work orientation, femininity render individuals more vulnerable","author":[{"dropping-particle":"","family":"Dumitru","given":"Voichita M","non-dropping-particle":"","parse-names":false,"suffix":""},{"dropping-particle":"","family":"Cozman","given":"Doina","non-dropping-particle":"","parse-names":false,"suffix":""}],"container-title":"International Journal of the Bioflux Society","id":"ITEM-1","issue":"1","issued":{"date-parts":[["2012"]]},"page":"34-39","title":"The Relationship between Stress and Personality Factors","type":"article-journal","volume":"4"},"uris":["http://www.mendeley.com/documents/?uuid=634c565d-9e93-46ec-ba60-ff8bfe8db400"]}],"mendeley":{"formattedCitation":"(Dumitru &amp; Cozman, 2012)","plainTextFormattedCitation":"(Dumitru &amp; Cozman, 2012)","previouslyFormattedCitation":"(Dumitru &amp; Cozman,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(Dumitru &amp; Cozman, 2012)</w:t>
      </w:r>
      <w:r w:rsidRPr="005459E6">
        <w:rPr>
          <w:rFonts w:ascii="Times New Roman" w:hAnsi="Times New Roman" w:cs="Times New Roman"/>
        </w:rPr>
        <w:fldChar w:fldCharType="end"/>
      </w:r>
      <w:r w:rsidRPr="005459E6">
        <w:rPr>
          <w:rFonts w:ascii="Times New Roman" w:hAnsi="Times New Roman" w:cs="Times New Roman"/>
        </w:rPr>
        <w:t>, and</w:t>
      </w:r>
      <w:r w:rsidRPr="005459E6">
        <w:rPr>
          <w:rFonts w:ascii="Times New Roman" w:eastAsia="Times New Roman" w:hAnsi="Times New Roman" w:cs="Times New Roman"/>
        </w:rPr>
        <w:t xml:space="preserve"> </w:t>
      </w:r>
      <w:r w:rsidRPr="005459E6">
        <w:rPr>
          <w:rFonts w:ascii="Times New Roman" w:hAnsi="Times New Roman" w:cs="Times New Roman"/>
        </w:rPr>
        <w:t xml:space="preserve">while we strive to accomplish our bucket list, our mental health </w:t>
      </w:r>
      <w:r w:rsidR="00BC03F1" w:rsidRPr="005459E6">
        <w:rPr>
          <w:rFonts w:ascii="Times New Roman" w:hAnsi="Times New Roman" w:cs="Times New Roman"/>
        </w:rPr>
        <w:t xml:space="preserve">is subjected to </w:t>
      </w:r>
      <w:r w:rsidRPr="005459E6">
        <w:rPr>
          <w:rFonts w:ascii="Times New Roman" w:hAnsi="Times New Roman" w:cs="Times New Roman"/>
        </w:rPr>
        <w:t xml:space="preserve">the anxiety and stress that may have enormous repercussions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{"citationItems":[{"id":"ITEM-1","itemData":{"DOI":"10.1186/s40359-014-0055-y","author":[{"dropping-particle":"","family":"Velten","given":"Julia","non-dropping-particle":"","parse-names":false,"suffix":""},{"dropping-particle":"","family":"Lavallee","given":"Kristen L","non-dropping-particle":"","parse-names":false,"suffix":""},{"dropping-particle":"","family":"Scholten","given":"Saskia","non-dropping-particle":"","parse-names":false,"suffix":""},{"dropping-particle":"","family":"Meyer","given":"Andrea Hans","non-dropping-particle":"","parse-names":false,"suffix":""},{"dropping-particle":"","family":"Zhang","given":"Xiao-chi","non-dropping-particle":"","parse-names":false,"suffix":""},{"dropping-particle":"","family":"Schneider","given":"Silvia","non-dropping-particle":"","parse-names":false,"suffix":""}],"id":"ITEM-1","issued":{"date-parts":[["2014"]]},"page":"1-11","title":"Lifestyle choices and mental health : a representative population survey","type":"article-journal"},"uris":["http://www.mendeley.com/documents/?uuid=77238edb-4ad0-4009-80c1-d2fea6bba50c"]}],"mendeley":{"formattedCitation":"(Velten et al., 2014)","plainTextFormattedCitation":"(Velten et al., 2014)","previouslyFormattedCitation":"(Velten et al.,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(Velten et al., 2014)</w:t>
      </w:r>
      <w:r w:rsidRPr="005459E6">
        <w:rPr>
          <w:rFonts w:ascii="Times New Roman" w:hAnsi="Times New Roman" w:cs="Times New Roman"/>
        </w:rPr>
        <w:fldChar w:fldCharType="end"/>
      </w:r>
      <w:r w:rsidRPr="005459E6">
        <w:rPr>
          <w:rFonts w:ascii="Times New Roman" w:hAnsi="Times New Roman" w:cs="Times New Roman"/>
        </w:rPr>
        <w:t xml:space="preserve">. Psychosomatic health is a reflection of psychological health on physical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{"citationItems":[{"id":"ITEM-1","itemData":{"author":[{"dropping-particle":"","family":"Vandervoort","given":"Debra","non-dropping-particle":"","parse-names":false,"suffix":""}],"id":"ITEM-1","issue":"4","issued":{"date-parts":[["1995"]]},"page":"69-82","title":"Depression , Anxiety , Hostility , and Physical Health","type":"article-journal","volume":"13"},"uris":["http://www.mendeley.com/documents/?uuid=dde92b95-4561-499a-aadb-3da705274995"]}],"mendeley":{"formattedCitation":"(Vandervoort, 1995)","plainTextFormattedCitation":"(Vandervoort, 1995)","previouslyFormattedCitation":"(Vandervoort, 1995)"},"properties":{"noteIndex":0},"schema":"https://github.com/citation-style-language/schema/raw/master/csl-citation.json"}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(Vandervoort, 1995)</w:t>
      </w:r>
      <w:r w:rsidRPr="005459E6">
        <w:rPr>
          <w:rFonts w:ascii="Times New Roman" w:hAnsi="Times New Roman" w:cs="Times New Roman"/>
        </w:rPr>
        <w:fldChar w:fldCharType="end"/>
      </w:r>
      <w:r w:rsidRPr="005459E6">
        <w:rPr>
          <w:rFonts w:ascii="Times New Roman" w:hAnsi="Times New Roman" w:cs="Times New Roman"/>
        </w:rPr>
        <w:t xml:space="preserve">. Although we remain attentive to our physical health, psychological health stays less prioritized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{"citationItems":[{"id":"ITEM-1","itemData":{"DOI":"10.1016/S2215-0366(20)30307-2","ISSN":"22150374","PMID":"32682460","abstract":"The unpredictability and uncertainty of the COVID-19 pandemic; the associated lockdowns, physical distancing, and other containment strategies; and the resulting economic breakdown could increase the risk of mental health problems and exacerbate health inequalities. Preliminary findings suggest adverse mental health effects in previously healthy people and especially in people with pre-existing mental health disorders. Despite the heterogeneity of worldwide health systems, efforts have been made to adapt the delivery of mental health care to the demands of COVID-19. Mental health concerns have been addressed via the public mental health response and by adapting mental health services, mostly focusing on infection control, modifying access to diagnosis and treatment, ensuring continuity of care for mental health service users, and paying attention to new cases of mental ill health and populations at high risk of mental health problems. Sustainable adaptations of delivery systems for mental health care should be developed by experts, clinicians, and service users, and should be specifically designed to mitigate disparities in health-care provision. Thorough and continuous assessment of health and service-use outcomes in mental health clinical practice will be crucial for defining which practices should be further developed and which discontinued. For this Position Paper, an international group of clinicians, mental health experts, and users of mental health services has come together to reflect on the challenges for mental health that COVID-19 poses. The interconnectedness of the world made society vulnerable to this infection, but it also provides the infrastructure to address previous system failings by disseminating good practices that can result in sustained, efficient, and equitable delivery of mental health-care delivery. Thus, the COVID-19 pandemic could be an opportunity to improve mental health services.","author":[{"dropping-particle":"","family":"Moreno","given":"Carmen","non-dropping-particle":"","parse-names":false,"suffix":""},{"dropping-particle":"","family":"Wykes","given":"Til","non-dropping-particle":"","parse-names":false,"suffix":""},{"dropping-particle":"","family":"Galderisi","given":"Silvana","non-dropping-particle":"","parse-names":false,"suffix":""},{"dropping-particle":"","family":"Nordentoft","given":"Merete","non-dropping-particle":"","parse-names":false,"suffix":""},{"dropping-particle":"","family":"Crossley","given":"Nicolas","non-dropping-particle":"","parse-names":false,"suffix":""},{"dropping-particle":"","family":"Jones","given":"Nev","non-dropping-particle":"","parse-names":false,"suffix":""},{"dropping-particle":"","family":"Cannon","given":"Mary","non-dropping-particle":"","parse-names":false,"suffix":""},{"dropping-particle":"","family":"Correll","given":"Christoph U.","non-dropping-particle":"","parse-names":false,"suffix":""},{"dropping-particle":"","family":"Byrne","given":"Louise","non-dropping-particle":"","parse-names":false,"suffix":""},{"dropping-particle":"","family":"Carr","given":"Sarah","non-dropping-particle":"","parse-names":false,"suffix":""},{"dropping-particle":"","family":"Chen","given":"Eric Y.H.","non-dropping-particle":"","parse-names":false,"suffix":""},{"dropping-particle":"","family":"Gorwood","given":"Philip","non-dropping-particle":"","parse-names":false,"suffix":""},{"dropping-particle":"","family":"Johnson","given":"Sonia","non-dropping-particle":"","parse-names":false,"suffix":""},{"dropping-particle":"","family":"Kärkkäinen","given":"Hilkka","non-dropping-particle":"","parse-names":false,"suffix":""},{"dropping-particle":"","family":"Krystal","given":"John H.","non-dropping-particle":"","parse-names":false,"suffix":""},{"dropping-particle":"","family":"Lee","given":"Jimmy","non-dropping-particle":"","parse-names":false,"suffix":""},{"dropping-particle":"","family":"Lieberman","given":"Jeffrey","non-dropping-particle":"","parse-names":false,"suffix":""},{"dropping-particle":"","family":"López-Jaramillo","given":"Carlos","non-dropping-particle":"","parse-names":false,"suffix":""},{"dropping-particle":"","family":"Männikkö","given":"Miia","non-dropping-particle":"","parse-names":false,"suffix":""},{"dropping-particle":"","family":"Phillips","given":"Michael R.","non-dropping-particle":"","parse-names":false,"suffix":""},{"dropping-particle":"","family":"Uchida","given":"Hiroyuki","non-dropping-particle":"","parse-names":false,"suffix":""},{"dropping-particle":"","family":"Vieta","given":"Eduard","non-dropping-particle":"","parse-names":false,"suffix":""},{"dropping-particle":"","family":"Vita","given":"Antonio","non-dropping-particle":"","parse-names":false,"suffix":""},{"dropping-particle":"","family":"Arango","given":"Celso","non-dropping-particle":"","parse-names":false,"suffix":""}],"container-title":"The Lancet Psychiatry","id":"ITEM-1","issue":"9","issued":{"date-parts":[["2020"]]},"page":"813-824","title":"How mental health care should change as a consequence of the COVID-19 pandemic","type":"article-journal","volume":"7"},"uris":["http://www.mendeley.com/documents/?uuid=b8f593e6-a296-4d48-a76c-1e27b5dc3f94"]}],"mendeley":{"formattedCitation":"(Moreno et al., 2020)","plainTextFormattedCitation":"(Moreno et al., 2020)","previouslyFormattedCitation":"(Moreno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(Moreno et al., 2020)</w:t>
      </w:r>
      <w:r w:rsidRPr="005459E6">
        <w:rPr>
          <w:rFonts w:ascii="Times New Roman" w:hAnsi="Times New Roman" w:cs="Times New Roman"/>
        </w:rPr>
        <w:fldChar w:fldCharType="end"/>
      </w:r>
      <w:r w:rsidRPr="005459E6">
        <w:rPr>
          <w:rFonts w:ascii="Times New Roman" w:hAnsi="Times New Roman" w:cs="Times New Roman"/>
        </w:rPr>
        <w:t xml:space="preserve">. </w:t>
      </w:r>
      <w:r w:rsidR="005C2B31" w:rsidRPr="005459E6">
        <w:rPr>
          <w:rFonts w:ascii="Times New Roman" w:hAnsi="Times New Roman" w:cs="Times New Roman"/>
        </w:rPr>
        <w:t>As a result</w:t>
      </w:r>
      <w:r w:rsidR="009165AB" w:rsidRPr="005459E6">
        <w:rPr>
          <w:rFonts w:ascii="Times New Roman" w:hAnsi="Times New Roman" w:cs="Times New Roman"/>
        </w:rPr>
        <w:t>,</w:t>
      </w:r>
      <w:r w:rsidR="005C2B31" w:rsidRPr="005459E6">
        <w:rPr>
          <w:rFonts w:ascii="Times New Roman" w:hAnsi="Times New Roman" w:cs="Times New Roman"/>
        </w:rPr>
        <w:t xml:space="preserve"> </w:t>
      </w:r>
      <w:r w:rsidR="009165AB" w:rsidRPr="005459E6">
        <w:rPr>
          <w:rFonts w:ascii="Times New Roman" w:hAnsi="Times New Roman" w:cs="Times New Roman"/>
        </w:rPr>
        <w:t>r</w:t>
      </w:r>
      <w:r w:rsidR="005C2B31" w:rsidRPr="005459E6">
        <w:rPr>
          <w:rFonts w:ascii="Times New Roman" w:hAnsi="Times New Roman" w:cs="Times New Roman"/>
        </w:rPr>
        <w:t>ese</w:t>
      </w:r>
      <w:r w:rsidR="009165AB" w:rsidRPr="005459E6">
        <w:rPr>
          <w:rFonts w:ascii="Times New Roman" w:hAnsi="Times New Roman" w:cs="Times New Roman"/>
        </w:rPr>
        <w:t>ar</w:t>
      </w:r>
      <w:r w:rsidR="005C2B31" w:rsidRPr="005459E6">
        <w:rPr>
          <w:rFonts w:ascii="Times New Roman" w:hAnsi="Times New Roman" w:cs="Times New Roman"/>
        </w:rPr>
        <w:t xml:space="preserve">chers and </w:t>
      </w:r>
      <w:r w:rsidR="009165AB" w:rsidRPr="005459E6">
        <w:rPr>
          <w:rFonts w:ascii="Times New Roman" w:hAnsi="Times New Roman" w:cs="Times New Roman"/>
        </w:rPr>
        <w:t>policymakers</w:t>
      </w:r>
      <w:r w:rsidR="005C2B31" w:rsidRPr="005459E6">
        <w:rPr>
          <w:rFonts w:ascii="Times New Roman" w:hAnsi="Times New Roman" w:cs="Times New Roman"/>
        </w:rPr>
        <w:t xml:space="preserve"> have encouraged rese</w:t>
      </w:r>
      <w:r w:rsidR="009165AB" w:rsidRPr="005459E6">
        <w:rPr>
          <w:rFonts w:ascii="Times New Roman" w:hAnsi="Times New Roman" w:cs="Times New Roman"/>
        </w:rPr>
        <w:t>ar</w:t>
      </w:r>
      <w:r w:rsidR="005C2B31" w:rsidRPr="005459E6">
        <w:rPr>
          <w:rFonts w:ascii="Times New Roman" w:hAnsi="Times New Roman" w:cs="Times New Roman"/>
        </w:rPr>
        <w:t xml:space="preserve">ch on </w:t>
      </w:r>
      <w:r w:rsidR="00BC03F1" w:rsidRPr="005459E6">
        <w:rPr>
          <w:rFonts w:ascii="Times New Roman" w:hAnsi="Times New Roman" w:cs="Times New Roman"/>
        </w:rPr>
        <w:t xml:space="preserve">psychosomatic </w:t>
      </w:r>
      <w:r w:rsidR="005C2B31" w:rsidRPr="005459E6">
        <w:rPr>
          <w:rFonts w:ascii="Times New Roman" w:hAnsi="Times New Roman" w:cs="Times New Roman"/>
        </w:rPr>
        <w:t>health</w:t>
      </w:r>
      <w:r w:rsidR="009165AB" w:rsidRPr="005459E6">
        <w:rPr>
          <w:rFonts w:ascii="Times New Roman" w:hAnsi="Times New Roman" w:cs="Times New Roman"/>
        </w:rPr>
        <w:t>,</w:t>
      </w:r>
      <w:r w:rsidR="005C2B31" w:rsidRPr="005459E6">
        <w:rPr>
          <w:rFonts w:ascii="Times New Roman" w:hAnsi="Times New Roman" w:cs="Times New Roman"/>
        </w:rPr>
        <w:t xml:space="preserve"> observing the impact of service on well-being as a global research priority </w:t>
      </w:r>
      <w:r w:rsidR="00B83417" w:rsidRPr="005459E6">
        <w:rPr>
          <w:rFonts w:ascii="Times New Roman" w:hAnsi="Times New Roman" w:cs="Times New Roman"/>
        </w:rPr>
        <w:fldChar w:fldCharType="begin" w:fldLock="1"/>
      </w:r>
      <w:r w:rsidR="00145695" w:rsidRPr="005459E6">
        <w:rPr>
          <w:rFonts w:ascii="Times New Roman" w:hAnsi="Times New Roman" w:cs="Times New Roman"/>
        </w:rPr>
        <w:instrText>ADDIN CSL_CITATION {"citationItems":[{"id":"ITEM-1","itemData":{"DOI":"10.1177/1094670507306682","ISSN":"1094-6705","abstract":"Health care is an enormously expensive, highly complex, universally used service that significantly affects economies and the quality of daily living. Service management, operations, and marketing scholars have much to offer to a critically important, intellectually challenging, but deeply troubled health care service sector. In this article, the authors use the opportunity they had to study at one of the world's most admired medical institutions? Mayo Clinic?as the basis for discussing the similarities and dissimilarities between health care and other services. The article takes the reader ?inside? health care. The authors challenge service scholars to consider health care for their research activities and propose areas for future research.","author":[{"dropping-particle":"","family":"Berry","given":"Leonard L","non-dropping-particle":"","parse-names":false,"suffix":""},{"dropping-particle":"","family":"Bendapudi","given":"Neeli","non-dropping-particle":"","parse-names":false,"suffix":""}],"container-title":"Journal of Service Research","id":"ITEM-1","issue":"2","issued":{"date-parts":[["2007","11","1"]]},"note":"doi: 10.1177/1094670507306682","page":"111-122","publisher":"SAGE Publications Inc","title":"Health Care: A Fertile Field for Service Research","type":"article-journal","volume":"10"},"uris":["http://www.mendeley.com/documents/?uuid=87d7e479-869b-401f-9562-74e134385eda"]},{"id":"ITEM-2","itemData":{"DOI":"10.1177/10946705211021915","ISSN":"15527379","abstract":"Transformative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Research","id":"ITEM-2","issue":"3","issued":{"date-parts":[["2021"]]},"page":"329-353","title":"Service Research Priorities: Managing and Delivering Service in Turbulent Times","type":"article-journal","volume":"24"},"uris":["http://www.mendeley.com/documents/?uuid=69747d6e-268d-4378-b9bf-d191cb6a8d99"]}],"mendeley":{"formattedCitation":"(Berry &amp; Bendapudi, 2007; Ostrom et al., 2021)","plainTextFormattedCitation":"(Berry &amp; Bendapudi, 2007; Ostrom et al., 2021)","previouslyFormattedCitation":"(Berry &amp; Bendapudi, 2007; Ostrom et al., 2021)"},"properties":{"noteIndex":0},"schema":"https://github.com/citation-style-language/schema/raw/master/csl-citation.json"}</w:instrText>
      </w:r>
      <w:r w:rsidR="00B83417" w:rsidRPr="005459E6">
        <w:rPr>
          <w:rFonts w:ascii="Times New Roman" w:hAnsi="Times New Roman" w:cs="Times New Roman"/>
        </w:rPr>
        <w:fldChar w:fldCharType="separate"/>
      </w:r>
      <w:r w:rsidR="00B83417" w:rsidRPr="005459E6">
        <w:rPr>
          <w:rFonts w:ascii="Times New Roman" w:hAnsi="Times New Roman" w:cs="Times New Roman"/>
          <w:noProof/>
        </w:rPr>
        <w:t>(Berry &amp; Bendapudi, 2007; Ostrom et al., 2021)</w:t>
      </w:r>
      <w:r w:rsidR="00B83417" w:rsidRPr="005459E6">
        <w:rPr>
          <w:rFonts w:ascii="Times New Roman" w:hAnsi="Times New Roman" w:cs="Times New Roman"/>
        </w:rPr>
        <w:fldChar w:fldCharType="end"/>
      </w:r>
      <w:r w:rsidR="00B83417" w:rsidRPr="005459E6">
        <w:rPr>
          <w:rFonts w:ascii="Times New Roman" w:hAnsi="Times New Roman" w:cs="Times New Roman"/>
        </w:rPr>
        <w:t xml:space="preserve">. </w:t>
      </w:r>
      <w:r w:rsidRPr="005459E6">
        <w:rPr>
          <w:rFonts w:ascii="Times New Roman" w:hAnsi="Times New Roman" w:cs="Times New Roman"/>
        </w:rPr>
        <w:t xml:space="preserve">As well-being relates to the holistic state of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{"citationItems":[{"id":"ITEM-1","itemData":{"ISSN":"1758-0846","author":[{"dropping-particle":"","family":"Diener","given":"Ed","non-dropping-particle":"","parse-names":false,"suffix":""},{"dropping-particle":"","family":"Pressman","given":"Sarah D","non-dropping-particle":"","parse-names":false,"suffix":""},{"dropping-particle":"","family":"Hunter","given":"John","non-dropping-particle":"","parse-names":false,"suffix":""},{"dropping-particle":"","family":"Delgadillo‐Chase","given":"Desiree","non-dropping-particle":"","parse-names":false,"suffix":""}],"container-title":"Applied Psychology: Health and Well‐Being","id":"ITEM-1","issue":"2","issued":{"date-parts":[["2017"]]},"page":"133-167","publisher":"Wiley Online Library","title":"If, why, and when subjective well‐being influences health, and future needed research","type":"article-journal","volume":"9"},"uris":["http://www.mendeley.com/documents/?uuid=a1ad2cbb-813d-4b21-a355-f0cb5e13d920"]}],"mendeley":{"formattedCitation":"(Diener et al., 2017)","plainTextFormattedCitation":"(Diener et al., 2017)","previouslyFormattedCitation":"(Diener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et al., 2017)</w:t>
      </w:r>
      <w:r w:rsidRPr="005459E6">
        <w:rPr>
          <w:rFonts w:ascii="Times New Roman" w:hAnsi="Times New Roman" w:cs="Times New Roman"/>
        </w:rPr>
        <w:fldChar w:fldCharType="end"/>
      </w:r>
      <w:r w:rsidR="00276A73" w:rsidRPr="005459E6">
        <w:rPr>
          <w:rFonts w:ascii="Times New Roman" w:hAnsi="Times New Roman" w:cs="Times New Roman"/>
        </w:rPr>
        <w:t>,</w:t>
      </w:r>
      <w:r w:rsidRPr="005459E6">
        <w:rPr>
          <w:rFonts w:ascii="Times New Roman" w:hAnsi="Times New Roman" w:cs="Times New Roman"/>
        </w:rPr>
        <w:t xml:space="preserve"> it can </w:t>
      </w:r>
      <w:r w:rsidR="00BC03F1" w:rsidRPr="005459E6">
        <w:rPr>
          <w:rFonts w:ascii="Times New Roman" w:hAnsi="Times New Roman" w:cs="Times New Roman"/>
        </w:rPr>
        <w:t xml:space="preserve">also </w:t>
      </w:r>
      <w:r w:rsidRPr="005459E6">
        <w:rPr>
          <w:rFonts w:ascii="Times New Roman" w:hAnsi="Times New Roman" w:cs="Times New Roman"/>
        </w:rPr>
        <w:t xml:space="preserve">impact workplace productivity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Knapp","given":"Martin","non-dropping-particle":"","parse-names":false,"suffix":""},{"dropping-particle":"","family":"McDaid","given":"David","non-dropping-particle":"","parse-names":false,"suffix":""},{"dropping-particle":"","family":"Parsonage","given":"Michael","non-dropping-particle":"","parse-names":false,"suffix":""}],"id":"ITEM-1","issued":{"date-parts":[["2011"]]},"publisher":"Department of Health","title":"Mental health promotion and mental illness prevention: The economic case","type":"article-journal"},"uris":["http://www.mendeley.com/documents/?uuid=a2854ab0-934e-4768-9bb0-b5050efce4e0"]}],"mendeley":{"formattedCitation":"(Knapp et al., 2011)","plainTextFormattedCitation":"(Knapp et al., 2011)","previouslyFormattedCitation":"(Knapp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(Knapp et al., 2011)</w:t>
      </w:r>
      <w:r w:rsidRPr="005459E6">
        <w:rPr>
          <w:rFonts w:ascii="Times New Roman" w:hAnsi="Times New Roman" w:cs="Times New Roman"/>
        </w:rPr>
        <w:fldChar w:fldCharType="end"/>
      </w:r>
      <w:r w:rsidRPr="005459E6">
        <w:rPr>
          <w:rFonts w:ascii="Times New Roman" w:hAnsi="Times New Roman" w:cs="Times New Roman"/>
        </w:rPr>
        <w:t xml:space="preserve">, reflecting </w:t>
      </w:r>
      <w:r w:rsidR="00BC03F1" w:rsidRPr="005459E6">
        <w:rPr>
          <w:rFonts w:ascii="Times New Roman" w:hAnsi="Times New Roman" w:cs="Times New Roman"/>
        </w:rPr>
        <w:t>o</w:t>
      </w:r>
      <w:r w:rsidRPr="005459E6">
        <w:rPr>
          <w:rFonts w:ascii="Times New Roman" w:hAnsi="Times New Roman" w:cs="Times New Roman"/>
        </w:rPr>
        <w:t xml:space="preserve">n organizations' </w:t>
      </w:r>
      <w:r w:rsidR="00BC03F1" w:rsidRPr="005459E6">
        <w:rPr>
          <w:rFonts w:ascii="Times New Roman" w:hAnsi="Times New Roman" w:cs="Times New Roman"/>
        </w:rPr>
        <w:t xml:space="preserve">overall </w:t>
      </w:r>
      <w:r w:rsidRPr="005459E6">
        <w:rPr>
          <w:rFonts w:ascii="Times New Roman" w:hAnsi="Times New Roman" w:cs="Times New Roman"/>
        </w:rPr>
        <w:t>performance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{"citationItems":[{"id":"ITEM-1","itemData":{"abstract":"… emotions lead to heightened motivation, and hence better job outcomes and organisational … measurement of employee wellbeing in firms, alongside productivity and firm performance outcomes … of wellbeing at work, such as social relationships, making jobs more interesting …","author":[{"dropping-particle":"","family":"Krekel","given":"C","non-dropping-particle":"","parse-names":false,"suffix":""},{"dropping-particle":"","family":"Ward","given":"G","non-dropping-particle":"","parse-names":false,"suffix":""},{"dropping-particle":"De","family":"Neve","given":"J","non-dropping-particle":"","parse-names":false,"suffix":""}],"container-title":"… -and-firm-performance [Accessed 12 June …","id":"ITEM-1","issued":{"date-parts":[["2019"]]},"title":"Employee wellbeing, productivity, and firm performance: Evidence from 1.8 million employees","type":"article-journal"},"uris":["http://www.mendeley.com/documents/?uuid=822e92da-19e1-4bc3-8770-0366a06c91cb"]}],"mendeley":{"formattedCitation":"(C Krekel et al., 2019)","manualFormatting":"Krekel et al., 2019)","plainTextFormattedCitation":"(C Krekel et al., 2019)","previouslyFormattedCitation":"(C Krekel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Krekel et al.</w:t>
      </w:r>
      <w:r w:rsidR="00276A73" w:rsidRPr="005459E6">
        <w:rPr>
          <w:rFonts w:ascii="Times New Roman" w:hAnsi="Times New Roman" w:cs="Times New Roman"/>
          <w:noProof/>
        </w:rPr>
        <w:t>,</w:t>
      </w:r>
      <w:r w:rsidRPr="005459E6">
        <w:rPr>
          <w:rFonts w:ascii="Times New Roman" w:hAnsi="Times New Roman" w:cs="Times New Roman"/>
          <w:noProof/>
        </w:rPr>
        <w:t xml:space="preserve"> 2019)</w:t>
      </w:r>
      <w:r w:rsidRPr="005459E6">
        <w:rPr>
          <w:rFonts w:ascii="Times New Roman" w:hAnsi="Times New Roman" w:cs="Times New Roman"/>
        </w:rPr>
        <w:fldChar w:fldCharType="end"/>
      </w:r>
      <w:r w:rsidRPr="005459E6">
        <w:rPr>
          <w:rFonts w:ascii="Times New Roman" w:hAnsi="Times New Roman" w:cs="Times New Roman"/>
        </w:rPr>
        <w:t>.</w:t>
      </w:r>
    </w:p>
    <w:p w14:paraId="179966F7" w14:textId="2208F9CE" w:rsidR="009733EB" w:rsidRPr="005459E6" w:rsidRDefault="00030055" w:rsidP="00042CB0">
      <w:pPr>
        <w:spacing w:line="360" w:lineRule="auto"/>
        <w:jc w:val="both"/>
        <w:rPr>
          <w:rFonts w:ascii="Times New Roman" w:hAnsi="Times New Roman" w:cs="Times New Roman"/>
        </w:rPr>
      </w:pPr>
      <w:r w:rsidRPr="005459E6">
        <w:rPr>
          <w:rFonts w:ascii="Times New Roman" w:hAnsi="Times New Roman" w:cs="Times New Roman"/>
        </w:rPr>
        <w:t xml:space="preserve">Although </w:t>
      </w:r>
      <w:r w:rsidR="00E74B90" w:rsidRPr="005459E6">
        <w:rPr>
          <w:rFonts w:ascii="Times New Roman" w:hAnsi="Times New Roman" w:cs="Times New Roman"/>
        </w:rPr>
        <w:t>service research on healthcare has encompassed large-scale social and technological innovation</w:t>
      </w:r>
      <w:r w:rsidRPr="005459E6">
        <w:rPr>
          <w:rFonts w:ascii="Times New Roman" w:hAnsi="Times New Roman" w:cs="Times New Roman"/>
        </w:rPr>
        <w:t xml:space="preserve"> </w:t>
      </w:r>
      <w:r w:rsidR="009B48F7" w:rsidRPr="005459E6">
        <w:rPr>
          <w:rFonts w:ascii="Times New Roman" w:hAnsi="Times New Roman" w:cs="Times New Roman"/>
        </w:rPr>
        <w:fldChar w:fldCharType="begin" w:fldLock="1"/>
      </w:r>
      <w:r w:rsidR="006C6273" w:rsidRPr="005459E6">
        <w:rPr>
          <w:rFonts w:ascii="Times New Roman" w:hAnsi="Times New Roman" w:cs="Times New Roman"/>
        </w:rPr>
        <w:instrText>ADDIN CSL_CITATION {"citationItems":[{"id":"ITEM-1","itemData":{"author":[{"dropping-particle":"","family":"Mele","given":"Cristina","non-dropping-particle":"","parse-names":false,"suffix":""},{"dropping-particle":"","family":"Russo-Spena","given":"Tiziana","non-dropping-particle":"","parse-names":false,"suffix":""},{"dropping-particle":"","family":"Tregua","given":"Marco","non-dropping-particle":"","parse-names":false,"suffix":""},{"dropping-particle":"","family":"Marzullo","given":"Marialuisa","non-dropping-particle":"","parse-names":false,"suffix":""},{"dropping-particle":"","family":"Carotenuto","given":"Adriana","non-dropping-particle":"","parse-names":false,"suffix":""}],"id":"ITEM-1","issued":{"date-parts":[["2020"]]},"title":"SMART TECHNOLOGIES &amp; COVID-19 : The contribution of digital and cognitive technologies to the fight against COVID-19","type":"report"},"uris":["http://www.mendeley.com/documents/?uuid=97230225-c170-4c6c-b260-3fb0d2a50cbc"]}],"mendeley":{"formattedCitation":"(Mele et al., 2020)","plainTextFormattedCitation":"(Mele et al., 2020)","previouslyFormattedCitation":"(Mele et al., 2020)"},"properties":{"noteIndex":0},"schema":"https://github.com/citation-style-language/schema/raw/master/csl-citation.json"}</w:instrText>
      </w:r>
      <w:r w:rsidR="009B48F7" w:rsidRPr="005459E6">
        <w:rPr>
          <w:rFonts w:ascii="Times New Roman" w:hAnsi="Times New Roman" w:cs="Times New Roman"/>
        </w:rPr>
        <w:fldChar w:fldCharType="separate"/>
      </w:r>
      <w:r w:rsidR="009B48F7" w:rsidRPr="005459E6">
        <w:rPr>
          <w:rFonts w:ascii="Times New Roman" w:hAnsi="Times New Roman" w:cs="Times New Roman"/>
          <w:noProof/>
        </w:rPr>
        <w:t>(Mele et al., 2020)</w:t>
      </w:r>
      <w:r w:rsidR="009B48F7" w:rsidRPr="005459E6">
        <w:rPr>
          <w:rFonts w:ascii="Times New Roman" w:hAnsi="Times New Roman" w:cs="Times New Roman"/>
        </w:rPr>
        <w:fldChar w:fldCharType="end"/>
      </w:r>
      <w:r w:rsidR="009D3366" w:rsidRPr="005459E6">
        <w:rPr>
          <w:rFonts w:ascii="Times New Roman" w:hAnsi="Times New Roman" w:cs="Times New Roman"/>
        </w:rPr>
        <w:t>,</w:t>
      </w:r>
      <w:r w:rsidRPr="005459E6">
        <w:rPr>
          <w:rFonts w:ascii="Times New Roman" w:hAnsi="Times New Roman" w:cs="Times New Roman"/>
        </w:rPr>
        <w:t xml:space="preserve"> the focus needs to be div</w:t>
      </w:r>
      <w:r w:rsidR="0052799E" w:rsidRPr="005459E6">
        <w:rPr>
          <w:rFonts w:ascii="Times New Roman" w:hAnsi="Times New Roman" w:cs="Times New Roman"/>
        </w:rPr>
        <w:t>e</w:t>
      </w:r>
      <w:r w:rsidRPr="005459E6">
        <w:rPr>
          <w:rFonts w:ascii="Times New Roman" w:hAnsi="Times New Roman" w:cs="Times New Roman"/>
        </w:rPr>
        <w:t xml:space="preserve">rted </w:t>
      </w:r>
      <w:r w:rsidR="00E74B90" w:rsidRPr="005459E6">
        <w:rPr>
          <w:rFonts w:ascii="Times New Roman" w:hAnsi="Times New Roman" w:cs="Times New Roman"/>
        </w:rPr>
        <w:t>to</w:t>
      </w:r>
      <w:r w:rsidRPr="005459E6">
        <w:rPr>
          <w:rFonts w:ascii="Times New Roman" w:hAnsi="Times New Roman" w:cs="Times New Roman"/>
        </w:rPr>
        <w:t xml:space="preserve"> </w:t>
      </w:r>
      <w:r w:rsidR="009D3366" w:rsidRPr="005459E6">
        <w:rPr>
          <w:rFonts w:ascii="Times New Roman" w:hAnsi="Times New Roman" w:cs="Times New Roman"/>
        </w:rPr>
        <w:t xml:space="preserve">the </w:t>
      </w:r>
      <w:r w:rsidRPr="005459E6">
        <w:rPr>
          <w:rFonts w:ascii="Times New Roman" w:hAnsi="Times New Roman" w:cs="Times New Roman"/>
        </w:rPr>
        <w:t xml:space="preserve">patient </w:t>
      </w:r>
      <w:r w:rsidR="003053C9"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{"citationItems":[{"id":"ITEM-1","itemData":{"ISSN":"1094-6705","author":[{"dropping-particle":"","family":"McColl-Kennedy","given":"Janet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research","id":"ITEM-1","issue":"4","issued":{"date-parts":[["2012"]]},"page":"370-389","publisher":"Sage Publications Sage CA: Los Angeles, CA","title":"Health care customer value cocreation practice styles","type":"article-journal","volume":"15"},"uris":["http://www.mendeley.com/documents/?uuid=d84d6249-e68c-4180-a434-bcb5a076e628"]}],"mendeley":{"formattedCitation":"(McColl-Kennedy et al., 2012a)","manualFormatting":"(McColl-Kennedy et al., 2012)","plainTextFormattedCitation":"(McColl-Kennedy et al., 2012a)","previouslyFormattedCitation":"(McColl-Kennedy et al., 2012a)"},"properties":{"noteIndex":0},"schema":"https://github.com/citation-style-language/schema/raw/master/csl-citation.json"}</w:instrText>
      </w:r>
      <w:r w:rsidR="003053C9" w:rsidRPr="005459E6">
        <w:rPr>
          <w:rFonts w:ascii="Times New Roman" w:hAnsi="Times New Roman" w:cs="Times New Roman"/>
        </w:rPr>
        <w:fldChar w:fldCharType="separate"/>
      </w:r>
      <w:r w:rsidR="00297A76" w:rsidRPr="005459E6">
        <w:rPr>
          <w:rFonts w:ascii="Times New Roman" w:hAnsi="Times New Roman" w:cs="Times New Roman"/>
          <w:noProof/>
        </w:rPr>
        <w:t>(McColl-Kennedy et al., 2012)</w:t>
      </w:r>
      <w:r w:rsidR="003053C9" w:rsidRPr="005459E6">
        <w:rPr>
          <w:rFonts w:ascii="Times New Roman" w:hAnsi="Times New Roman" w:cs="Times New Roman"/>
        </w:rPr>
        <w:fldChar w:fldCharType="end"/>
      </w:r>
      <w:r w:rsidR="00B83417" w:rsidRPr="005459E6">
        <w:rPr>
          <w:rFonts w:ascii="Times New Roman" w:hAnsi="Times New Roman" w:cs="Times New Roman"/>
        </w:rPr>
        <w:t>.</w:t>
      </w:r>
      <w:r w:rsidR="00526420" w:rsidRPr="005459E6">
        <w:rPr>
          <w:rFonts w:ascii="Times New Roman" w:hAnsi="Times New Roman" w:cs="Times New Roman"/>
        </w:rPr>
        <w:t xml:space="preserve"> </w:t>
      </w:r>
      <w:r w:rsidR="00BC03F1" w:rsidRPr="005459E6">
        <w:rPr>
          <w:rFonts w:ascii="Times New Roman" w:hAnsi="Times New Roman" w:cs="Times New Roman"/>
        </w:rPr>
        <w:t>E</w:t>
      </w:r>
      <w:r w:rsidR="00526420" w:rsidRPr="005459E6">
        <w:rPr>
          <w:rFonts w:ascii="Times New Roman" w:hAnsi="Times New Roman" w:cs="Times New Roman"/>
        </w:rPr>
        <w:t>merging cognitive technologies (such as A.I.) look relevant</w:t>
      </w:r>
      <w:r w:rsidR="00BC03F1" w:rsidRPr="005459E6">
        <w:rPr>
          <w:rFonts w:ascii="Times New Roman" w:hAnsi="Times New Roman" w:cs="Times New Roman"/>
        </w:rPr>
        <w:t xml:space="preserve"> in healthcare</w:t>
      </w:r>
      <w:r w:rsidR="00526420" w:rsidRPr="005459E6">
        <w:rPr>
          <w:rFonts w:ascii="Times New Roman" w:hAnsi="Times New Roman" w:cs="Times New Roman"/>
        </w:rPr>
        <w:t xml:space="preserve"> </w:t>
      </w:r>
      <w:r w:rsidR="006C6273" w:rsidRPr="005459E6">
        <w:rPr>
          <w:rFonts w:ascii="Times New Roman" w:hAnsi="Times New Roman" w:cs="Times New Roman"/>
        </w:rPr>
        <w:fldChar w:fldCharType="begin" w:fldLock="1"/>
      </w:r>
      <w:r w:rsidR="00A95F16" w:rsidRPr="005459E6">
        <w:rPr>
          <w:rFonts w:ascii="Times New Roman" w:hAnsi="Times New Roman" w:cs="Times New Roman"/>
        </w:rPr>
        <w:instrText>ADDIN CSL_CITATION {"citationItems":[{"id":"ITEM-1","itemData":{"DOI":"10.1108/JOSM-07-2017-0179","ISSN":"1757-5818","abstract":"Purpose: The purpose of this paper is to investigate the potential roles for service robots (i.e. socially assistive robots) in value networks of elderly care. Taking an elderly person’s perspective, it defines robot roles according to their value co-creating/destroying potential for the elderly user (i.e. focal actor), while acknowledging consequences for a network of users around the elderly (i.e. network actors). Design/methodology/approach: This qualitative, interpretative study employs in-depth phenomenographic interviews, supported by generative cards activities (i.e. Contextual Value Network Mapping), to elicit an elderly person’s tacit knowledge and anticipate the effects of introducing an automated actor on institutionalized value co-creation practices. Findings: The proposed typology identifies six roles of socially assistive robots in an elderly person’s value network (enabler, intruder, ally, replacement, extended self, and deactivator) and links them to three health-supporting functions by robots: safeguarding, social contact, and cognitive support. Research limitations/implications: Elderly people have notable expectations about the inclusion of a socially assistive robot as a new actor in their value networks. The identified robot roles inform service scholars and managers about both the value co-destruction potential that needs to be avoided through careful designs and the value co-creation potential that should be leveraged. Originality/value: Using network-conscious phenomenographic interviews before the introduction of a novel value proposition sheds new light on the shifting value co-creation interplay among value network actors (i.e. elderly people, formal and informal caregivers). The value co-creation/destruction potential of socially assistive robots and their corresponding roles in care-based value networks offer insights for the design of meaningful robotic technology and its introduction into the existing service networks.","author":[{"dropping-particle":"","family":"Čaić","given":"Martina","non-dropping-particle":"","parse-names":false,"suffix":""},{"dropping-particle":"","family":"Odekerken-Schröder","given":"Gaby","non-dropping-particle":"","parse-names":false,"suffix":""},{"dropping-particle":"","family":"Mahr","given":"Dominik","non-dropping-particle":"","parse-names":false,"suffix":""}],"container-title":"Journal of Service Management","id":"ITEM-1","issue":"2","issued":{"date-parts":[["2018"]]},"page":"178-205","publisher":"Emerald Publishing Limited","title":"Service robots: value co-creation and co-destruction in elderly care networks","type":"article-journal","volume":"29"},"uris":["http://www.mendeley.com/documents/?uuid=ab7bb92e-8c7f-4155-856b-f012f9736ee9"]},{"id":"ITEM-2","itemData":{"DOI":"10.1016/j.jbusres.2020.10.030","ISSN":"01482963","abstract":"Digital transformation in healthcare is of increasing relevance for both scholars and practitioners in the field. Our article attempts to assess the research question how multiple stakeholders implement digital technologies for management and business purposes. To answer this question, we perform a systematic literature review about the state of the art of digital transformation in healthcare. Our findings show that prior research falls into five clusters: operational efficiency by healthcare providers; patient-centered approaches; organizational factors and managerial implications; workforce practices; and socio-economic aspects. These clusters are linked together into a model showing how these various forms of technology implementation lead to operational efficiencies for services providers. Various directions for future research and management implications are offered.","author":[{"dropping-particle":"","family":"Kraus","given":"Sascha","non-dropping-particle":"","parse-names":false,"suffix":""},{"dropping-particle":"","family":"Schiavone","given":"Francesco","non-dropping-particle":"","parse-names":false,"suffix":""},{"dropping-particle":"","family":"Pluzhnikova","given":"Anna","non-dropping-particle":"","parse-names":false,"suffix":""},{"dropping-particle":"","family":"Invernizzi","given":"Anna Chiara","non-dropping-particle":"","parse-names":false,"suffix":""}],"container-title":"Journal of Business Research","id":"ITEM-2","issued":{"date-parts":[["2021"]]},"page":"557-567","publisher":"Elsevier Inc.","title":"Digital transformation in healthcare: Analyzing the current state-of-research","type":"article-journal","volume":"123"},"uris":["http://www.mendeley.com/documents/?uuid=a53da113-bc16-40fe-b998-0a5a739a2c8d"]}],"mendeley":{"formattedCitation":"(Čaić et al., 2018; Kraus et al., 2021)","manualFormatting":"(Čaić et al., 2018; Kraus et al., 2021)","plainTextFormattedCitation":"(Čaić et al., 2018; Kraus et al., 2021)","previouslyFormattedCitation":"(Čaić et al., 2018; Kraus et al., 2021)"},"properties":{"noteIndex":0},"schema":"https://github.com/citation-style-language/schema/raw/master/csl-citation.json"}</w:instrText>
      </w:r>
      <w:r w:rsidR="006C6273" w:rsidRPr="005459E6">
        <w:rPr>
          <w:rFonts w:ascii="Times New Roman" w:hAnsi="Times New Roman" w:cs="Times New Roman"/>
        </w:rPr>
        <w:fldChar w:fldCharType="separate"/>
      </w:r>
      <w:r w:rsidR="006C6273" w:rsidRPr="005459E6">
        <w:rPr>
          <w:rFonts w:ascii="Times New Roman" w:hAnsi="Times New Roman" w:cs="Times New Roman"/>
          <w:noProof/>
        </w:rPr>
        <w:t>(Čaić et al., 2018; Kraus et al., 2021)</w:t>
      </w:r>
      <w:r w:rsidR="006C6273" w:rsidRPr="005459E6">
        <w:rPr>
          <w:rFonts w:ascii="Times New Roman" w:hAnsi="Times New Roman" w:cs="Times New Roman"/>
        </w:rPr>
        <w:fldChar w:fldCharType="end"/>
      </w:r>
      <w:r w:rsidR="00154071" w:rsidRPr="005459E6">
        <w:rPr>
          <w:rFonts w:ascii="Times New Roman" w:hAnsi="Times New Roman" w:cs="Times New Roman"/>
        </w:rPr>
        <w:t>;</w:t>
      </w:r>
      <w:r w:rsidR="001D5474" w:rsidRPr="005459E6">
        <w:rPr>
          <w:rFonts w:ascii="Times New Roman" w:hAnsi="Times New Roman" w:cs="Times New Roman"/>
        </w:rPr>
        <w:t xml:space="preserve"> however</w:t>
      </w:r>
      <w:r w:rsidR="00154071" w:rsidRPr="005459E6">
        <w:rPr>
          <w:rFonts w:ascii="Times New Roman" w:hAnsi="Times New Roman" w:cs="Times New Roman"/>
        </w:rPr>
        <w:t>,</w:t>
      </w:r>
      <w:r w:rsidR="001D5474" w:rsidRPr="005459E6">
        <w:rPr>
          <w:rFonts w:ascii="Times New Roman" w:hAnsi="Times New Roman" w:cs="Times New Roman"/>
        </w:rPr>
        <w:t xml:space="preserve"> </w:t>
      </w:r>
      <w:r w:rsidR="00526420" w:rsidRPr="005459E6">
        <w:rPr>
          <w:rFonts w:ascii="Times New Roman" w:hAnsi="Times New Roman" w:cs="Times New Roman"/>
        </w:rPr>
        <w:t xml:space="preserve">decisions making remains in the hands of </w:t>
      </w:r>
      <w:r w:rsidR="001D5474" w:rsidRPr="005459E6">
        <w:rPr>
          <w:rFonts w:ascii="Times New Roman" w:hAnsi="Times New Roman" w:cs="Times New Roman"/>
        </w:rPr>
        <w:t xml:space="preserve">health </w:t>
      </w:r>
      <w:r w:rsidR="00526420" w:rsidRPr="005459E6">
        <w:rPr>
          <w:rFonts w:ascii="Times New Roman" w:hAnsi="Times New Roman" w:cs="Times New Roman"/>
        </w:rPr>
        <w:t xml:space="preserve">professionals </w:t>
      </w:r>
      <w:r w:rsidR="006D1382" w:rsidRPr="005459E6">
        <w:rPr>
          <w:rFonts w:ascii="Times New Roman" w:hAnsi="Times New Roman" w:cs="Times New Roman"/>
        </w:rPr>
        <w:fldChar w:fldCharType="begin" w:fldLock="1"/>
      </w:r>
      <w:r w:rsidR="00EE520E" w:rsidRPr="005459E6">
        <w:rPr>
          <w:rFonts w:ascii="Times New Roman" w:hAnsi="Times New Roman" w:cs="Times New Roman"/>
        </w:rPr>
        <w:instrText>ADDIN CSL_CITATION {"citationItems":[{"id":"ITEM-1","itemData":{"ISSN":"1094-6705","author":[{"dropping-particle":"","family":"McColl-Kennedy","given":"Janet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research","id":"ITEM-1","issue":"4","issued":{"date-parts":[["2012"]]},"page":"370-389","publisher":"Sage Publications Sage CA: Los Angeles, CA","title":"Health care customer value cocreation practice styles","type":"article-journal","volume":"15"},"uris":["http://www.mendeley.com/documents/?uuid=d84d6249-e68c-4180-a434-bcb5a076e628"]}],"mendeley":{"formattedCitation":"(McColl-Kennedy et al., 2012a)","manualFormatting":"(McColl-Kennedy et al., 2012)","plainTextFormattedCitation":"(McColl-Kennedy et al., 2012a)","previouslyFormattedCitation":"(McColl-Kennedy et al., 2012a)"},"properties":{"noteIndex":0},"schema":"https://github.com/citation-style-language/schema/raw/master/csl-citation.json"}</w:instrText>
      </w:r>
      <w:r w:rsidR="006D1382" w:rsidRPr="005459E6">
        <w:rPr>
          <w:rFonts w:ascii="Times New Roman" w:hAnsi="Times New Roman" w:cs="Times New Roman"/>
        </w:rPr>
        <w:fldChar w:fldCharType="separate"/>
      </w:r>
      <w:r w:rsidR="00297A76" w:rsidRPr="005459E6">
        <w:rPr>
          <w:rFonts w:ascii="Times New Roman" w:hAnsi="Times New Roman" w:cs="Times New Roman"/>
          <w:noProof/>
        </w:rPr>
        <w:t>(McColl-Kennedy et al., 2012)</w:t>
      </w:r>
      <w:r w:rsidR="006D1382" w:rsidRPr="005459E6">
        <w:rPr>
          <w:rFonts w:ascii="Times New Roman" w:hAnsi="Times New Roman" w:cs="Times New Roman"/>
        </w:rPr>
        <w:fldChar w:fldCharType="end"/>
      </w:r>
      <w:r w:rsidR="009D3366" w:rsidRPr="005459E6">
        <w:rPr>
          <w:rFonts w:ascii="Times New Roman" w:hAnsi="Times New Roman" w:cs="Times New Roman"/>
        </w:rPr>
        <w:t>,</w:t>
      </w:r>
      <w:r w:rsidR="0052799E" w:rsidRPr="005459E6">
        <w:rPr>
          <w:rFonts w:ascii="Times New Roman" w:hAnsi="Times New Roman" w:cs="Times New Roman"/>
        </w:rPr>
        <w:t xml:space="preserve"> </w:t>
      </w:r>
      <w:r w:rsidR="00526420" w:rsidRPr="005459E6">
        <w:rPr>
          <w:rFonts w:ascii="Times New Roman" w:hAnsi="Times New Roman" w:cs="Times New Roman"/>
        </w:rPr>
        <w:t xml:space="preserve">leaving minimal control </w:t>
      </w:r>
      <w:r w:rsidR="00BC03F1" w:rsidRPr="005459E6">
        <w:rPr>
          <w:rFonts w:ascii="Times New Roman" w:hAnsi="Times New Roman" w:cs="Times New Roman"/>
        </w:rPr>
        <w:t>to the</w:t>
      </w:r>
      <w:r w:rsidR="00526420" w:rsidRPr="005459E6">
        <w:rPr>
          <w:rFonts w:ascii="Times New Roman" w:hAnsi="Times New Roman" w:cs="Times New Roman"/>
        </w:rPr>
        <w:t xml:space="preserve"> patients </w:t>
      </w:r>
      <w:r w:rsidR="0052799E" w:rsidRPr="005459E6">
        <w:rPr>
          <w:rFonts w:ascii="Times New Roman" w:hAnsi="Times New Roman" w:cs="Times New Roman"/>
        </w:rPr>
        <w:fldChar w:fldCharType="begin" w:fldLock="1"/>
      </w:r>
      <w:r w:rsidR="0052799E" w:rsidRPr="005459E6">
        <w:rPr>
          <w:rFonts w:ascii="Times New Roman" w:hAnsi="Times New Roman" w:cs="Times New Roman"/>
        </w:rPr>
        <w:instrText>ADDIN CSL_CITATION {"citationItems":[{"id":"ITEM-1","itemData":{"DOI":"10.1007/s13162-019-00135-x","ISSN":"1869-814X","abstract":"Healthcare is a service setting where meeting the needs of customers (patients and their families) is uniquely challenging. But the necessity, complexity, cost, and high-emotion nature of the service, as well as technological advances and competitive dynamics in the industry, make the imperative for service innovation in healthcare especially urgent. Forward-thinking healthcare institutions around the United States are succeeding in establishing a value-creating innovation culture and in implementing operational and strategic service innovations that benefit them and their stakeholders. They view continuous innovation as a non-negotiable goal, prize institutional self-confidence, and include patients and families on the innovation team. Cancer care, in particular, faces a pressing need for service innovation, and some progressive oncology centers are demonstrating what is possible to improve the patient and family service experience. The imperatives, now, are for service innovation to become part of the fabric of how all healthcare institutions, not just the groundbreakers discussed in this article, operate---and for academics in the field of marketing to play a crucial role in that effort.","author":[{"dropping-particle":"","family":"Berry","given":"Leonard L.","non-dropping-particle":"","parse-names":false,"suffix":""}],"container-title":"AMS Review","id":"ITEM-1","issue":"1-2","issued":{"date-parts":[["2019"]]},"page":"78-92","publisher":"AMS Review","title":"Service innovation is urgent in healthcare","type":"article-journal","volume":"9"},"uris":["http://www.mendeley.com/documents/?uuid=464db32b-ca7b-4aa7-bd71-bc4424480f87"]}],"mendeley":{"formattedCitation":"(Berry, 2019)","plainTextFormattedCitation":"(Berry, 2019)","previouslyFormattedCitation":"(Berry, 2019)"},"properties":{"noteIndex":0},"schema":"https://github.com/citation-style-language/schema/raw/master/csl-citation.json"}</w:instrText>
      </w:r>
      <w:r w:rsidR="0052799E" w:rsidRPr="005459E6">
        <w:rPr>
          <w:rFonts w:ascii="Times New Roman" w:hAnsi="Times New Roman" w:cs="Times New Roman"/>
        </w:rPr>
        <w:fldChar w:fldCharType="separate"/>
      </w:r>
      <w:r w:rsidR="0052799E" w:rsidRPr="005459E6">
        <w:rPr>
          <w:rFonts w:ascii="Times New Roman" w:hAnsi="Times New Roman" w:cs="Times New Roman"/>
          <w:noProof/>
        </w:rPr>
        <w:t>(Berry, 2019)</w:t>
      </w:r>
      <w:r w:rsidR="0052799E" w:rsidRPr="005459E6">
        <w:rPr>
          <w:rFonts w:ascii="Times New Roman" w:hAnsi="Times New Roman" w:cs="Times New Roman"/>
        </w:rPr>
        <w:fldChar w:fldCharType="end"/>
      </w:r>
      <w:r w:rsidR="0052799E" w:rsidRPr="005459E6">
        <w:rPr>
          <w:rFonts w:ascii="Times New Roman" w:hAnsi="Times New Roman" w:cs="Times New Roman"/>
        </w:rPr>
        <w:t xml:space="preserve">. </w:t>
      </w:r>
      <w:r w:rsidR="006E25C9" w:rsidRPr="005459E6">
        <w:rPr>
          <w:rFonts w:ascii="Times New Roman" w:hAnsi="Times New Roman" w:cs="Times New Roman"/>
        </w:rPr>
        <w:t xml:space="preserve">Illuminating the impact of lifestyle on Well-being  </w:t>
      </w:r>
      <w:r w:rsidR="006E25C9" w:rsidRPr="005459E6">
        <w:rPr>
          <w:rFonts w:ascii="Times New Roman" w:hAnsi="Times New Roman" w:cs="Times New Roman"/>
        </w:rPr>
        <w:fldChar w:fldCharType="begin" w:fldLock="1"/>
      </w:r>
      <w:r w:rsidR="006E25C9" w:rsidRPr="005459E6">
        <w:rPr>
          <w:rFonts w:ascii="Times New Roman" w:hAnsi="Times New Roman" w:cs="Times New Roman"/>
        </w:rPr>
        <w:instrText>ADDIN CSL_CITATION {"citationItems":[{"id":"ITEM-1","itemData":{"DOI":"10.1186/s12889-018-5526-2","ISSN":"14712458","PMID":"29769115","abstract":"Background: A healthy lifestyle can be beneficial for one's mental health. Thus, identifying healthy lifestyle choices that promote psychological well-being and reduce mental problems is useful to prevent mental disorders. The aim of this longitudinal study was to evaluate the predictive values of a broad range of lifestyle choices for positive mental health (PMH) and mental health problems (MHP) in German and Chinese students. Method: Data were assessed at baseline and at 1-year follow-up. Samples included 2991 German (M age = 21.69, SD = 4.07) and 12,405 Chinese (M age = 20.59, SD = 1.58) university students. Lifestyle choices were body mass index, frequency of physical and mental activities, frequency of alcohol consumption, smoking, vegetarian diet, and social rhythm irregularity. PMH and MHP were measured with the Positive Mental Health Scale and a 21-item version of the Depression Anxiety and Stress Scale. The predictive values of lifestyle choices for PMH and MHP at baseline and follow-up were assessed with single-group and multi-group path analyses. Results: Better mental health (higher PMH and fewer MHP) at baseline was predicted by a lower body mass index, a higher frequency of physical and mental activities, non-smoking, a non-vegetarian diet, and a more regular social rhythm. When controlling for baseline mental health, age, and gender, physical activity was a positive predictor of PMH, smoking was a positive predictor of MHP, and a more irregular social rhythm was a positive predictor of PMH and a negative predictor of MHP at follow-up. The good fit of a multi-group model indicated that most lifestyle choices predict mental health comparably across samples. Some country-specific effects emerged: frequency of alcohol consumption, for example, predicted better mental health in German and poorer mental health in Chinese students. Conclusions: Our findings underline the importance of healthy lifestyle choices for improved psychological well-being and fewer mental health difficulties. Effects of lifestyle on mental health are comparable in German and Chinese students. Some healthy lifestyle choices (i.e., more frequent physical activity, non-smoking, regular social rhythm) are related to improvements in mental health over a 1-year period.","author":[{"dropping-particle":"","family":"Velten","given":"Julia","non-dropping-particle":"","parse-names":false,"suffix":""},{"dropping-particle":"","family":"Bieda","given":"Angela","non-dropping-particle":"","parse-names":false,"suffix":""},{"dropping-particle":"","family":"Scholten","given":"Saskia","non-dropping-particle":"","parse-names":false,"suffix":""},{"dropping-particle":"","family":"Wannemüller","given":"André","non-dropping-particle":"","parse-names":false,"suffix":""},{"dropping-particle":"","family":"Margraf","given":"Jürgen","non-dropping-particle":"","parse-names":false,"suffix":""}],"container-title":"BMC Public Health","id":"ITEM-1","issue":"1","issued":{"date-parts":[["2018"]]},"page":"1-15","publisher":"BMC Public Health","title":"Lifestyle choices and mental health: A longitudinal survey with German and Chinese students","type":"article-journal","volume":"18"},"uris":["http://www.mendeley.com/documents/?uuid=b2b97905-b552-478d-98f0-86b5f7373c85"]}],"mendeley":{"formattedCitation":"(Velten et al., 2018)","plainTextFormattedCitation":"(Velten et al., 2018)","previouslyFormattedCitation":"(Velten et al., 2018)"},"properties":{"noteIndex":0},"schema":"https://github.com/citation-style-language/schema/raw/master/csl-citation.json"}</w:instrText>
      </w:r>
      <w:r w:rsidR="006E25C9" w:rsidRPr="005459E6">
        <w:rPr>
          <w:rFonts w:ascii="Times New Roman" w:hAnsi="Times New Roman" w:cs="Times New Roman"/>
        </w:rPr>
        <w:fldChar w:fldCharType="separate"/>
      </w:r>
      <w:r w:rsidR="006E25C9" w:rsidRPr="005459E6">
        <w:rPr>
          <w:rFonts w:ascii="Times New Roman" w:hAnsi="Times New Roman" w:cs="Times New Roman"/>
          <w:noProof/>
        </w:rPr>
        <w:t>(Velten et al., 2018)</w:t>
      </w:r>
      <w:r w:rsidR="006E25C9" w:rsidRPr="005459E6">
        <w:rPr>
          <w:rFonts w:ascii="Times New Roman" w:hAnsi="Times New Roman" w:cs="Times New Roman"/>
        </w:rPr>
        <w:fldChar w:fldCharType="end"/>
      </w:r>
      <w:r w:rsidR="006E25C9" w:rsidRPr="005459E6">
        <w:rPr>
          <w:rFonts w:ascii="Times New Roman" w:hAnsi="Times New Roman" w:cs="Times New Roman"/>
        </w:rPr>
        <w:t xml:space="preserve"> and limitations of existing therapies </w:t>
      </w:r>
      <w:r w:rsidR="006E25C9" w:rsidRPr="005459E6">
        <w:rPr>
          <w:rFonts w:ascii="Times New Roman" w:hAnsi="Times New Roman" w:cs="Times New Roman"/>
        </w:rPr>
        <w:fldChar w:fldCharType="begin" w:fldLock="1"/>
      </w:r>
      <w:r w:rsidR="006E25C9" w:rsidRPr="005459E6">
        <w:rPr>
          <w:rFonts w:ascii="Times New Roman" w:hAnsi="Times New Roman" w:cs="Times New Roman"/>
        </w:rPr>
        <w:instrText>ADDIN CSL_CITATION {"citationItems":[{"id":"ITEM-1","itemData":{"DOI":"10.1007/s13311-017-0549-4","ISSN":"18787479","PMID":"28653278","abstract":"Evidence-based psychotherapies have been shown to be efficacious and cost-effective for a wide range of psychiatric conditions. Psychiatric disorders are prevalent worldwide and associated with high rates of disease burden, as well as elevated rates of co-occurrence with medical disorders, which has led to an increased focus on the need for evidence-based psychotherapies. This chapter focuses on the current state of evidence-based psychotherapy. The strengths and challenges of evidence-based psychotherapy are discussed, as well as misperceptions regarding the approach that may discourage and limit its use. In addition, we review various factors associated with the optimal implementation and application of evidence-based psychotherapies. Lastly, suggestions are provided on ways to advance the evidence-based psychotherapy movement to become truly integrated into practice.","author":[{"dropping-particle":"","family":"Cook","given":"Sarah C.","non-dropping-particle":"","parse-names":false,"suffix":""},{"dropping-particle":"","family":"Schwartz","given":"Ann C.","non-dropping-particle":"","parse-names":false,"suffix":""},{"dropping-particle":"","family":"Kaslow","given":"Nadine J.","non-dropping-particle":"","parse-names":false,"suffix":""}],"container-title":"Neurotherapeutics","id":"ITEM-1","issue":"3","issued":{"date-parts":[["2017"]]},"page":"537-545","publisher":"Neurotherapeutics","title":"Evidence-Based Psychotherapy: Advantages and Challenges","type":"article-journal","volume":"14"},"uris":["http://www.mendeley.com/documents/?uuid=5d9e8278-3c5a-42f9-bd30-5dc983ba763e"]}],"mendeley":{"formattedCitation":"(Cook et al., 2017)","plainTextFormattedCitation":"(Cook et al., 2017)","previouslyFormattedCitation":"(Cook et al., 2017)"},"properties":{"noteIndex":0},"schema":"https://github.com/citation-style-language/schema/raw/master/csl-citation.json"}</w:instrText>
      </w:r>
      <w:r w:rsidR="006E25C9" w:rsidRPr="005459E6">
        <w:rPr>
          <w:rFonts w:ascii="Times New Roman" w:hAnsi="Times New Roman" w:cs="Times New Roman"/>
        </w:rPr>
        <w:fldChar w:fldCharType="separate"/>
      </w:r>
      <w:r w:rsidR="006E25C9" w:rsidRPr="005459E6">
        <w:rPr>
          <w:rFonts w:ascii="Times New Roman" w:hAnsi="Times New Roman" w:cs="Times New Roman"/>
          <w:noProof/>
        </w:rPr>
        <w:t>(Cook et al., 2017)</w:t>
      </w:r>
      <w:r w:rsidR="006E25C9" w:rsidRPr="005459E6">
        <w:rPr>
          <w:rFonts w:ascii="Times New Roman" w:hAnsi="Times New Roman" w:cs="Times New Roman"/>
        </w:rPr>
        <w:fldChar w:fldCharType="end"/>
      </w:r>
      <w:r w:rsidR="006E25C9" w:rsidRPr="005459E6">
        <w:rPr>
          <w:rFonts w:ascii="Times New Roman" w:hAnsi="Times New Roman" w:cs="Times New Roman"/>
        </w:rPr>
        <w:t xml:space="preserve"> and its consequences in both personal and professional lives </w:t>
      </w:r>
      <w:r w:rsidR="006E25C9" w:rsidRPr="005459E6">
        <w:rPr>
          <w:rFonts w:ascii="Times New Roman" w:hAnsi="Times New Roman" w:cs="Times New Roman"/>
        </w:rPr>
        <w:fldChar w:fldCharType="begin" w:fldLock="1"/>
      </w:r>
      <w:r w:rsidR="006E25C9" w:rsidRPr="005459E6">
        <w:rPr>
          <w:rFonts w:ascii="Times New Roman" w:hAnsi="Times New Roman" w:cs="Times New Roman"/>
        </w:rPr>
        <w:instrText>ADDIN CSL_CITATION {"citationItems":[{"id":"ITEM-1","itemData":{"DOI":"10.3389/fpubh.2020.00103","ISSN":"22962565","abstract":"Understanding reciprocal relationships between specific arenas in life and at work is critical for designing interventions to improve workplace health and safety. Most studies about the links between dimensions of well-being in life and at work have been cross-sectional and usually narrowly focused on one of the dimensions of the work-life well-being link. The issues of causality and feedback between life and work well-being have often not been addressed. We overcome these issues by measuring six aspects of well-being for both the work arena and life in general, using longitudinal data with a clear temporal sequence of cause and effect, and by explicitly accounting for feedback with potential effects in both directions. Nine hundred and fifty-four Mexican apparel factory workers at a major global brand participated in two waves of the Worker Well-Being Survey. Data on life satisfaction and job satisfaction, happiness and positive affect, meaning and purpose, health, and social relationships in life and at work were used. Lagged regression controlling for confounders and prior outcomes was employed. Sensitivity analysis was used to assess the robustness of the results to potential unmeasured confounding. For the relationships between life satisfaction and job satisfaction and between happiness in life and happiness at work effects in both directions were found. Nevertheless, indication of a larger effect of life satisfaction on job satisfaction than the reverse was obtained. For depression and meaning in life, there was evidence for an effect of life well-being on work-related well-being, but not for the reverse. For social relationships and purpose, there was evidence for an effect of work-related well-being on life well-being, but not the reverse. Relationships based on the longitudinal data were considerably weaker than their respective cross-sectional associations. This study contributes to our understanding of the nature of the relationship between aspects of well-being in the arenas of life and work. Findings from this study may facilitate the development of novel workplace programs promoting working conditions that enable lifelong flourishing in life and at work.","author":[{"dropping-particle":"","family":"Weziak-Bialowolska","given":"Dorota","non-dropping-particle":"","parse-names":false,"suffix":""},{"dropping-particle":"","family":"Bialowolski","given":"Piotr","non-dropping-particle":"","parse-names":false,"suffix":""},{"dropping-particle":"","family":"Sacco","given":"Pier Luigi","non-dropping-particle":"","parse-names":false,"suffix":""},{"dropping-particle":"","family":"VanderWeele","given":"Tyler J.","non-dropping-particle":"","parse-names":false,"suffix":""},{"dropping-particle":"","family":"McNeely","given":"Eileen","non-dropping-particle":"","parse-names":false,"suffix":""}],"container-title":"Frontiers in Public Health","id":"ITEM-1","issue":"April","issued":{"date-parts":[["2020"]]},"page":"1-12","title":"Well-Being in Life and Well-Being at Work: Which Comes First? Evidence From a Longitudinal Study","type":"article-journal","volume":"8"},"uris":["http://www.mendeley.com/documents/?uuid=ce7e8b10-09c4-4da3-b590-e0584a499d4c"]}],"mendeley":{"formattedCitation":"(Weziak-Bialowolska et al., 2020)","plainTextFormattedCitation":"(Weziak-Bialowolska et al., 2020)","previouslyFormattedCitation":"(Weziak-Bialowolska et al., 2020)"},"properties":{"noteIndex":0},"schema":"https://github.com/citation-style-language/schema/raw/master/csl-citation.json"}</w:instrText>
      </w:r>
      <w:r w:rsidR="006E25C9" w:rsidRPr="005459E6">
        <w:rPr>
          <w:rFonts w:ascii="Times New Roman" w:hAnsi="Times New Roman" w:cs="Times New Roman"/>
        </w:rPr>
        <w:fldChar w:fldCharType="separate"/>
      </w:r>
      <w:r w:rsidR="006E25C9" w:rsidRPr="005459E6">
        <w:rPr>
          <w:rFonts w:ascii="Times New Roman" w:hAnsi="Times New Roman" w:cs="Times New Roman"/>
          <w:noProof/>
        </w:rPr>
        <w:t>(Weziak-Bialowolska et al., 2020)</w:t>
      </w:r>
      <w:r w:rsidR="006E25C9" w:rsidRPr="005459E6">
        <w:rPr>
          <w:rFonts w:ascii="Times New Roman" w:hAnsi="Times New Roman" w:cs="Times New Roman"/>
        </w:rPr>
        <w:fldChar w:fldCharType="end"/>
      </w:r>
      <w:r w:rsidR="006E25C9" w:rsidRPr="005459E6">
        <w:rPr>
          <w:rFonts w:ascii="Times New Roman" w:hAnsi="Times New Roman" w:cs="Times New Roman"/>
        </w:rPr>
        <w:t xml:space="preserve">, research moves along with the direction provided by Service Research Priorities </w:t>
      </w:r>
      <w:r w:rsidR="006E25C9" w:rsidRPr="005459E6">
        <w:rPr>
          <w:rFonts w:ascii="Times New Roman" w:hAnsi="Times New Roman" w:cs="Times New Roman"/>
        </w:rPr>
        <w:fldChar w:fldCharType="begin" w:fldLock="1"/>
      </w:r>
      <w:r w:rsidR="00E45A23"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Times","type":"article-journal","volume":"24"},"uris":["http://www.mendeley.com/documents/?uuid=69747d6e-268d-4378-b9bf-d191cb6a8d99"]},{"id":"ITEM-2","itemData":{"DOI":"10.1177/10946705211031302","ISSN":"1094-6705","abstract":"This article utilizes input from service scholars, practitioners, reviews of published literature, and influential policy documents to identify service research priorities that push the boundaries of extant research. In a companion piece, we focused on four service research priorities related to managing and delivering service in turbulent times. Further, we identified a set of stakeholder-wants from the literature and included research questions that tie key stakeholder-wants to each of the three priorities in this article and the four priorities in the companion article. Here, we highlight the critical importance of scholarship and practice related to the design of sustainable service ecosystems and discuss three key service research priorities: large-scale and complex service ecosystems for transformative impact (SRP5), platform ecosystems and marketplaces (SRP6), and services for disadvantaged consumers and communities (SRP7). We call for an engaged service scholarship that considers the interrelationships among consumers, organizations, employees, platforms, and societal institutions and pursues transformative goals.","author":[{"dropping-particle":"","family":"Field","given":"Joy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Ostrom","given":"Amy L.","non-dropping-particle":"","parse-names":false,"suffix":""},{"dropping-particle":"","family":"Lemon","given":"Katherine N.","non-dropping-particle":"","parse-names":false,"suffix":""},{"dropping-particle":"","family":"Huang","given":"Ming-Hui","non-dropping-particle":"","parse-names":false,"suffix":""},{"dropping-particle":"","family":"McColl-Kennedy","given":"Janet R.","non-dropping-particle":"","parse-names":false,"suffix":""}],"container-title":"Journal of Service Research","id":"ITEM-2","issue":"0","issued":{"date-parts":[["2021"]]},"page":"109467052110313","title":"Service Research Priorities: Designing Sustainable Service Ecosystems","type":"article-journal","volume":"0"},"uris":["http://www.mendeley.com/documents/?uuid=cd01a098-8ca8-4cd8-b914-3a6abf45f098"]}],"mendeley":{"formattedCitation":"(J. M. Field et al., 2021; Ostrom et al., 2021)","manualFormatting":"(Field et al., 2021; Ostrom et al., 2021)","plainTextFormattedCitation":"(J. M. Field et al., 2021; Ostrom et al., 2021)","previouslyFormattedCitation":"(J. M. Field et al., 2021; Ostrom et al., 2021)"},"properties":{"noteIndex":0},"schema":"https://github.com/citation-style-language/schema/raw/master/csl-citation.json"}</w:instrText>
      </w:r>
      <w:r w:rsidR="006E25C9" w:rsidRPr="005459E6">
        <w:rPr>
          <w:rFonts w:ascii="Times New Roman" w:hAnsi="Times New Roman" w:cs="Times New Roman"/>
        </w:rPr>
        <w:fldChar w:fldCharType="separate"/>
      </w:r>
      <w:r w:rsidR="00E34FD2" w:rsidRPr="005459E6">
        <w:rPr>
          <w:rFonts w:ascii="Times New Roman" w:hAnsi="Times New Roman" w:cs="Times New Roman"/>
          <w:noProof/>
        </w:rPr>
        <w:t>(Field et al., 2021; Ostrom et al., 2021)</w:t>
      </w:r>
      <w:r w:rsidR="006E25C9" w:rsidRPr="005459E6">
        <w:rPr>
          <w:rFonts w:ascii="Times New Roman" w:hAnsi="Times New Roman" w:cs="Times New Roman"/>
        </w:rPr>
        <w:fldChar w:fldCharType="end"/>
      </w:r>
      <w:r w:rsidR="006E25C9" w:rsidRPr="005459E6">
        <w:rPr>
          <w:rFonts w:ascii="Times New Roman" w:hAnsi="Times New Roman" w:cs="Times New Roman"/>
        </w:rPr>
        <w:t xml:space="preserve"> for the betterment of psychosomatic health extending </w:t>
      </w:r>
      <w:r w:rsidR="00BC03F1" w:rsidRPr="005459E6">
        <w:rPr>
          <w:rFonts w:ascii="Times New Roman" w:hAnsi="Times New Roman" w:cs="Times New Roman"/>
        </w:rPr>
        <w:t xml:space="preserve">it </w:t>
      </w:r>
      <w:r w:rsidR="006E25C9" w:rsidRPr="005459E6">
        <w:rPr>
          <w:rFonts w:ascii="Times New Roman" w:hAnsi="Times New Roman" w:cs="Times New Roman"/>
        </w:rPr>
        <w:t xml:space="preserve">to workplace productivity. </w:t>
      </w:r>
      <w:r w:rsidR="00E74B90" w:rsidRPr="005459E6">
        <w:rPr>
          <w:rFonts w:ascii="Times New Roman" w:hAnsi="Times New Roman" w:cs="Times New Roman"/>
        </w:rPr>
        <w:t>The r</w:t>
      </w:r>
      <w:r w:rsidR="00526420" w:rsidRPr="005459E6">
        <w:rPr>
          <w:rFonts w:ascii="Times New Roman" w:hAnsi="Times New Roman" w:cs="Times New Roman"/>
        </w:rPr>
        <w:t xml:space="preserve">esearch question </w:t>
      </w:r>
      <w:r w:rsidR="00900648" w:rsidRPr="005459E6">
        <w:rPr>
          <w:rFonts w:ascii="Times New Roman" w:hAnsi="Times New Roman" w:cs="Times New Roman"/>
        </w:rPr>
        <w:t>about</w:t>
      </w:r>
      <w:r w:rsidR="00526420" w:rsidRPr="005459E6">
        <w:rPr>
          <w:rFonts w:ascii="Times New Roman" w:hAnsi="Times New Roman" w:cs="Times New Roman"/>
        </w:rPr>
        <w:t xml:space="preserve"> this study, therefore, asks</w:t>
      </w:r>
      <w:r w:rsidR="00656B1A" w:rsidRPr="005459E6">
        <w:rPr>
          <w:rFonts w:ascii="Times New Roman" w:hAnsi="Times New Roman" w:cs="Times New Roman"/>
        </w:rPr>
        <w:t xml:space="preserve">: </w:t>
      </w:r>
      <w:r w:rsidR="00FF1C90" w:rsidRPr="005459E6">
        <w:rPr>
          <w:rFonts w:ascii="Times New Roman" w:hAnsi="Times New Roman" w:cs="Times New Roman"/>
        </w:rPr>
        <w:t>‘</w:t>
      </w:r>
      <w:r w:rsidR="00FF1C90" w:rsidRPr="005459E6">
        <w:rPr>
          <w:rFonts w:ascii="Times New Roman" w:hAnsi="Times New Roman" w:cs="Times New Roman"/>
          <w:i/>
          <w:iCs/>
        </w:rPr>
        <w:t>Can</w:t>
      </w:r>
      <w:r w:rsidR="00596E47" w:rsidRPr="005459E6">
        <w:rPr>
          <w:rFonts w:ascii="Times New Roman" w:hAnsi="Times New Roman" w:cs="Times New Roman"/>
        </w:rPr>
        <w:t xml:space="preserve"> </w:t>
      </w:r>
      <w:r w:rsidR="00E74B90" w:rsidRPr="005459E6">
        <w:rPr>
          <w:rFonts w:ascii="Times New Roman" w:hAnsi="Times New Roman" w:cs="Times New Roman"/>
        </w:rPr>
        <w:t xml:space="preserve">the </w:t>
      </w:r>
      <w:r w:rsidR="00596E47" w:rsidRPr="005459E6">
        <w:rPr>
          <w:rFonts w:ascii="Times New Roman" w:eastAsia="Times New Roman" w:hAnsi="Times New Roman" w:cs="Times New Roman"/>
          <w:i/>
          <w:iCs/>
        </w:rPr>
        <w:t xml:space="preserve">Psychological </w:t>
      </w:r>
      <w:r w:rsidR="00526420" w:rsidRPr="005459E6">
        <w:rPr>
          <w:rFonts w:ascii="Times New Roman" w:eastAsia="Times New Roman" w:hAnsi="Times New Roman" w:cs="Times New Roman"/>
          <w:i/>
          <w:iCs/>
        </w:rPr>
        <w:t>health of an individual be augmented to reflect on organizational performance?</w:t>
      </w:r>
      <w:r w:rsidR="00EF0334" w:rsidRPr="005459E6">
        <w:rPr>
          <w:rFonts w:ascii="Times New Roman" w:eastAsia="Times New Roman" w:hAnsi="Times New Roman" w:cs="Times New Roman"/>
          <w:i/>
          <w:iCs/>
        </w:rPr>
        <w:t xml:space="preserve">’ </w:t>
      </w:r>
      <w:r w:rsidR="00656B1A" w:rsidRPr="005459E6">
        <w:rPr>
          <w:rFonts w:ascii="Times New Roman" w:eastAsia="Times New Roman" w:hAnsi="Times New Roman" w:cs="Times New Roman"/>
        </w:rPr>
        <w:t xml:space="preserve"> </w:t>
      </w:r>
      <w:r w:rsidR="00EF0334" w:rsidRPr="005459E6">
        <w:rPr>
          <w:rFonts w:ascii="Times New Roman" w:hAnsi="Times New Roman" w:cs="Times New Roman"/>
        </w:rPr>
        <w:t>There</w:t>
      </w:r>
      <w:r w:rsidR="00BC03F1" w:rsidRPr="005459E6">
        <w:rPr>
          <w:rFonts w:ascii="Times New Roman" w:hAnsi="Times New Roman" w:cs="Times New Roman"/>
        </w:rPr>
        <w:t xml:space="preserve"> exists an undeniable connection between the state of mind and </w:t>
      </w:r>
      <w:r w:rsidR="007C31C3" w:rsidRPr="005459E6">
        <w:rPr>
          <w:rFonts w:ascii="Times New Roman" w:hAnsi="Times New Roman" w:cs="Times New Roman"/>
        </w:rPr>
        <w:t xml:space="preserve">the </w:t>
      </w:r>
      <w:r w:rsidR="00BC03F1" w:rsidRPr="005459E6">
        <w:rPr>
          <w:rFonts w:ascii="Times New Roman" w:hAnsi="Times New Roman" w:cs="Times New Roman"/>
        </w:rPr>
        <w:t xml:space="preserve">physical health of the human being. Psychological issues such as depression may adversely affect physical health and go out of hand unless appropriate intervention is made. </w:t>
      </w:r>
      <w:r w:rsidR="00526420" w:rsidRPr="005459E6">
        <w:rPr>
          <w:rFonts w:ascii="Times New Roman" w:hAnsi="Times New Roman" w:cs="Times New Roman"/>
        </w:rPr>
        <w:t xml:space="preserve">According to </w:t>
      </w:r>
      <w:r w:rsidR="00526420" w:rsidRPr="005459E6">
        <w:rPr>
          <w:rFonts w:ascii="Times New Roman" w:hAnsi="Times New Roman" w:cs="Times New Roman"/>
        </w:rPr>
        <w:fldChar w:fldCharType="begin" w:fldLock="1"/>
      </w:r>
      <w:r w:rsidR="00526420" w:rsidRPr="005459E6">
        <w:rPr>
          <w:rFonts w:ascii="Times New Roman" w:hAnsi="Times New Roman" w:cs="Times New Roman"/>
        </w:rPr>
        <w:instrText>ADDIN CSL_CITATION {"citationItems":[{"id":"ITEM-1","itemData":{"DOI":"10.1109/IEMBS.2005.1616161","ISBN":"1558-4615 VO  -","abstract":"The paper presents a new textile-based wearable system for the unobtrusive recording of cardiorespiratory and motion signals during spontaneous behavior along with the first results concerning the application of this device in daily life and in a clinical environment. The system, called MagIC (Maglietta Interattiva Computerizzata), is composed of a vest, including textile sensors for detecting ECG and respiratory activity, and a portable electronic board for motion detection, signal preprocessing and wireless data transmission to a remote monitoring station. The MagIC system has been tested in freely moving subjects at work, at home, while driving and cycling and in microgravity condition during a parabolic flight. Applicability of the system in cardiac in-patients is now under evaluation. Preliminary data derived from recordings performed on patients in bed and during physical exercise showed 1) good signal quality over most of the monitoring periods, 2) a correct identification of arrhythmic events, and 3) a correct estimation of the average beat-by-beat heart rate. These positive results supports further developments of the MagIC system, aimed at tuning this approach for a routine use in clinical practice and in daily life","author":[{"dropping-particle":"Di","family":"Rienzo","given":"M","non-dropping-particle":"","parse-names":false,"suffix":""},{"dropping-particle":"","family":"Rizzo","given":"F","non-dropping-particle":"","parse-names":false,"suffix":""},{"dropping-particle":"","family":"Parati","given":"G","non-dropping-particle":"","parse-names":false,"suffix":""},{"dropping-particle":"","family":"Brambilla","given":"G","non-dropping-particle":"","parse-names":false,"suffix":""},{"dropping-particle":"","family":"Ferratini","given":"M","non-dropping-particle":"","parse-names":false,"suffix":""},{"dropping-particle":"","family":"Castiglioni","given":"P","non-dropping-particle":"","parse-names":false,"suffix":""}],"container-title":"2005 IEEE Engineering in Medicine and Biology 27th Annual Conference","id":"ITEM-1","issued":{"date-parts":[["2005"]]},"page":"7167-7169","title":"MagIC System: a New Textile-Based Wearable Device for Biological Signal Monitoring. Applicability in Daily Life and Clinical Setting","type":"paper-conference"},"uris":["http://www.mendeley.com/documents/?uuid=77762da2-a2f8-4a3d-b59c-7f32da8ce7dd"]}],"mendeley":{"formattedCitation":"(Rienzo et al., 2005)","manualFormatting":"Rienzo et al. (2005)","plainTextFormattedCitation":"(Rienzo et al., 2005)","previouslyFormattedCitation":"(Rienzo et al., 2005)"},"properties":{"noteIndex":0},"schema":"https://github.com/citation-style-language/schema/raw/master/csl-citation.json"}</w:instrText>
      </w:r>
      <w:r w:rsidR="00526420" w:rsidRPr="005459E6">
        <w:rPr>
          <w:rFonts w:ascii="Times New Roman" w:hAnsi="Times New Roman" w:cs="Times New Roman"/>
        </w:rPr>
        <w:fldChar w:fldCharType="separate"/>
      </w:r>
      <w:r w:rsidR="00526420" w:rsidRPr="005459E6">
        <w:rPr>
          <w:rFonts w:ascii="Times New Roman" w:hAnsi="Times New Roman" w:cs="Times New Roman"/>
          <w:noProof/>
        </w:rPr>
        <w:t>Rienzo et al. (2005)</w:t>
      </w:r>
      <w:r w:rsidR="00526420" w:rsidRPr="005459E6">
        <w:rPr>
          <w:rFonts w:ascii="Times New Roman" w:hAnsi="Times New Roman" w:cs="Times New Roman"/>
        </w:rPr>
        <w:fldChar w:fldCharType="end"/>
      </w:r>
      <w:r w:rsidR="00526420" w:rsidRPr="005459E6">
        <w:rPr>
          <w:rFonts w:ascii="Times New Roman" w:hAnsi="Times New Roman" w:cs="Times New Roman"/>
        </w:rPr>
        <w:t>, technology can enable continuous ambulatory monitoring of vital human signs</w:t>
      </w:r>
      <w:r w:rsidR="00BC03F1" w:rsidRPr="005459E6">
        <w:rPr>
          <w:rFonts w:ascii="Times New Roman" w:hAnsi="Times New Roman" w:cs="Times New Roman"/>
        </w:rPr>
        <w:t>; hence</w:t>
      </w:r>
      <w:r w:rsidR="002C799A" w:rsidRPr="005459E6">
        <w:rPr>
          <w:rFonts w:ascii="Times New Roman" w:hAnsi="Times New Roman" w:cs="Times New Roman"/>
        </w:rPr>
        <w:t xml:space="preserve"> the presented thesis is an outcome </w:t>
      </w:r>
      <w:r w:rsidR="00BC03F1" w:rsidRPr="005459E6">
        <w:rPr>
          <w:rFonts w:ascii="Times New Roman" w:hAnsi="Times New Roman" w:cs="Times New Roman"/>
        </w:rPr>
        <w:t>of</w:t>
      </w:r>
      <w:r w:rsidR="002C799A" w:rsidRPr="005459E6">
        <w:rPr>
          <w:rFonts w:ascii="Times New Roman" w:hAnsi="Times New Roman" w:cs="Times New Roman"/>
        </w:rPr>
        <w:t xml:space="preserve"> the intersection of healthcare and technology</w:t>
      </w:r>
      <w:r w:rsidR="001D5474" w:rsidRPr="005459E6">
        <w:rPr>
          <w:rFonts w:ascii="Times New Roman" w:hAnsi="Times New Roman" w:cs="Times New Roman"/>
        </w:rPr>
        <w:t xml:space="preserve"> represented in management domain</w:t>
      </w:r>
      <w:r w:rsidR="002C799A" w:rsidRPr="005459E6">
        <w:rPr>
          <w:rFonts w:ascii="Times New Roman" w:hAnsi="Times New Roman" w:cs="Times New Roman"/>
        </w:rPr>
        <w:t xml:space="preserve">. </w:t>
      </w:r>
      <w:r w:rsidR="009733EB" w:rsidRPr="005459E6">
        <w:rPr>
          <w:rFonts w:ascii="Times New Roman" w:hAnsi="Times New Roman" w:cs="Times New Roman"/>
        </w:rPr>
        <w:t xml:space="preserve">Research also provides </w:t>
      </w:r>
      <w:r w:rsidR="004970FE" w:rsidRPr="005459E6">
        <w:rPr>
          <w:rFonts w:ascii="Times New Roman" w:hAnsi="Times New Roman" w:cs="Times New Roman"/>
        </w:rPr>
        <w:t xml:space="preserve">the </w:t>
      </w:r>
      <w:r w:rsidR="009733EB" w:rsidRPr="005459E6">
        <w:rPr>
          <w:rFonts w:ascii="Times New Roman" w:hAnsi="Times New Roman" w:cs="Times New Roman"/>
        </w:rPr>
        <w:t xml:space="preserve">extensive academic underpinning of the relationships </w:t>
      </w:r>
      <w:r w:rsidR="00E74B90" w:rsidRPr="005459E6">
        <w:rPr>
          <w:rFonts w:ascii="Times New Roman" w:hAnsi="Times New Roman" w:cs="Times New Roman"/>
        </w:rPr>
        <w:t>between</w:t>
      </w:r>
      <w:r w:rsidR="009733EB" w:rsidRPr="005459E6">
        <w:rPr>
          <w:rFonts w:ascii="Times New Roman" w:hAnsi="Times New Roman" w:cs="Times New Roman"/>
        </w:rPr>
        <w:t xml:space="preserve"> individual</w:t>
      </w:r>
      <w:r w:rsidR="001D5474" w:rsidRPr="005459E6">
        <w:rPr>
          <w:rFonts w:ascii="Times New Roman" w:hAnsi="Times New Roman" w:cs="Times New Roman"/>
        </w:rPr>
        <w:t>’s</w:t>
      </w:r>
      <w:r w:rsidR="009733EB" w:rsidRPr="005459E6">
        <w:rPr>
          <w:rFonts w:ascii="Times New Roman" w:hAnsi="Times New Roman" w:cs="Times New Roman"/>
        </w:rPr>
        <w:t xml:space="preserve"> </w:t>
      </w:r>
      <w:r w:rsidR="00107B5A" w:rsidRPr="005459E6">
        <w:rPr>
          <w:rFonts w:ascii="Times New Roman" w:hAnsi="Times New Roman" w:cs="Times New Roman"/>
        </w:rPr>
        <w:t>W</w:t>
      </w:r>
      <w:r w:rsidR="009733EB" w:rsidRPr="005459E6">
        <w:rPr>
          <w:rFonts w:ascii="Times New Roman" w:hAnsi="Times New Roman" w:cs="Times New Roman"/>
        </w:rPr>
        <w:t xml:space="preserve">ell-being, </w:t>
      </w:r>
      <w:r w:rsidR="00107B5A" w:rsidRPr="005459E6">
        <w:rPr>
          <w:rFonts w:ascii="Times New Roman" w:hAnsi="Times New Roman" w:cs="Times New Roman"/>
        </w:rPr>
        <w:t>W</w:t>
      </w:r>
      <w:r w:rsidR="009733EB" w:rsidRPr="005459E6">
        <w:rPr>
          <w:rFonts w:ascii="Times New Roman" w:hAnsi="Times New Roman" w:cs="Times New Roman"/>
        </w:rPr>
        <w:t>orkplace Productivity</w:t>
      </w:r>
      <w:r w:rsidR="004970FE" w:rsidRPr="005459E6">
        <w:rPr>
          <w:rFonts w:ascii="Times New Roman" w:hAnsi="Times New Roman" w:cs="Times New Roman"/>
        </w:rPr>
        <w:t>,</w:t>
      </w:r>
      <w:r w:rsidR="009733EB" w:rsidRPr="005459E6">
        <w:rPr>
          <w:rFonts w:ascii="Times New Roman" w:hAnsi="Times New Roman" w:cs="Times New Roman"/>
        </w:rPr>
        <w:t xml:space="preserve"> and </w:t>
      </w:r>
      <w:r w:rsidR="008C449D" w:rsidRPr="005459E6">
        <w:rPr>
          <w:rFonts w:ascii="Times New Roman" w:hAnsi="Times New Roman" w:cs="Times New Roman"/>
        </w:rPr>
        <w:t>O</w:t>
      </w:r>
      <w:r w:rsidR="009733EB" w:rsidRPr="005459E6">
        <w:rPr>
          <w:rFonts w:ascii="Times New Roman" w:hAnsi="Times New Roman" w:cs="Times New Roman"/>
        </w:rPr>
        <w:t xml:space="preserve">rganizational </w:t>
      </w:r>
      <w:r w:rsidR="008C449D" w:rsidRPr="005459E6">
        <w:rPr>
          <w:rFonts w:ascii="Times New Roman" w:hAnsi="Times New Roman" w:cs="Times New Roman"/>
        </w:rPr>
        <w:t>P</w:t>
      </w:r>
      <w:r w:rsidR="009733EB" w:rsidRPr="005459E6">
        <w:rPr>
          <w:rFonts w:ascii="Times New Roman" w:hAnsi="Times New Roman" w:cs="Times New Roman"/>
        </w:rPr>
        <w:t>erformance.</w:t>
      </w:r>
    </w:p>
    <w:p w14:paraId="1B1C288E" w14:textId="4E4453FF" w:rsidR="005D5C35" w:rsidRPr="005459E6" w:rsidRDefault="00526420" w:rsidP="00042CB0">
      <w:pPr>
        <w:spacing w:line="360" w:lineRule="auto"/>
        <w:jc w:val="both"/>
        <w:rPr>
          <w:rFonts w:ascii="Times New Roman" w:hAnsi="Times New Roman" w:cs="Times New Roman"/>
        </w:rPr>
      </w:pPr>
      <w:r w:rsidRPr="005459E6">
        <w:rPr>
          <w:rFonts w:ascii="Times New Roman" w:hAnsi="Times New Roman" w:cs="Times New Roman"/>
        </w:rPr>
        <w:t xml:space="preserve">Conforming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{"citationItems":[{"id":"ITEM-1","itemData":{"ISBN":"8893913038","author":[{"dropping-particle":"","family":"Spena","given":"Tiziana Russo","non-dropping-particle":"","parse-names":false,"suffix":""},{"dropping-particle":"","family":"Mele","given":"Cristina","non-dropping-particle":"","parse-names":false,"suffix":""}],"id":"ITEM-1","issued":{"date-parts":[["2018"]]},"publisher":"Editoriale scientifica","title":"Practising innovation: A sociomaterial view","type":"book"},"uris":["http://www.mendeley.com/documents/?uuid=47bc25d9-a4c1-4361-a6e6-ad63aee09d89"]}],"mendeley":{"formattedCitation":"(Spena &amp; Mele, 2018)","manualFormatting":"Spena &amp; Mele (2018)","plainTextFormattedCitation":"(Spena &amp; Mele, 2018)","previouslyFormattedCitation":"(Spena &amp; Mele,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Spena &amp; Mele (2018)</w:t>
      </w:r>
      <w:r w:rsidRPr="005459E6">
        <w:rPr>
          <w:rFonts w:ascii="Times New Roman" w:hAnsi="Times New Roman" w:cs="Times New Roman"/>
        </w:rPr>
        <w:fldChar w:fldCharType="end"/>
      </w:r>
      <w:r w:rsidRPr="005459E6">
        <w:rPr>
          <w:rFonts w:ascii="Times New Roman" w:hAnsi="Times New Roman" w:cs="Times New Roman"/>
        </w:rPr>
        <w:t xml:space="preserve">, a network of entities made up of humans and non-human (technological) actors </w:t>
      </w:r>
      <w:r w:rsidR="00271319" w:rsidRPr="005459E6">
        <w:rPr>
          <w:rFonts w:ascii="Times New Roman" w:hAnsi="Times New Roman" w:cs="Times New Roman"/>
        </w:rPr>
        <w:t xml:space="preserve">can </w:t>
      </w:r>
      <w:r w:rsidRPr="005459E6">
        <w:rPr>
          <w:rFonts w:ascii="Times New Roman" w:hAnsi="Times New Roman" w:cs="Times New Roman"/>
        </w:rPr>
        <w:t>offer new solutions. In line with the same, research attempts to</w:t>
      </w:r>
      <w:r w:rsidR="001D5474" w:rsidRPr="005459E6">
        <w:rPr>
          <w:rFonts w:ascii="Times New Roman" w:hAnsi="Times New Roman" w:cs="Times New Roman"/>
        </w:rPr>
        <w:t xml:space="preserve"> observe</w:t>
      </w:r>
      <w:r w:rsidRPr="005459E6">
        <w:rPr>
          <w:rFonts w:ascii="Times New Roman" w:hAnsi="Times New Roman" w:cs="Times New Roman"/>
        </w:rPr>
        <w:t xml:space="preserve"> </w:t>
      </w:r>
      <w:r w:rsidR="00570581" w:rsidRPr="005459E6">
        <w:rPr>
          <w:rFonts w:ascii="Times New Roman" w:hAnsi="Times New Roman" w:cs="Times New Roman"/>
        </w:rPr>
        <w:t xml:space="preserve">the </w:t>
      </w:r>
      <w:r w:rsidRPr="005459E6">
        <w:rPr>
          <w:rFonts w:ascii="Times New Roman" w:hAnsi="Times New Roman" w:cs="Times New Roman"/>
        </w:rPr>
        <w:lastRenderedPageBreak/>
        <w:t>enhance</w:t>
      </w:r>
      <w:r w:rsidR="001D5474" w:rsidRPr="005459E6">
        <w:rPr>
          <w:rFonts w:ascii="Times New Roman" w:hAnsi="Times New Roman" w:cs="Times New Roman"/>
        </w:rPr>
        <w:t>ment of</w:t>
      </w:r>
      <w:r w:rsidRPr="005459E6">
        <w:rPr>
          <w:rFonts w:ascii="Times New Roman" w:hAnsi="Times New Roman" w:cs="Times New Roman"/>
        </w:rPr>
        <w:t xml:space="preserve"> individuals’ well-being via technological advancements. The approach includes systematic data collection of electroencephalograms (EEG) </w:t>
      </w:r>
      <w:r w:rsidR="00BD6C08" w:rsidRPr="005459E6">
        <w:rPr>
          <w:rFonts w:ascii="Times New Roman" w:hAnsi="Times New Roman" w:cs="Times New Roman"/>
        </w:rPr>
        <w:t xml:space="preserve">&amp; </w:t>
      </w:r>
      <w:r w:rsidR="001D5474" w:rsidRPr="005459E6">
        <w:rPr>
          <w:rFonts w:ascii="Times New Roman" w:hAnsi="Times New Roman" w:cs="Times New Roman"/>
        </w:rPr>
        <w:t>r</w:t>
      </w:r>
      <w:r w:rsidR="00BD6C08" w:rsidRPr="005459E6">
        <w:rPr>
          <w:rFonts w:ascii="Times New Roman" w:hAnsi="Times New Roman" w:cs="Times New Roman"/>
        </w:rPr>
        <w:t xml:space="preserve">ecognizing the complexity of neural signals </w:t>
      </w:r>
      <w:r w:rsidR="00BD6C08" w:rsidRPr="005459E6">
        <w:rPr>
          <w:rFonts w:ascii="Times New Roman" w:hAnsi="Times New Roman" w:cs="Times New Roman"/>
        </w:rPr>
        <w:fldChar w:fldCharType="begin" w:fldLock="1"/>
      </w:r>
      <w:r w:rsidR="00BD6C08" w:rsidRPr="005459E6">
        <w:rPr>
          <w:rFonts w:ascii="Times New Roman" w:hAnsi="Times New Roman" w:cs="Times New Roman"/>
        </w:rPr>
        <w:instrText>ADDIN CSL_CITATION {"citationItems":[{"id":"ITEM-1","itemData":{"DOI":"10.3389/fnins.2018.00758","ISSN":"1662-4548","abstract":"Background: EEG mu-desynchronization is an index of motor resonance (MR) and is used to study social interaction deficiencies, but finding differences in mu-desynchronization does not reveal how nonlinear brain dynamics are affected during MR. The current study explores how nonlinear brain dynamics change during MR. We hypothesized that the complexity of the mu frequency band (8-13 Hz) changes during MR, and that this change would be frequency specific. Additionally, we sought to determine whether complexity at baseline and changes in complexity during action observation would predict MR and changes in network dynamics. Methods: EEG was recorded from healthy participants (n=45) during rest and during an action observation task. Baseline brain activity was measured followed by participants observing videos of hands squeezing stress balls. We used multiscale entropy (MSE) to quantify the complexity of the mu rhythm during MR. We then performed post-hoc graph theory analysis to explore whether nonlinear dynamics during MR affect brain network topology. Results: We found significant mu-desynchronization during the action observation task and that mu entropy was significantly increased during the task compared to rest, while gamma, beta, theta, and delta bands showed decreased entropy. Moreover, resting-state entropy was significantly predictive of the degree of mu desynchronization. We also observed a decrease in the clustering coefficient in the mu band only and a significant decrease in global alpha efficiency during action observation. MSE during action observation was strongly correlated with alpha network efficiency. Conclusions: The current findings suggest that the desynchronization of the mu wave during MR results in a local increase of mu entropy in sensorimotor areas, potentially reflecting a release from alpha inhibition. This release from inhibition may be mediated by the baseline MSE in the mu band. The dynamical complexity and network analysis of EEG may provide a useful addition for future studies of MR by incorporating measures of nonlinearity.","author":[{"dropping-particle":"","family":"Hager","given":"Brandon M.","non-dropping-particle":"","parse-names":false,"suffix":""},{"dropping-particle":"","family":"Yang","given":"Albert C.","non-dropping-particle":"","parse-names":false,"suffix":""},{"dropping-particle":"","family":"Gutsell","given":"Jennifer N.","non-dropping-particle":"","parse-names":false,"suffix":""}],"container-title":"Frontiers in Neuroscience","id":"ITEM-1","issue":"October","issued":{"date-parts":[["2018"]]},"page":"1-10","title":"Measuring Brain Complexity During Neural Motor Resonance","type":"article-journal","volume":"12"},"uris":["http://www.mendeley.com/documents/?uuid=e3b56694-8494-4e35-a168-2fe779e664e8"]}],"mendeley":{"formattedCitation":"(Hager et al., 2018)","plainTextFormattedCitation":"(Hager et al., 2018)","previouslyFormattedCitation":"(Hager et al., 2018)"},"properties":{"noteIndex":0},"schema":"https://github.com/citation-style-language/schema/raw/master/csl-citation.json"}</w:instrText>
      </w:r>
      <w:r w:rsidR="00BD6C08" w:rsidRPr="005459E6">
        <w:rPr>
          <w:rFonts w:ascii="Times New Roman" w:hAnsi="Times New Roman" w:cs="Times New Roman"/>
        </w:rPr>
        <w:fldChar w:fldCharType="separate"/>
      </w:r>
      <w:r w:rsidR="00BD6C08" w:rsidRPr="005459E6">
        <w:rPr>
          <w:rFonts w:ascii="Times New Roman" w:hAnsi="Times New Roman" w:cs="Times New Roman"/>
          <w:noProof/>
        </w:rPr>
        <w:t>(Hager et al., 2018)</w:t>
      </w:r>
      <w:r w:rsidR="00BD6C08" w:rsidRPr="005459E6">
        <w:rPr>
          <w:rFonts w:ascii="Times New Roman" w:hAnsi="Times New Roman" w:cs="Times New Roman"/>
        </w:rPr>
        <w:fldChar w:fldCharType="end"/>
      </w:r>
      <w:r w:rsidR="00570581" w:rsidRPr="005459E6">
        <w:rPr>
          <w:rFonts w:ascii="Times New Roman" w:hAnsi="Times New Roman" w:cs="Times New Roman"/>
        </w:rPr>
        <w:t>;</w:t>
      </w:r>
      <w:r w:rsidR="00BD6C08" w:rsidRPr="005459E6">
        <w:rPr>
          <w:rFonts w:ascii="Times New Roman" w:hAnsi="Times New Roman" w:cs="Times New Roman"/>
        </w:rPr>
        <w:t xml:space="preserve"> </w:t>
      </w:r>
      <w:r w:rsidR="004665C4" w:rsidRPr="005459E6">
        <w:rPr>
          <w:rFonts w:ascii="Times New Roman" w:hAnsi="Times New Roman" w:cs="Times New Roman"/>
        </w:rPr>
        <w:t xml:space="preserve">it </w:t>
      </w:r>
      <w:r w:rsidR="00BD6C08" w:rsidRPr="005459E6">
        <w:rPr>
          <w:rFonts w:ascii="Times New Roman" w:hAnsi="Times New Roman" w:cs="Times New Roman"/>
        </w:rPr>
        <w:t>empiricall</w:t>
      </w:r>
      <w:r w:rsidR="004665C4" w:rsidRPr="005459E6">
        <w:rPr>
          <w:rFonts w:ascii="Times New Roman" w:hAnsi="Times New Roman" w:cs="Times New Roman"/>
        </w:rPr>
        <w:t>y</w:t>
      </w:r>
      <w:r w:rsidR="00BD6C08" w:rsidRPr="005459E6">
        <w:rPr>
          <w:rFonts w:ascii="Times New Roman" w:hAnsi="Times New Roman" w:cs="Times New Roman"/>
        </w:rPr>
        <w:t xml:space="preserve"> studies the correlations among individual</w:t>
      </w:r>
      <w:r w:rsidR="00925027" w:rsidRPr="005459E6">
        <w:rPr>
          <w:rFonts w:ascii="Times New Roman" w:hAnsi="Times New Roman" w:cs="Times New Roman"/>
        </w:rPr>
        <w:t>s</w:t>
      </w:r>
      <w:r w:rsidR="00BD6C08" w:rsidRPr="005459E6">
        <w:rPr>
          <w:rFonts w:ascii="Times New Roman" w:hAnsi="Times New Roman" w:cs="Times New Roman"/>
        </w:rPr>
        <w:t xml:space="preserve"> and their emotional states on stress levels. </w:t>
      </w:r>
      <w:r w:rsidR="004970FE" w:rsidRPr="005459E6">
        <w:rPr>
          <w:rFonts w:ascii="Times New Roman" w:hAnsi="Times New Roman" w:cs="Times New Roman"/>
        </w:rPr>
        <w:t>The r</w:t>
      </w:r>
      <w:r w:rsidRPr="005459E6">
        <w:rPr>
          <w:rFonts w:ascii="Times New Roman" w:hAnsi="Times New Roman" w:cs="Times New Roman"/>
        </w:rPr>
        <w:t xml:space="preserve">esearch presents an avenue for the betterment of </w:t>
      </w:r>
      <w:r w:rsidR="004970FE" w:rsidRPr="005459E6">
        <w:rPr>
          <w:rFonts w:ascii="Times New Roman" w:hAnsi="Times New Roman" w:cs="Times New Roman"/>
        </w:rPr>
        <w:t xml:space="preserve">the </w:t>
      </w:r>
      <w:r w:rsidRPr="005459E6">
        <w:rPr>
          <w:rFonts w:ascii="Times New Roman" w:hAnsi="Times New Roman" w:cs="Times New Roman"/>
        </w:rPr>
        <w:t>holistic state of health</w:t>
      </w:r>
      <w:r w:rsidR="00570581" w:rsidRPr="005459E6">
        <w:rPr>
          <w:rFonts w:ascii="Times New Roman" w:hAnsi="Times New Roman" w:cs="Times New Roman"/>
        </w:rPr>
        <w:t>,</w:t>
      </w:r>
      <w:r w:rsidRPr="005459E6">
        <w:rPr>
          <w:rFonts w:ascii="Times New Roman" w:hAnsi="Times New Roman" w:cs="Times New Roman"/>
        </w:rPr>
        <w:t xml:space="preserve"> where it carefully explores the actors, identifies relationship</w:t>
      </w:r>
      <w:r w:rsidR="004970FE" w:rsidRPr="005459E6">
        <w:rPr>
          <w:rFonts w:ascii="Times New Roman" w:hAnsi="Times New Roman" w:cs="Times New Roman"/>
        </w:rPr>
        <w:t>s</w:t>
      </w:r>
      <w:r w:rsidRPr="005459E6">
        <w:rPr>
          <w:rFonts w:ascii="Times New Roman" w:hAnsi="Times New Roman" w:cs="Times New Roman"/>
        </w:rPr>
        <w:t xml:space="preserve"> among various emotional states</w:t>
      </w:r>
      <w:r w:rsidR="004970FE" w:rsidRPr="005459E6">
        <w:rPr>
          <w:rFonts w:ascii="Times New Roman" w:hAnsi="Times New Roman" w:cs="Times New Roman"/>
        </w:rPr>
        <w:t>,</w:t>
      </w:r>
      <w:r w:rsidRPr="005459E6">
        <w:rPr>
          <w:rFonts w:ascii="Times New Roman" w:hAnsi="Times New Roman" w:cs="Times New Roman"/>
        </w:rPr>
        <w:t xml:space="preserve"> and us</w:t>
      </w:r>
      <w:r w:rsidR="009D3366" w:rsidRPr="005459E6">
        <w:rPr>
          <w:rFonts w:ascii="Times New Roman" w:hAnsi="Times New Roman" w:cs="Times New Roman"/>
        </w:rPr>
        <w:t>es</w:t>
      </w:r>
      <w:r w:rsidRPr="005459E6">
        <w:rPr>
          <w:rFonts w:ascii="Times New Roman" w:hAnsi="Times New Roman" w:cs="Times New Roman"/>
        </w:rPr>
        <w:t xml:space="preserve"> A</w:t>
      </w:r>
      <w:r w:rsidR="001D5474" w:rsidRPr="005459E6">
        <w:rPr>
          <w:rFonts w:ascii="Times New Roman" w:hAnsi="Times New Roman" w:cs="Times New Roman"/>
        </w:rPr>
        <w:t>I-</w:t>
      </w:r>
      <w:r w:rsidRPr="005459E6">
        <w:rPr>
          <w:rFonts w:ascii="Times New Roman" w:hAnsi="Times New Roman" w:cs="Times New Roman"/>
        </w:rPr>
        <w:t xml:space="preserve">driven modeling to predict stress. </w:t>
      </w:r>
      <w:r w:rsidR="00271319" w:rsidRPr="005459E6">
        <w:rPr>
          <w:rFonts w:ascii="Times New Roman" w:hAnsi="Times New Roman" w:cs="Times New Roman"/>
        </w:rPr>
        <w:t xml:space="preserve">To understand how different actors integrate and create knowledge, we must posit the role of AI that lets actors understand contextual situations </w:t>
      </w:r>
      <w:r w:rsidR="00271319" w:rsidRPr="005459E6">
        <w:rPr>
          <w:rFonts w:ascii="Times New Roman" w:hAnsi="Times New Roman" w:cs="Times New Roman"/>
        </w:rPr>
        <w:fldChar w:fldCharType="begin" w:fldLock="1"/>
      </w:r>
      <w:r w:rsidR="00271319" w:rsidRPr="005459E6">
        <w:rPr>
          <w:rFonts w:ascii="Times New Roman" w:hAnsi="Times New Roman" w:cs="Times New Roman"/>
        </w:rPr>
        <w:instrText>ADDIN CSL_CITATION {"citationItems":[{"id":"ITEM-1","itemData":{"ISBN":"0998133116","author":[{"dropping-particle":"","family":"Siddike","given":"M D","non-dropping-particle":"","parse-names":false,"suffix":""},{"dropping-particle":"","family":"Kalam","given":"Abul","non-dropping-particle":"","parse-names":false,"suffix":""},{"dropping-particle":"","family":"Spohrer","given":"Jim","non-dropping-particle":"","parse-names":false,"suffix":""},{"dropping-particle":"","family":"Demirkan","given":"Haluk","non-dropping-particle":"","parse-names":false,"suffix":""},{"dropping-particle":"","family":"Kohda","given":"Youji","non-dropping-particle":"","parse-names":false,"suffix":""}],"container-title":"Proceedings of the 51st Hawaii international conference on system sciences","id":"ITEM-1","issued":{"date-parts":[["2018"]]},"title":"People’s interactions with cognitive assistants for enhanced performances","type":"paper-conference"},"uris":["http://www.mendeley.com/documents/?uuid=f131aae7-9276-4086-b9c3-6c811fe41b89"]}],"mendeley":{"formattedCitation":"(Siddike et al., 2018)","plainTextFormattedCitation":"(Siddike et al., 2018)","previouslyFormattedCitation":"(Siddike et al., 2018)"},"properties":{"noteIndex":0},"schema":"https://github.com/citation-style-language/schema/raw/master/csl-citation.json"}</w:instrText>
      </w:r>
      <w:r w:rsidR="00271319" w:rsidRPr="005459E6">
        <w:rPr>
          <w:rFonts w:ascii="Times New Roman" w:hAnsi="Times New Roman" w:cs="Times New Roman"/>
        </w:rPr>
        <w:fldChar w:fldCharType="separate"/>
      </w:r>
      <w:r w:rsidR="00271319" w:rsidRPr="005459E6">
        <w:rPr>
          <w:rFonts w:ascii="Times New Roman" w:hAnsi="Times New Roman" w:cs="Times New Roman"/>
          <w:noProof/>
        </w:rPr>
        <w:t>(Siddike et al., 2018)</w:t>
      </w:r>
      <w:r w:rsidR="00271319" w:rsidRPr="005459E6">
        <w:rPr>
          <w:rFonts w:ascii="Times New Roman" w:hAnsi="Times New Roman" w:cs="Times New Roman"/>
        </w:rPr>
        <w:fldChar w:fldCharType="end"/>
      </w:r>
      <w:r w:rsidR="00271319" w:rsidRPr="005459E6">
        <w:rPr>
          <w:rFonts w:ascii="Times New Roman" w:hAnsi="Times New Roman" w:cs="Times New Roman"/>
        </w:rPr>
        <w:t xml:space="preserve"> and further </w:t>
      </w:r>
      <w:r w:rsidR="001D5474" w:rsidRPr="005459E6">
        <w:rPr>
          <w:rFonts w:ascii="Times New Roman" w:hAnsi="Times New Roman" w:cs="Times New Roman"/>
        </w:rPr>
        <w:t>co-create</w:t>
      </w:r>
      <w:r w:rsidR="00271319" w:rsidRPr="005459E6">
        <w:rPr>
          <w:rFonts w:ascii="Times New Roman" w:hAnsi="Times New Roman" w:cs="Times New Roman"/>
        </w:rPr>
        <w:t xml:space="preserve"> value </w:t>
      </w:r>
      <w:r w:rsidR="00271319" w:rsidRPr="005459E6">
        <w:rPr>
          <w:rFonts w:ascii="Times New Roman" w:hAnsi="Times New Roman" w:cs="Times New Roman"/>
        </w:rPr>
        <w:fldChar w:fldCharType="begin" w:fldLock="1"/>
      </w:r>
      <w:r w:rsidR="00271319" w:rsidRPr="005459E6">
        <w:rPr>
          <w:rFonts w:ascii="Times New Roman" w:hAnsi="Times New Roman" w:cs="Times New Roman"/>
        </w:rPr>
        <w:instrText>ADDIN CSL_CITATION {"citationItems":[{"id":"ITEM-1","itemData":{"DOI":"10.1108/JOSM-07-2017-0179","ISSN":"1757-5818","abstract":"Purpose: The purpose of this paper is to investigate the potential roles for service robots (i.e. socially assistive robots) in value networks of elderly care. Taking an elderly person’s perspective, it defines robot roles according to their value co-creating/destroying potential for the elderly user (i.e. focal actor), while acknowledging consequences for a network of users around the elderly (i.e. network actors). Design/methodology/approach: This qualitative, interpretative study employs in-depth phenomenographic interviews, supported by generative cards activities (i.e. Contextual Value Network Mapping), to elicit an elderly person’s tacit knowledge and anticipate the effects of introducing an automated actor on institutionalized value co-creation practices. Findings: The proposed typology identifies six roles of socially assistive robots in an elderly person’s value network (enabler, intruder, ally, replacement, extended self, and deactivator) and links them to three health-supporting functions by robots: safeguarding, social contact, and cognitive support. Research limitations/implications: Elderly people have notable expectations about the inclusion of a socially assistive robot as a new actor in their value networks. The identified robot roles inform service scholars and managers about both the value co-destruction potential that needs to be avoided through careful designs and the value co-creation potential that should be leveraged. Originality/value: Using network-conscious phenomenographic interviews before the introduction of a novel value proposition sheds new light on the shifting value co-creation interplay among value network actors (i.e. elderly people, formal and informal caregivers). The value co-creation/destruction potential of socially assistive robots and their corresponding roles in care-based value networks offer insights for the design of meaningful robotic technology and its introduction into the existing service networks.","author":[{"dropping-particle":"","family":"Čaić","given":"Martina","non-dropping-particle":"","parse-names":false,"suffix":""},{"dropping-particle":"","family":"Odekerken-Schröder","given":"Gaby","non-dropping-particle":"","parse-names":false,"suffix":""},{"dropping-particle":"","family":"Mahr","given":"Dominik","non-dropping-particle":"","parse-names":false,"suffix":""}],"container-title":"Journal of Service Management","id":"ITEM-1","issue":"2","issued":{"date-parts":[["2018"]]},"page":"178-205","publisher":"Emerald Publishing Limited","title":"Service robots: value co-creation and co-destruction in elderly care networks","type":"article-journal","volume":"29"},"uris":["http://www.mendeley.com/documents/?uuid=ab7bb92e-8c7f-4155-856b-f012f9736ee9"]}],"mendeley":{"formattedCitation":"(Čaić et al., 2018)","plainTextFormattedCitation":"(Čaić et al., 2018)","previouslyFormattedCitation":"(Čaić et al., 2018)"},"properties":{"noteIndex":0},"schema":"https://github.com/citation-style-language/schema/raw/master/csl-citation.json"}</w:instrText>
      </w:r>
      <w:r w:rsidR="00271319" w:rsidRPr="005459E6">
        <w:rPr>
          <w:rFonts w:ascii="Times New Roman" w:hAnsi="Times New Roman" w:cs="Times New Roman"/>
        </w:rPr>
        <w:fldChar w:fldCharType="separate"/>
      </w:r>
      <w:r w:rsidR="00271319" w:rsidRPr="005459E6">
        <w:rPr>
          <w:rFonts w:ascii="Times New Roman" w:hAnsi="Times New Roman" w:cs="Times New Roman"/>
          <w:noProof/>
        </w:rPr>
        <w:t>(Čaić et al., 2018)</w:t>
      </w:r>
      <w:r w:rsidR="00271319" w:rsidRPr="005459E6">
        <w:rPr>
          <w:rFonts w:ascii="Times New Roman" w:hAnsi="Times New Roman" w:cs="Times New Roman"/>
        </w:rPr>
        <w:fldChar w:fldCharType="end"/>
      </w:r>
      <w:r w:rsidR="004665C4" w:rsidRPr="005459E6">
        <w:rPr>
          <w:rFonts w:ascii="Times New Roman" w:hAnsi="Times New Roman" w:cs="Times New Roman"/>
        </w:rPr>
        <w:t>,</w:t>
      </w:r>
      <w:r w:rsidR="00271319" w:rsidRPr="005459E6">
        <w:rPr>
          <w:rFonts w:ascii="Times New Roman" w:hAnsi="Times New Roman" w:cs="Times New Roman"/>
        </w:rPr>
        <w:t xml:space="preserve"> helping in their decision-making process. </w:t>
      </w:r>
    </w:p>
    <w:p w14:paraId="33224AC0" w14:textId="78D68631" w:rsidR="008718BC" w:rsidRPr="005459E6" w:rsidRDefault="00526420" w:rsidP="00042CB0">
      <w:pPr>
        <w:spacing w:line="360" w:lineRule="auto"/>
        <w:jc w:val="both"/>
        <w:rPr>
          <w:rFonts w:ascii="Times New Roman" w:hAnsi="Times New Roman" w:cs="Times New Roman"/>
        </w:rPr>
      </w:pPr>
      <w:r w:rsidRPr="005459E6">
        <w:rPr>
          <w:rFonts w:ascii="Times New Roman" w:hAnsi="Times New Roman" w:cs="Times New Roman"/>
        </w:rPr>
        <w:t>Building on studies of value co-creatio</w:t>
      </w:r>
      <w:r w:rsidR="00585725" w:rsidRPr="005459E6">
        <w:rPr>
          <w:rFonts w:ascii="Times New Roman" w:hAnsi="Times New Roman" w:cs="Times New Roman"/>
        </w:rPr>
        <w:t>n</w:t>
      </w:r>
      <w:r w:rsidRPr="005459E6">
        <w:rPr>
          <w:rFonts w:ascii="Times New Roman" w:hAnsi="Times New Roman" w:cs="Times New Roman"/>
        </w:rPr>
        <w:t xml:space="preserve"> </w:t>
      </w:r>
      <w:r w:rsidR="007B1FAB"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Management","id":"ITEM-1","issued":{"date-parts":[["2016"]]},"page":"24-39","publisher":"Elsevier B.V.","title":"Co-creation practices: Their role in shaping a health care ecosystem","type":"article-journal","volume":"56"},"uris":["http://www.mendeley.com/documents/?uuid=5e430748-68c9-3f39-8609-d4025411ebcb"]},{"id":"ITEM-2","itemData":{"ISSN":"1094-6705","author":[{"dropping-particle":"","family":"McColl-Kennedy","given":"Janet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research","id":"ITEM-2","issue":"4","issued":{"date-parts":[["2012"]]},"page":"370-389","publisher":"Sage Publications Sage CA: Los Angeles, CA","title":"Health care customer value cocreation practice styles","type":"article-journal","volume":"15"},"uris":["http://www.mendeley.com/documents/?uuid=d84d6249-e68c-4180-a434-bcb5a076e628"]},{"id":"ITEM-3","itemData":{"abstract":"Drawing on three studies using data from six separate samples of 1151 health care customers, the authors investigate cocreative customer practices, modeling the effects of customer value cocreation practices on well-being. Results highlight that while positive interactions with medical staff (doctors) lead to increased well-being through engaging in coproducing treatment options, interactions with friends and family and their associated cocreated activities have an even greater positive effect on well-being. Furthermore, several other customer-directed activities have positive indirect effects. Interestingly, activities requiring change can have a negative effect on well-being, except in psychological illnesses, where the opposite is true. The authors conclude with theoretical and managerial implications, highlighting that if interactions and activities with medical professionals are supplemented with customer-directed activities, the positive effect on well-being is significantly enhanced.","author":[{"dropping-particle":"","family":"McColl-Kennedy","given":"Janet R","non-dropping-particle":"","parse-names":false,"suffix":""},{"dropping-particle":"","family":"Hogan","given":"Suellen J","non-dropping-particle":"","parse-names":false,"suffix":""},{"dropping-particle":"","family":"Witell","given":"Lars","non-dropping-particle":"","parse-names":false,"suffix":""},{"dropping-particle":"","family":"Snyder","given":"Hannah","non-dropping-particle":"","parse-names":false,"suffix":""}],"container-title":"Journal of Business Research","id":"ITEM-3","issue":"C","issued":{"date-parts":[["2017"]]},"page":"55-66","title":"Cocreative customer practices: Effects of health care customer value cocreation practices on well-being","type":"article-journal","volume":"70"},"uris":["http://www.mendeley.com/documents/?uuid=2c4b7c31-8556-45d6-a921-6541a54520fb"]}],"mendeley":{"formattedCitation":"(Frow et al., 2016a; McColl-Kennedy et al., 2012a, 2017)","manualFormatting":"(Frow et al., 2016; McColl-Kennedy et al., 2012, 2017)","plainTextFormattedCitation":"(Frow et al., 2016a; McColl-Kennedy et al., 2012a, 2017)","previouslyFormattedCitation":"(Frow et al., 2016a; McColl-Kennedy et al., 2012a, 2017)"},"properties":{"noteIndex":0},"schema":"https://github.com/citation-style-language/schema/raw/master/csl-citation.json"}</w:instrText>
      </w:r>
      <w:r w:rsidR="007B1FAB" w:rsidRPr="005459E6">
        <w:rPr>
          <w:rFonts w:ascii="Times New Roman" w:hAnsi="Times New Roman" w:cs="Times New Roman"/>
        </w:rPr>
        <w:fldChar w:fldCharType="separate"/>
      </w:r>
      <w:r w:rsidR="00297A76" w:rsidRPr="005459E6">
        <w:rPr>
          <w:rFonts w:ascii="Times New Roman" w:hAnsi="Times New Roman" w:cs="Times New Roman"/>
          <w:noProof/>
        </w:rPr>
        <w:t>(Frow et al., 2016; McColl-Kennedy et al., 2012, 2017)</w:t>
      </w:r>
      <w:r w:rsidR="007B1FAB" w:rsidRPr="005459E6">
        <w:rPr>
          <w:rFonts w:ascii="Times New Roman" w:hAnsi="Times New Roman" w:cs="Times New Roman"/>
        </w:rPr>
        <w:fldChar w:fldCharType="end"/>
      </w:r>
      <w:r w:rsidR="007B1FAB" w:rsidRPr="005459E6">
        <w:rPr>
          <w:rFonts w:ascii="Times New Roman" w:hAnsi="Times New Roman" w:cs="Times New Roman"/>
        </w:rPr>
        <w:t xml:space="preserve"> </w:t>
      </w:r>
      <w:r w:rsidRPr="005459E6">
        <w:rPr>
          <w:rFonts w:ascii="Times New Roman" w:hAnsi="Times New Roman" w:cs="Times New Roman"/>
        </w:rPr>
        <w:t>and smart technolog</w:t>
      </w:r>
      <w:r w:rsidR="00145695" w:rsidRPr="005459E6">
        <w:rPr>
          <w:rFonts w:ascii="Times New Roman" w:hAnsi="Times New Roman" w:cs="Times New Roman"/>
        </w:rPr>
        <w:t>ies</w:t>
      </w:r>
      <w:r w:rsidRPr="005459E6">
        <w:rPr>
          <w:rFonts w:ascii="Times New Roman" w:hAnsi="Times New Roman" w:cs="Times New Roman"/>
        </w:rPr>
        <w:t xml:space="preserve"> </w:t>
      </w:r>
      <w:r w:rsidR="00DB3996"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author":[{"dropping-particle":"","family":"Ženka","given":"Jan","non-dropping-particle":"","parse-names":false,"suffix":""},{"dropping-particle":"","family":"Macháček","given":"Jan","non-dropping-particle":"","parse-names":false,"suffix":""},{"dropping-particle":"","family":"Michna","given":"Pavel","non-dropping-particle":"","parse-names":false,"suffix":""},{"dropping-particle":"","family":"Kořízek","given":"Pavel","non-dropping-particle":"","parse-names":false,"suffix":""}],"container-title":"International Journal of Environmental Research and Public Health","id":"ITEM-1","issue":"3","issued":{"date-parts":[["2021"]]},"page":"974","publisher":"Multidisciplinary Digital Publishing Institute","title":"Navigational Needs and Preferences of Hospital Patients and Visitors: What Prospects for Smart Technologies?","type":"article-journal","volume":"18"},"uris":["http://www.mendeley.com/documents/?uuid=1efebefd-7002-4d70-ae1d-5983b069d09c"]},{"id":"ITEM-2","itemData":{"DOI":"10.1177/2394964318809152","ISSN":"2394-9643","author":[{"dropping-particle":"","family":"Mele","given":"Cristina","non-dropping-particle":"","parse-names":false,"suffix":""},{"dropping-particle":"","family":"Spena","given":"Tiziana Russo","non-dropping-particle":"","parse-names":false,"suffix":""},{"dropping-particle":"","family":"Peschiera","given":"Silvia","non-dropping-particle":"","parse-names":false,"suffix":""}],"container-title":"Journal of Creating Value","id":"ITEM-2","issue":"2","issued":{"date-parts":[["2018","11","1"]]},"note":"doi: 10.1177/2394964318809152","page":"182-195","publisher":"SAGE Publications India","title":"Value Creation and Cognitive Technologies: Opportunities and Challenges","type":"article-journal","volume":"4"},"uris":["http://www.mendeley.com/documents/?uuid=500bebca-bf7b-409f-89c5-c49952ac36a6"]}],"mendeley":{"formattedCitation":"(Mele et al., 2018; Ženka et al., 2021)","plainTextFormattedCitation":"(Mele et al., 2018; Ženka et al., 2021)","previouslyFormattedCitation":"(Mele et al., 2018; Ženka et al., 2021)"},"properties":{"noteIndex":0},"schema":"https://github.com/citation-style-language/schema/raw/master/csl-citation.json"}</w:instrText>
      </w:r>
      <w:r w:rsidR="00DB3996" w:rsidRPr="005459E6">
        <w:rPr>
          <w:rFonts w:ascii="Times New Roman" w:hAnsi="Times New Roman" w:cs="Times New Roman"/>
        </w:rPr>
        <w:fldChar w:fldCharType="separate"/>
      </w:r>
      <w:r w:rsidR="00DB3996" w:rsidRPr="005459E6">
        <w:rPr>
          <w:rFonts w:ascii="Times New Roman" w:hAnsi="Times New Roman" w:cs="Times New Roman"/>
          <w:noProof/>
        </w:rPr>
        <w:t>(Mele et al., 2018; Ženka et al., 2021)</w:t>
      </w:r>
      <w:r w:rsidR="00DB3996" w:rsidRPr="005459E6">
        <w:rPr>
          <w:rFonts w:ascii="Times New Roman" w:hAnsi="Times New Roman" w:cs="Times New Roman"/>
        </w:rPr>
        <w:fldChar w:fldCharType="end"/>
      </w:r>
      <w:r w:rsidR="00DB3996" w:rsidRPr="005459E6">
        <w:rPr>
          <w:rFonts w:ascii="Times New Roman" w:hAnsi="Times New Roman" w:cs="Times New Roman"/>
        </w:rPr>
        <w:t xml:space="preserve"> </w:t>
      </w:r>
      <w:r w:rsidR="00585725" w:rsidRPr="005459E6">
        <w:rPr>
          <w:rFonts w:ascii="Times New Roman" w:hAnsi="Times New Roman" w:cs="Times New Roman"/>
        </w:rPr>
        <w:t>study</w:t>
      </w:r>
      <w:r w:rsidRPr="005459E6">
        <w:rPr>
          <w:rFonts w:ascii="Times New Roman" w:hAnsi="Times New Roman" w:cs="Times New Roman"/>
        </w:rPr>
        <w:t xml:space="preserve"> consider</w:t>
      </w:r>
      <w:r w:rsidR="00585725" w:rsidRPr="005459E6">
        <w:rPr>
          <w:rFonts w:ascii="Times New Roman" w:hAnsi="Times New Roman" w:cs="Times New Roman"/>
        </w:rPr>
        <w:t>ed</w:t>
      </w:r>
      <w:r w:rsidRPr="005459E6">
        <w:rPr>
          <w:rFonts w:ascii="Times New Roman" w:hAnsi="Times New Roman" w:cs="Times New Roman"/>
        </w:rPr>
        <w:t xml:space="preserve"> how tech-enabled healthcare can incorporate </w:t>
      </w:r>
      <w:r w:rsidR="004665C4" w:rsidRPr="005459E6">
        <w:rPr>
          <w:rFonts w:ascii="Times New Roman" w:hAnsi="Times New Roman" w:cs="Times New Roman"/>
        </w:rPr>
        <w:t xml:space="preserve">an </w:t>
      </w:r>
      <w:r w:rsidRPr="005459E6">
        <w:rPr>
          <w:rFonts w:ascii="Times New Roman" w:hAnsi="Times New Roman" w:cs="Times New Roman"/>
        </w:rPr>
        <w:t xml:space="preserve">active role for </w:t>
      </w:r>
      <w:r w:rsidR="004970FE" w:rsidRPr="005459E6">
        <w:rPr>
          <w:rFonts w:ascii="Times New Roman" w:hAnsi="Times New Roman" w:cs="Times New Roman"/>
        </w:rPr>
        <w:t xml:space="preserve">the </w:t>
      </w:r>
      <w:r w:rsidRPr="005459E6">
        <w:rPr>
          <w:rFonts w:ascii="Times New Roman" w:hAnsi="Times New Roman" w:cs="Times New Roman"/>
        </w:rPr>
        <w:t>patient</w:t>
      </w:r>
      <w:r w:rsidR="00DB3996" w:rsidRPr="005459E6">
        <w:rPr>
          <w:rFonts w:ascii="Times New Roman" w:hAnsi="Times New Roman" w:cs="Times New Roman"/>
        </w:rPr>
        <w:t xml:space="preserve"> </w:t>
      </w:r>
      <w:r w:rsidR="00DB3996"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Management","id":"ITEM-1","issue":"2","issued":{"date-parts":[["2011"]]},"page":"181-187","publisher":"Elsevier Inc.","title":"It's all B2B...and beyond: Toward a systems perspective of the market","type":"article-journal","volume":"40"},"uris":["http://www.mendeley.com/documents/?uuid=a97ea4e2-4b0b-4720-83c3-c42ff3bce304"]},{"id":"ITEM-2","itemData":{"author":[{"dropping-particle":"","family":"Joiner","given":"Keith","non-dropping-particle":"","parse-names":false,"suffix":""},{"dropping-particle":"","family":"Lusch","given":"Robert","non-dropping-particle":"","parse-names":false,"suffix":""}],"container-title":"Australian Health Review","id":"ITEM-2","issued":{"date-parts":[["2015"]]},"publisher":"CSIRO","title":"Evolving to a Service-Dominant Logic for Health","type":"article-journal"},"uris":["http://www.mendeley.com/documents/?uuid=74f609b9-bc1f-4e11-be1d-f186bac6b9d4"]}],"mendeley":{"formattedCitation":"(Joiner &amp; Lusch, 2015; S. L. Vargo &amp; Lusch, 2011)","plainTextFormattedCitation":"(Joiner &amp; Lusch, 2015; S. L. Vargo &amp; Lusch, 2011)","previouslyFormattedCitation":"(Joiner &amp; Lusch, 2015; S. L. Vargo &amp; Lusch, 2011)"},"properties":{"noteIndex":0},"schema":"https://github.com/citation-style-language/schema/raw/master/csl-citation.json"}</w:instrText>
      </w:r>
      <w:r w:rsidR="00DB3996" w:rsidRPr="005459E6">
        <w:rPr>
          <w:rFonts w:ascii="Times New Roman" w:hAnsi="Times New Roman" w:cs="Times New Roman"/>
        </w:rPr>
        <w:fldChar w:fldCharType="separate"/>
      </w:r>
      <w:r w:rsidR="000B0CE8" w:rsidRPr="005459E6">
        <w:rPr>
          <w:rFonts w:ascii="Times New Roman" w:hAnsi="Times New Roman" w:cs="Times New Roman"/>
          <w:noProof/>
        </w:rPr>
        <w:t>(Joiner &amp; Lusch, 2015; S. L. Vargo &amp; Lusch, 2011)</w:t>
      </w:r>
      <w:r w:rsidR="00DB3996" w:rsidRPr="005459E6">
        <w:rPr>
          <w:rFonts w:ascii="Times New Roman" w:hAnsi="Times New Roman" w:cs="Times New Roman"/>
        </w:rPr>
        <w:fldChar w:fldCharType="end"/>
      </w:r>
      <w:r w:rsidRPr="005459E6">
        <w:rPr>
          <w:rFonts w:ascii="Times New Roman" w:hAnsi="Times New Roman" w:cs="Times New Roman"/>
        </w:rPr>
        <w:t>. In healthcare service research</w:t>
      </w:r>
      <w:r w:rsidR="004970FE" w:rsidRPr="005459E6">
        <w:rPr>
          <w:rFonts w:ascii="Times New Roman" w:hAnsi="Times New Roman" w:cs="Times New Roman"/>
        </w:rPr>
        <w:t>,</w:t>
      </w:r>
      <w:r w:rsidRPr="005459E6">
        <w:rPr>
          <w:rFonts w:ascii="Times New Roman" w:hAnsi="Times New Roman" w:cs="Times New Roman"/>
        </w:rPr>
        <w:t xml:space="preserve"> such an approach examines how patient</w:t>
      </w:r>
      <w:r w:rsidR="00585725" w:rsidRPr="005459E6">
        <w:rPr>
          <w:rFonts w:ascii="Times New Roman" w:hAnsi="Times New Roman" w:cs="Times New Roman"/>
        </w:rPr>
        <w:t>s</w:t>
      </w:r>
      <w:r w:rsidRPr="005459E6">
        <w:rPr>
          <w:rFonts w:ascii="Times New Roman" w:hAnsi="Times New Roman" w:cs="Times New Roman"/>
        </w:rPr>
        <w:t xml:space="preserve"> co-create value and improve </w:t>
      </w:r>
      <w:r w:rsidR="004970FE" w:rsidRPr="005459E6">
        <w:rPr>
          <w:rFonts w:ascii="Times New Roman" w:hAnsi="Times New Roman" w:cs="Times New Roman"/>
        </w:rPr>
        <w:t xml:space="preserve">their </w:t>
      </w:r>
      <w:r w:rsidRPr="005459E6">
        <w:rPr>
          <w:rFonts w:ascii="Times New Roman" w:hAnsi="Times New Roman" w:cs="Times New Roman"/>
        </w:rPr>
        <w:t xml:space="preserve">respective well-being </w:t>
      </w:r>
      <w:r w:rsidR="007B1FAB"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{"citationItems":[{"id":"ITEM-1","itemData":{"ISSN":"1094-6705","author":[{"dropping-particle":"","family":"McColl-Kennedy","given":"Janet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research","id":"ITEM-1","issue":"4","issued":{"date-parts":[["2012"]]},"page":"370-389","publisher":"Sage Publications Sage CA: Los Angeles, CA","title":"Health care customer value cocreation practice styles","type":"article-journal","volume":"15"},"uris":["http://www.mendeley.com/documents/?uuid=d84d6249-e68c-4180-a434-bcb5a076e628"]}],"mendeley":{"formattedCitation":"(McColl-Kennedy et al., 2012a)","manualFormatting":"(McColl-Kennedy et al., 2012)","plainTextFormattedCitation":"(McColl-Kennedy et al., 2012a)","previouslyFormattedCitation":"(McColl-Kennedy et al., 2012a)"},"properties":{"noteIndex":0},"schema":"https://github.com/citation-style-language/schema/raw/master/csl-citation.json"}</w:instrText>
      </w:r>
      <w:r w:rsidR="007B1FAB" w:rsidRPr="005459E6">
        <w:rPr>
          <w:rFonts w:ascii="Times New Roman" w:hAnsi="Times New Roman" w:cs="Times New Roman"/>
        </w:rPr>
        <w:fldChar w:fldCharType="separate"/>
      </w:r>
      <w:r w:rsidR="00297A76" w:rsidRPr="005459E6">
        <w:rPr>
          <w:rFonts w:ascii="Times New Roman" w:hAnsi="Times New Roman" w:cs="Times New Roman"/>
          <w:noProof/>
        </w:rPr>
        <w:t>(McColl-Kennedy et al., 2012)</w:t>
      </w:r>
      <w:r w:rsidR="007B1FAB" w:rsidRPr="005459E6">
        <w:rPr>
          <w:rFonts w:ascii="Times New Roman" w:hAnsi="Times New Roman" w:cs="Times New Roman"/>
        </w:rPr>
        <w:fldChar w:fldCharType="end"/>
      </w:r>
      <w:r w:rsidR="007B1FAB" w:rsidRPr="005459E6">
        <w:rPr>
          <w:rFonts w:ascii="Times New Roman" w:hAnsi="Times New Roman" w:cs="Times New Roman"/>
        </w:rPr>
        <w:t xml:space="preserve">. </w:t>
      </w:r>
      <w:r w:rsidR="00585725" w:rsidRPr="005459E6">
        <w:rPr>
          <w:rFonts w:ascii="Times New Roman" w:hAnsi="Times New Roman" w:cs="Times New Roman"/>
        </w:rPr>
        <w:t>This</w:t>
      </w:r>
      <w:r w:rsidRPr="005459E6">
        <w:rPr>
          <w:rFonts w:ascii="Times New Roman" w:hAnsi="Times New Roman" w:cs="Times New Roman"/>
        </w:rPr>
        <w:t xml:space="preserve"> </w:t>
      </w:r>
      <w:r w:rsidR="00656B1A" w:rsidRPr="005459E6">
        <w:rPr>
          <w:rFonts w:ascii="Times New Roman" w:hAnsi="Times New Roman" w:cs="Times New Roman"/>
        </w:rPr>
        <w:t xml:space="preserve">study </w:t>
      </w:r>
      <w:r w:rsidR="00585725" w:rsidRPr="005459E6">
        <w:rPr>
          <w:rFonts w:ascii="Times New Roman" w:hAnsi="Times New Roman" w:cs="Times New Roman"/>
        </w:rPr>
        <w:t xml:space="preserve">does </w:t>
      </w:r>
      <w:r w:rsidRPr="005459E6">
        <w:rPr>
          <w:rFonts w:ascii="Times New Roman" w:hAnsi="Times New Roman" w:cs="Times New Roman"/>
        </w:rPr>
        <w:t xml:space="preserve">it </w:t>
      </w:r>
      <w:r w:rsidR="00656B1A" w:rsidRPr="005459E6">
        <w:rPr>
          <w:rFonts w:ascii="Times New Roman" w:hAnsi="Times New Roman" w:cs="Times New Roman"/>
        </w:rPr>
        <w:t>through</w:t>
      </w:r>
      <w:r w:rsidRPr="005459E6">
        <w:rPr>
          <w:rFonts w:ascii="Times New Roman" w:hAnsi="Times New Roman" w:cs="Times New Roman"/>
        </w:rPr>
        <w:t xml:space="preserve"> technology</w:t>
      </w:r>
      <w:r w:rsidR="009D3366" w:rsidRPr="005459E6">
        <w:rPr>
          <w:rFonts w:ascii="Times New Roman" w:hAnsi="Times New Roman" w:cs="Times New Roman"/>
        </w:rPr>
        <w:t>-</w:t>
      </w:r>
      <w:r w:rsidRPr="005459E6">
        <w:rPr>
          <w:rFonts w:ascii="Times New Roman" w:hAnsi="Times New Roman" w:cs="Times New Roman"/>
        </w:rPr>
        <w:t xml:space="preserve">driven </w:t>
      </w:r>
      <w:r w:rsidR="00DC3084" w:rsidRPr="005459E6">
        <w:rPr>
          <w:rFonts w:ascii="Times New Roman" w:hAnsi="Times New Roman" w:cs="Times New Roman"/>
        </w:rPr>
        <w:t>s</w:t>
      </w:r>
      <w:r w:rsidRPr="005459E6">
        <w:rPr>
          <w:rFonts w:ascii="Times New Roman" w:hAnsi="Times New Roman" w:cs="Times New Roman"/>
        </w:rPr>
        <w:t>elf-tracking</w:t>
      </w:r>
      <w:r w:rsidR="00585725" w:rsidRPr="005459E6">
        <w:rPr>
          <w:rFonts w:ascii="Times New Roman" w:hAnsi="Times New Roman" w:cs="Times New Roman"/>
        </w:rPr>
        <w:t xml:space="preserve"> </w:t>
      </w:r>
      <w:r w:rsidR="008A4B9D" w:rsidRPr="005459E6">
        <w:rPr>
          <w:rFonts w:ascii="Times New Roman" w:hAnsi="Times New Roman" w:cs="Times New Roman"/>
        </w:rPr>
        <w:fldChar w:fldCharType="begin" w:fldLock="1"/>
      </w:r>
      <w:r w:rsidR="00FF1145" w:rsidRPr="005459E6">
        <w:rPr>
          <w:rFonts w:ascii="Times New Roman" w:hAnsi="Times New Roman" w:cs="Times New Roman"/>
        </w:rPr>
        <w:instrText>ADDIN CSL_CITATION {"citationItems":[{"id":"ITEM-1","itemData":{"DOI":"10.1177/1094670520904424","ISSN":"15527379","abstract":"Self-tracking technologies (STTs) in the form of smart devices and mobile applications enable consumers to monitor, analyze, and interpret personal performance data on health and physical or financial well-being. As a result of self-tracking, consumers are not only expected to check their personal performance more actively but also to implement service professionals’ advice to improve their well-being more accurately. Despite the growing popularity of STTs, empirical evidence on the extent to which STT use enhances advice compliance remains scant. A field experiment with 538 participants in a health-care setting suggests that STT use does not increase advice compliance per se. Rather, the effectiveness of STTs depends on consumers’ self-efficacy. For consumers low in self-efficacy, STT use can even undermine advice compliance. A lab experiment with 831 participants replicates and generalizes the findings to a nonmedical professional service (i.e., fitness training). As assessments of self-efficacy might be difficult in practice, service providers in health care can use consumers’ body mass index as an easy-to-measure proxy to predict STT effectiveness. Finally, the lab experiment also identifies perceived empowerment and personalization as psychological mechanisms mediating the influence of STT use on advice compliance.","author":[{"dropping-particle":"","family":"Wittkowski","given":"Kristina","non-dropping-particle":"","parse-names":false,"suffix":""},{"dropping-particle":"","family":"Klein","given":"Jan F.","non-dropping-particle":"","parse-names":false,"suffix":""},{"dropping-particle":"","family":"Falk","given":"Tomas","non-dropping-particle":"","parse-names":false,"suffix":""},{"dropping-particle":"","family":"Schepers","given":"Jeroen J.L.","non-dropping-particle":"","parse-names":false,"suffix":""},{"dropping-particle":"","family":"Aspara","given":"Jaakko","non-dropping-particle":"","parse-names":false,"suffix":""},{"dropping-particle":"","family":"Bergner","given":"Kai N.","non-dropping-particle":"","parse-names":false,"suffix":""}],"container-title":"Journal of Service Research","id":"ITEM-1","issue":"3","issued":{"date-parts":[["2020"]]},"page":"281-298","title":"What Gets Measured Gets Done: Can Self-Tracking Technologies Enhance Advice Compliance?","type":"article-journal","volume":"23"},"uris":["http://www.mendeley.com/documents/?uuid=745984c0-3ad3-4607-917a-1ed1983d9d74"]}],"mendeley":{"formattedCitation":"(Wittkowski et al., 2020)","plainTextFormattedCitation":"(Wittkowski et al., 2020)","previouslyFormattedCitation":"(Wittkowski et al., 2020)"},"properties":{"noteIndex":0},"schema":"https://github.com/citation-style-language/schema/raw/master/csl-citation.json"}</w:instrText>
      </w:r>
      <w:r w:rsidR="008A4B9D" w:rsidRPr="005459E6">
        <w:rPr>
          <w:rFonts w:ascii="Times New Roman" w:hAnsi="Times New Roman" w:cs="Times New Roman"/>
        </w:rPr>
        <w:fldChar w:fldCharType="separate"/>
      </w:r>
      <w:r w:rsidR="008A4B9D" w:rsidRPr="005459E6">
        <w:rPr>
          <w:rFonts w:ascii="Times New Roman" w:hAnsi="Times New Roman" w:cs="Times New Roman"/>
          <w:noProof/>
        </w:rPr>
        <w:t>(Wittkowski et al., 2020)</w:t>
      </w:r>
      <w:r w:rsidR="008A4B9D" w:rsidRPr="005459E6">
        <w:rPr>
          <w:rFonts w:ascii="Times New Roman" w:hAnsi="Times New Roman" w:cs="Times New Roman"/>
        </w:rPr>
        <w:fldChar w:fldCharType="end"/>
      </w:r>
      <w:r w:rsidRPr="005459E6">
        <w:rPr>
          <w:rFonts w:ascii="Times New Roman" w:hAnsi="Times New Roman" w:cs="Times New Roman"/>
        </w:rPr>
        <w:t xml:space="preserve"> and </w:t>
      </w:r>
      <w:r w:rsidR="00F42435" w:rsidRPr="005459E6">
        <w:rPr>
          <w:rFonts w:ascii="Times New Roman" w:hAnsi="Times New Roman" w:cs="Times New Roman"/>
        </w:rPr>
        <w:t>employing</w:t>
      </w:r>
      <w:r w:rsidRPr="005459E6">
        <w:rPr>
          <w:rFonts w:ascii="Times New Roman" w:hAnsi="Times New Roman" w:cs="Times New Roman"/>
        </w:rPr>
        <w:t xml:space="preserve"> the </w:t>
      </w:r>
      <w:r w:rsidR="002C799A" w:rsidRPr="005459E6">
        <w:rPr>
          <w:rFonts w:ascii="Times New Roman" w:hAnsi="Times New Roman" w:cs="Times New Roman"/>
        </w:rPr>
        <w:t>N</w:t>
      </w:r>
      <w:r w:rsidRPr="005459E6">
        <w:rPr>
          <w:rFonts w:ascii="Times New Roman" w:hAnsi="Times New Roman" w:cs="Times New Roman"/>
        </w:rPr>
        <w:t>udge theory</w:t>
      </w:r>
      <w:r w:rsidR="002C799A" w:rsidRPr="005459E6">
        <w:rPr>
          <w:rFonts w:ascii="Times New Roman" w:hAnsi="Times New Roman" w:cs="Times New Roman"/>
        </w:rPr>
        <w:t xml:space="preserve"> </w:t>
      </w:r>
      <w:r w:rsidR="005213EC" w:rsidRPr="005459E6">
        <w:rPr>
          <w:rFonts w:ascii="Times New Roman" w:hAnsi="Times New Roman" w:cs="Times New Roman"/>
        </w:rPr>
        <w:fldChar w:fldCharType="begin" w:fldLock="1"/>
      </w:r>
      <w:r w:rsidR="00CB75DB" w:rsidRPr="005459E6">
        <w:rPr>
          <w:rFonts w:ascii="Times New Roman" w:hAnsi="Times New Roman" w:cs="Times New Roman"/>
        </w:rPr>
        <w:instrText>ADDIN CSL_CITATION {"citationItems":[{"id":"ITEM-1","itemData":{"ISBN":"014311526X","author":[{"dropping-particle":"","family":"Thaler","given":"Richard H","non-dropping-particle":"","parse-names":false,"suffix":""},{"dropping-particle":"","family":"Sunstein","given":"Cass R","non-dropping-particle":"","parse-names":false,"suffix":""}],"id":"ITEM-1","issued":{"date-parts":[["2009"]]},"publisher":"Penguin","title":"Nudge: Improving decisions about health, wealth, and happiness","type":"book"},"uris":["http://www.mendeley.com/documents/?uuid=43dae2a0-0931-4f79-a5db-26607af9ef55"]}],"mendeley":{"formattedCitation":"(Thaler &amp; Sunstein, 2009)","plainTextFormattedCitation":"(Thaler &amp; Sunstein, 2009)","previouslyFormattedCitation":"(Thaler &amp; Sunstein, 2009)"},"properties":{"noteIndex":0},"schema":"https://github.com/citation-style-language/schema/raw/master/csl-citation.json"}</w:instrText>
      </w:r>
      <w:r w:rsidR="005213EC" w:rsidRPr="005459E6">
        <w:rPr>
          <w:rFonts w:ascii="Times New Roman" w:hAnsi="Times New Roman" w:cs="Times New Roman"/>
        </w:rPr>
        <w:fldChar w:fldCharType="separate"/>
      </w:r>
      <w:r w:rsidR="005213EC" w:rsidRPr="005459E6">
        <w:rPr>
          <w:rFonts w:ascii="Times New Roman" w:hAnsi="Times New Roman" w:cs="Times New Roman"/>
          <w:noProof/>
        </w:rPr>
        <w:t>(Thaler &amp; Sunstein, 2009)</w:t>
      </w:r>
      <w:r w:rsidR="005213EC" w:rsidRPr="005459E6">
        <w:rPr>
          <w:rFonts w:ascii="Times New Roman" w:hAnsi="Times New Roman" w:cs="Times New Roman"/>
        </w:rPr>
        <w:fldChar w:fldCharType="end"/>
      </w:r>
      <w:r w:rsidR="005213EC" w:rsidRPr="005459E6">
        <w:rPr>
          <w:rFonts w:ascii="Times New Roman" w:hAnsi="Times New Roman" w:cs="Times New Roman"/>
        </w:rPr>
        <w:t xml:space="preserve"> </w:t>
      </w:r>
      <w:r w:rsidRPr="005459E6">
        <w:rPr>
          <w:rFonts w:ascii="Times New Roman" w:hAnsi="Times New Roman" w:cs="Times New Roman"/>
        </w:rPr>
        <w:t xml:space="preserve">for </w:t>
      </w:r>
      <w:r w:rsidR="00585725" w:rsidRPr="005459E6">
        <w:rPr>
          <w:rFonts w:ascii="Times New Roman" w:hAnsi="Times New Roman" w:cs="Times New Roman"/>
        </w:rPr>
        <w:t xml:space="preserve">achieving </w:t>
      </w:r>
      <w:r w:rsidRPr="005459E6">
        <w:rPr>
          <w:rFonts w:ascii="Times New Roman" w:hAnsi="Times New Roman" w:cs="Times New Roman"/>
        </w:rPr>
        <w:t>psychological well-being. Based on the data feed</w:t>
      </w:r>
      <w:r w:rsidR="004970FE" w:rsidRPr="005459E6">
        <w:rPr>
          <w:rFonts w:ascii="Times New Roman" w:hAnsi="Times New Roman" w:cs="Times New Roman"/>
        </w:rPr>
        <w:t>,</w:t>
      </w:r>
      <w:r w:rsidRPr="005459E6">
        <w:rPr>
          <w:rFonts w:ascii="Times New Roman" w:hAnsi="Times New Roman" w:cs="Times New Roman"/>
        </w:rPr>
        <w:t xml:space="preserve"> the A.I</w:t>
      </w:r>
      <w:r w:rsidR="00656B1A" w:rsidRPr="005459E6">
        <w:rPr>
          <w:rFonts w:ascii="Times New Roman" w:hAnsi="Times New Roman" w:cs="Times New Roman"/>
        </w:rPr>
        <w:t>.</w:t>
      </w:r>
      <w:r w:rsidRPr="005459E6">
        <w:rPr>
          <w:rFonts w:ascii="Times New Roman" w:hAnsi="Times New Roman" w:cs="Times New Roman"/>
        </w:rPr>
        <w:t xml:space="preserve"> engages with individual</w:t>
      </w:r>
      <w:r w:rsidR="004970FE" w:rsidRPr="005459E6">
        <w:rPr>
          <w:rFonts w:ascii="Times New Roman" w:hAnsi="Times New Roman" w:cs="Times New Roman"/>
        </w:rPr>
        <w:t>s</w:t>
      </w:r>
      <w:r w:rsidRPr="005459E6">
        <w:rPr>
          <w:rFonts w:ascii="Times New Roman" w:hAnsi="Times New Roman" w:cs="Times New Roman"/>
        </w:rPr>
        <w:t xml:space="preserve"> based on their </w:t>
      </w:r>
      <w:r w:rsidR="00585725" w:rsidRPr="005459E6">
        <w:rPr>
          <w:rFonts w:ascii="Times New Roman" w:hAnsi="Times New Roman" w:cs="Times New Roman"/>
        </w:rPr>
        <w:t xml:space="preserve">lifestyle and </w:t>
      </w:r>
      <w:r w:rsidRPr="005459E6">
        <w:rPr>
          <w:rFonts w:ascii="Times New Roman" w:hAnsi="Times New Roman" w:cs="Times New Roman"/>
        </w:rPr>
        <w:t>emotional states and</w:t>
      </w:r>
      <w:r w:rsidR="00585725" w:rsidRPr="005459E6">
        <w:rPr>
          <w:rFonts w:ascii="Times New Roman" w:hAnsi="Times New Roman" w:cs="Times New Roman"/>
        </w:rPr>
        <w:t xml:space="preserve"> allow</w:t>
      </w:r>
      <w:r w:rsidR="004665C4" w:rsidRPr="005459E6">
        <w:rPr>
          <w:rFonts w:ascii="Times New Roman" w:hAnsi="Times New Roman" w:cs="Times New Roman"/>
        </w:rPr>
        <w:t>s</w:t>
      </w:r>
      <w:r w:rsidRPr="005459E6">
        <w:rPr>
          <w:rFonts w:ascii="Times New Roman" w:hAnsi="Times New Roman" w:cs="Times New Roman"/>
        </w:rPr>
        <w:t xml:space="preserve"> expressi</w:t>
      </w:r>
      <w:r w:rsidR="00585725" w:rsidRPr="005459E6">
        <w:rPr>
          <w:rFonts w:ascii="Times New Roman" w:hAnsi="Times New Roman" w:cs="Times New Roman"/>
        </w:rPr>
        <w:t xml:space="preserve">on </w:t>
      </w:r>
      <w:r w:rsidR="00E87AD7" w:rsidRPr="005459E6">
        <w:rPr>
          <w:rFonts w:ascii="Times New Roman" w:hAnsi="Times New Roman" w:cs="Times New Roman"/>
        </w:rPr>
        <w:t>of autonomy</w:t>
      </w:r>
      <w:r w:rsidRPr="005459E6">
        <w:rPr>
          <w:rFonts w:ascii="Times New Roman" w:hAnsi="Times New Roman" w:cs="Times New Roman"/>
        </w:rPr>
        <w:t xml:space="preserve"> </w:t>
      </w:r>
      <w:r w:rsidR="00E87AD7" w:rsidRPr="005459E6">
        <w:rPr>
          <w:rFonts w:ascii="Times New Roman" w:hAnsi="Times New Roman" w:cs="Times New Roman"/>
        </w:rPr>
        <w:t>for</w:t>
      </w:r>
      <w:r w:rsidRPr="005459E6">
        <w:rPr>
          <w:rFonts w:ascii="Times New Roman" w:hAnsi="Times New Roman" w:cs="Times New Roman"/>
        </w:rPr>
        <w:t xml:space="preserve"> psychological well-being, thus boosting their self-efficacy.</w:t>
      </w:r>
      <w:r w:rsidR="00656B1A" w:rsidRPr="005459E6">
        <w:rPr>
          <w:rFonts w:ascii="Times New Roman" w:hAnsi="Times New Roman" w:cs="Times New Roman"/>
        </w:rPr>
        <w:t xml:space="preserve"> </w:t>
      </w:r>
      <w:r w:rsidR="006C054A" w:rsidRPr="005459E6">
        <w:rPr>
          <w:rFonts w:ascii="Times New Roman" w:hAnsi="Times New Roman" w:cs="Times New Roman"/>
        </w:rPr>
        <w:t xml:space="preserve">The research follows ‘Sequential Multiple Methodology’ that includes both qualitative and quantitative stages developed using a Questionnaire, Case studies and Brain-Computer Interaction (BCI). The research findings establish the role of significant factors that helps determine </w:t>
      </w:r>
      <w:r w:rsidR="00570581" w:rsidRPr="005459E6">
        <w:rPr>
          <w:rFonts w:ascii="Times New Roman" w:hAnsi="Times New Roman" w:cs="Times New Roman"/>
        </w:rPr>
        <w:t xml:space="preserve">the </w:t>
      </w:r>
      <w:r w:rsidR="00DC3084" w:rsidRPr="005459E6">
        <w:rPr>
          <w:rFonts w:ascii="Times New Roman" w:hAnsi="Times New Roman" w:cs="Times New Roman"/>
        </w:rPr>
        <w:t xml:space="preserve">state of </w:t>
      </w:r>
      <w:r w:rsidR="006C054A" w:rsidRPr="005459E6">
        <w:rPr>
          <w:rFonts w:ascii="Times New Roman" w:hAnsi="Times New Roman" w:cs="Times New Roman"/>
        </w:rPr>
        <w:t xml:space="preserve">health. Further, data-driven models built using 1522 unique instances can augment psychosomatic health in terms of time and access. As research is based on </w:t>
      </w:r>
      <w:r w:rsidR="00763AF4" w:rsidRPr="005459E6">
        <w:rPr>
          <w:rFonts w:ascii="Times New Roman" w:hAnsi="Times New Roman" w:cs="Times New Roman"/>
        </w:rPr>
        <w:t xml:space="preserve">the </w:t>
      </w:r>
      <w:r w:rsidR="006C054A" w:rsidRPr="005459E6">
        <w:rPr>
          <w:rFonts w:ascii="Times New Roman" w:hAnsi="Times New Roman" w:cs="Times New Roman"/>
        </w:rPr>
        <w:t>scientific foundation laid by Neuroscience</w:t>
      </w:r>
      <w:r w:rsidR="00763AF4" w:rsidRPr="005459E6">
        <w:rPr>
          <w:rFonts w:ascii="Times New Roman" w:hAnsi="Times New Roman" w:cs="Times New Roman"/>
        </w:rPr>
        <w:t>,</w:t>
      </w:r>
      <w:r w:rsidR="006C054A" w:rsidRPr="005459E6">
        <w:rPr>
          <w:rFonts w:ascii="Times New Roman" w:hAnsi="Times New Roman" w:cs="Times New Roman"/>
        </w:rPr>
        <w:t xml:space="preserve"> its input can be used for incorporating upcoming technologies and strengthening psychosomatic care while assisting healthcare professionals.</w:t>
      </w:r>
      <w:r w:rsidR="001928CF" w:rsidRPr="005459E6">
        <w:rPr>
          <w:rFonts w:ascii="Times New Roman" w:hAnsi="Times New Roman" w:cs="Times New Roman"/>
        </w:rPr>
        <w:t xml:space="preserve"> </w:t>
      </w:r>
      <w:r w:rsidR="00237FBB" w:rsidRPr="005459E6">
        <w:rPr>
          <w:rFonts w:ascii="Times New Roman" w:hAnsi="Times New Roman" w:cs="Times New Roman"/>
        </w:rPr>
        <w:t xml:space="preserve">Centered on key service science research priorities </w:t>
      </w:r>
      <w:r w:rsidR="00237FBB" w:rsidRPr="005459E6">
        <w:rPr>
          <w:rFonts w:ascii="Times New Roman" w:hAnsi="Times New Roman" w:cs="Times New Roman"/>
        </w:rPr>
        <w:fldChar w:fldCharType="begin" w:fldLock="1"/>
      </w:r>
      <w:r w:rsidR="00370492"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Times","type":"article-journal","volume":"24"},"uris":["http://www.mendeley.com/documents/?uuid=69747d6e-268d-4378-b9bf-d191cb6a8d99"]},{"id":"ITEM-2","itemData":{"DOI":"10.1177/10946705211031302","ISSN":"1094-6705","abstract":"This article utilizes input from service scholars, practitioners, reviews of published literature, and influential policy documents to identify service research priorities that push the boundaries of extant research. In a companion piece, we focused on four service research priorities related to managing and delivering service in turbulent times. Further, we identified a set of stakeholder-wants from the literature and included research questions that tie key stakeholder-wants to each of the three priorities in this article and the four priorities in the companion article. Here, we highlight the critical importance of scholarship and practice related to the design of sustainable service ecosystems and discuss three key service research priorities: large-scale and complex service ecosystems for transformative impact (SRP5), platform ecosystems and marketplaces (SRP6), and services for disadvantaged consumers and communities (SRP7). We call for an engaged service scholarship that considers the interrelationships among consumers, organizations, employees, platforms, and societal institutions and pursues transformative goals.","author":[{"dropping-particle":"","family":"Field","given":"Joy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Ostrom","given":"Amy L.","non-dropping-particle":"","parse-names":false,"suffix":""},{"dropping-particle":"","family":"Lemon","given":"Katherine N.","non-dropping-particle":"","parse-names":false,"suffix":""},{"dropping-particle":"","family":"Huang","given":"Ming-Hui","non-dropping-particle":"","parse-names":false,"suffix":""},{"dropping-particle":"","family":"McColl-Kennedy","given":"Janet R.","non-dropping-particle":"","parse-names":false,"suffix":""}],"container-title":"Journal of Service Research","id":"ITEM-2","issue":"0","issued":{"date-parts":[["2021"]]},"page":"109467052110313","title":"Service Research Priorities: Designing Sustainable Service Ecosystems","type":"article-journal","volume":"0"},"uris":["http://www.mendeley.com/documents/?uuid=cd01a098-8ca8-4cd8-b914-3a6abf45f098"]}],"mendeley":{"formattedCitation":"(J. M. Field et al., 2021; Ostrom et al., 2021)","manualFormatting":"(Field et al., 2021; Ostrom et al., 2021)","plainTextFormattedCitation":"(J. M. Field et al., 2021; Ostrom et al., 2021)","previouslyFormattedCitation":"(J. M. Field et al., 2021; Ostrom et al., 2021)"},"properties":{"noteIndex":0},"schema":"https://github.com/citation-style-language/schema/raw/master/csl-citation.json"}</w:instrText>
      </w:r>
      <w:r w:rsidR="00237FBB" w:rsidRPr="005459E6">
        <w:rPr>
          <w:rFonts w:ascii="Times New Roman" w:hAnsi="Times New Roman" w:cs="Times New Roman"/>
        </w:rPr>
        <w:fldChar w:fldCharType="separate"/>
      </w:r>
      <w:r w:rsidR="00E34FD2" w:rsidRPr="005459E6">
        <w:rPr>
          <w:rFonts w:ascii="Times New Roman" w:hAnsi="Times New Roman" w:cs="Times New Roman"/>
          <w:noProof/>
        </w:rPr>
        <w:t>(Field et al., 2021; Ostrom et al., 2021)</w:t>
      </w:r>
      <w:r w:rsidR="00237FBB" w:rsidRPr="005459E6">
        <w:rPr>
          <w:rFonts w:ascii="Times New Roman" w:hAnsi="Times New Roman" w:cs="Times New Roman"/>
        </w:rPr>
        <w:fldChar w:fldCharType="end"/>
      </w:r>
      <w:r w:rsidR="00237FBB" w:rsidRPr="005459E6">
        <w:rPr>
          <w:rFonts w:ascii="Times New Roman" w:hAnsi="Times New Roman" w:cs="Times New Roman"/>
        </w:rPr>
        <w:t>, understanding value co-creation for improved well-being in services</w:t>
      </w:r>
      <w:r w:rsidR="00FF1145" w:rsidRPr="005459E6">
        <w:rPr>
          <w:rFonts w:ascii="Times New Roman" w:hAnsi="Times New Roman" w:cs="Times New Roman"/>
        </w:rPr>
        <w:t xml:space="preserve"> </w:t>
      </w:r>
      <w:r w:rsidR="00DB3996" w:rsidRPr="005459E6">
        <w:rPr>
          <w:rFonts w:ascii="Times New Roman" w:hAnsi="Times New Roman" w:cs="Times New Roman"/>
        </w:rPr>
        <w:fldChar w:fldCharType="begin" w:fldLock="1"/>
      </w:r>
      <w:r w:rsidR="00DB3996" w:rsidRPr="005459E6">
        <w:rPr>
          <w:rFonts w:ascii="Times New Roman" w:hAnsi="Times New Roman" w:cs="Times New Roman"/>
        </w:rPr>
        <w:instrText>ADDIN CSL_CITATION {"citationItems":[{"id":"ITEM-1","itemData":{"DOI":"10.1108/17566691011026603","ISSN":"17566703","abstract":"Purpose – The purpose of this paper is to analyse innovation in the light of servicedominant (SD) logic and service science as a valuecreating process occurring through a manytomany network resource integration. Design/methodology/approach – The paper utilises SD logic and network theory to present case study research of a highly innovative Italian firm. The study investigates three innovation projects and the processes of interaction and integration that take place among the members of the networks involved in each project. Findings – The traditional understanding of innovation, in which the supplier is the innovator and the customer is the recipient of (or perhaps the stimulus for) innovation, is replaced by an understanding of innovation based on SD logic in which customers and other stakeholders become real coinnovators who exchange and integrate resources to cocreate value. Research limitations/implications – Future studies could examine the antecedents and implications of the interaction and integration processes of collaborative innovation. Practical implications – Innovation should be pursued as an open process in which all of the network's actors mobilise resources to become coinnovators who cocreate value for themselves and other stakeholders. Originality/value – This paper offers a widened perspective of innovation by using SD logic to emphasise the role of the network and the manytomany interaction between stakeholders in developing valuecreating innovation. © 2010, Emerald Group Publishing Limited","author":[{"dropping-particle":"","family":"Mele","given":"Cristina","non-dropping-particle":"","parse-names":false,"suffix":""},{"dropping-particle":"","family":"Spena","given":"Tiziana Russo","non-dropping-particle":"","parse-names":false,"suffix":""},{"dropping-particle":"","family":"Colurcio","given":"Maria","non-dropping-particle":"","parse-names":false,"suffix":""}],"container-title":"International Journal of Quality and Service Sciences","id":"ITEM-1","issue":"1","issued":{"date-parts":[["2010"]]},"page":"60-78","title":"Co-creating value innovation through resource integration","type":"article-journal","volume":"2"},"uris":["http://www.mendeley.com/documents/?uuid=2026b38d-81e3-4110-9ff6-1b69a8f0092c"]},{"id":"ITEM-2","itemData":{"DOI":"10.1108/BPMJ-11-2019-0475","ISSN":"14637154","abstract":"Purpose: The study aims to provide an exploratory investigation of the magnitude of the customer-centric approach in the specific area of healthcare as a contribution to the scarce and preliminary literature on this topic. In particular, it explores the role of sharing economy-based (SE-based) platforms as an experiential touchpoint to co-create value within different levels. Specifically, the purpose of the study is threefold. First, it aims to address the service experience innovation in healthcare with a customer-centric approach. Second, it seeks to define the role of the SE-based platform as a touchpoint to redefine business processes, and third, it measures the co-created value within the network when redesigning the service experience. Design/methodology/approach: To address the research question, the authors proposed an analysis of service innovation and customer centricity in healthcare networks by using the case study of Saluber, an SE-based platform that offers logistics services for non-emergency medical transportation in the Campania region (south of Italy). By using a qualitative approach, the authors analysed primary and secondary data from multiple sources of evidence. Findings: The results show that a customer-centric approach based on the SE-based platform can improve the customer experience and help to redesign and expand the business processes of healthcare organisations. A multilevel model demonstrates the possible service innovations that use SE principles that can co-create value for the customer (micro level), for the healthcare network (meso level) and for the community (macro-level). Research limitations/implications: This study provides managerial implications for the players who intend to take advantage of the possibilities offered by service innovations developed by the health and social organisations in the network. The SE-based platform helps redefine business processes to improve clinical and financial outcomes and improves the overall customer experience within this network. Originality/value: This study allows new and important reflections from ethical, social and managerial points of view and underlines how digital platforms act as a support for healthcare services, not as a substitute.","author":[{"dropping-particle":"","family":"Schiavone","given":"Francesco","non-dropping-particle":"","parse-names":false,"suffix":""},{"dropping-particle":"","family":"Leone","given":"Daniele","non-dropping-particle":"","parse-names":false,"suffix":""},{"dropping-particle":"","family":"Sorrentino","given":"Annarita","non-dropping-particle":"","parse-names":false,"suffix":""},{"dropping-particle":"","family":"Scaletti","given":"Alessandro","non-dropping-particle":"","parse-names":false,"suffix":""}],"container-title":"Business Process Management Journal","id":"ITEM-2","issue":"4","issued":{"date-parts":[["2020"]]},"page":"889-908","title":"Re-designing the service experience in the value co-creation process: an exploratory study of a healthcare network","type":"article-journal","volume":"26"},"uris":["http://www.mendeley.com/documents/?uuid=714fbf6c-b34a-4961-971a-a321c7b3a3cc"]}],"mendeley":{"formattedCitation":"(Mele et al., 2010; Schiavone et al., 2020)","plainTextFormattedCitation":"(Mele et al., 2010; Schiavone et al., 2020)","previouslyFormattedCitation":"(Mele et al., 2010; Schiavone et al., 2020)"},"properties":{"noteIndex":0},"schema":"https://github.com/citation-style-language/schema/raw/master/csl-citation.json"}</w:instrText>
      </w:r>
      <w:r w:rsidR="00DB3996" w:rsidRPr="005459E6">
        <w:rPr>
          <w:rFonts w:ascii="Times New Roman" w:hAnsi="Times New Roman" w:cs="Times New Roman"/>
        </w:rPr>
        <w:fldChar w:fldCharType="separate"/>
      </w:r>
      <w:r w:rsidR="00DB3996" w:rsidRPr="005459E6">
        <w:rPr>
          <w:rFonts w:ascii="Times New Roman" w:hAnsi="Times New Roman" w:cs="Times New Roman"/>
          <w:noProof/>
        </w:rPr>
        <w:t>(Mele et al., 2010; Schiavone et al., 2020)</w:t>
      </w:r>
      <w:r w:rsidR="00DB3996" w:rsidRPr="005459E6">
        <w:rPr>
          <w:rFonts w:ascii="Times New Roman" w:hAnsi="Times New Roman" w:cs="Times New Roman"/>
        </w:rPr>
        <w:fldChar w:fldCharType="end"/>
      </w:r>
      <w:r w:rsidR="00237FBB" w:rsidRPr="005459E6">
        <w:rPr>
          <w:rFonts w:ascii="Times New Roman" w:hAnsi="Times New Roman" w:cs="Times New Roman"/>
        </w:rPr>
        <w:t xml:space="preserve"> supported by technologies </w:t>
      </w:r>
      <w:r w:rsidR="00237FBB" w:rsidRPr="005459E6">
        <w:rPr>
          <w:rFonts w:ascii="Times New Roman" w:hAnsi="Times New Roman" w:cs="Times New Roman"/>
        </w:rPr>
        <w:fldChar w:fldCharType="begin" w:fldLock="1"/>
      </w:r>
      <w:r w:rsidR="00237FBB" w:rsidRPr="005459E6">
        <w:rPr>
          <w:rFonts w:ascii="Times New Roman" w:hAnsi="Times New Roman" w:cs="Times New Roman"/>
        </w:rPr>
        <w:instrText>ADDIN CSL_CITATION {"citationItems":[{"id":"ITEM-1","itemData":{"DOI":"10.3390/su12072759","ISSN":"20711050","abstract":"The work identifies the main enabling dimensions and the strategic drivers to foster value co-creation and sustainable innovation in service ecosystems. The aim is to explore how resource and knowledge integration, through technology-mediated interactions, can lead to the emergence of novelties (new products, services, processes, social, and environmental practices). Based on a re-elaboration of literature, the study introduces a framework that describes the main drivers for managing the emergence of value co-creation and innovation (co-design, co-development, co-delivery, co-learning) across the contexts of exchange of service ecosystems (micro, meso, and macro). A \"meta\"-level is conceptualized to investigate how management can harmonize an actor's objectives with an ecosystem's goal to encourage the diffusion and renewal of a sustainable and innovation-oriented culture. The empirical research applies the framework proposed in the theoretical section to a case study analysis on \"Palm\", an Italian company that designs and produces wood packaging. The technique employed is qualitative content analysis. The findings permit conceptualization of the key strategic levers for the management of co-creation and to increase managers' and scholars' understanding of (1) the enablers of value co-creation and innovation; (2) the mechanisms leading to knowledge renewal and the continuous production of sustainable innovation.","author":[{"dropping-particle":"","family":"Barile","given":"Sergio","non-dropping-particle":"","parse-names":false,"suffix":""},{"dropping-particle":"","family":"Grimaldi","given":"Mara","non-dropping-particle":"","parse-names":false,"suffix":""},{"dropping-particle":"","family":"Loia","given":"Francesca","non-dropping-particle":"","parse-names":false,"suffix":""},{"dropping-particle":"","family":"Sirianni","given":"Carlo Alessandro","non-dropping-particle":"","parse-names":false,"suffix":""}],"container-title":"Sustainability (Switzerland)","id":"ITEM-1","issue":"7","issued":{"date-parts":[["2020"]]},"title":"Technology, value co-creation and innovation in service ecosystems: Toward sustainable co-innovation","type":"article-journal","volume":"12"},"uris":["http://www.mendeley.com/documents/?uuid=a412fe5b-b62c-4e92-813d-a1d992e16225"]}],"mendeley":{"formattedCitation":"(Barile et al., 2020)","plainTextFormattedCitation":"(Barile et al., 2020)","previouslyFormattedCitation":"(Barile et al., 2020)"},"properties":{"noteIndex":0},"schema":"https://github.com/citation-style-language/schema/raw/master/csl-citation.json"}</w:instrText>
      </w:r>
      <w:r w:rsidR="00237FBB" w:rsidRPr="005459E6">
        <w:rPr>
          <w:rFonts w:ascii="Times New Roman" w:hAnsi="Times New Roman" w:cs="Times New Roman"/>
        </w:rPr>
        <w:fldChar w:fldCharType="separate"/>
      </w:r>
      <w:r w:rsidR="00237FBB" w:rsidRPr="005459E6">
        <w:rPr>
          <w:rFonts w:ascii="Times New Roman" w:hAnsi="Times New Roman" w:cs="Times New Roman"/>
          <w:noProof/>
        </w:rPr>
        <w:t>(Barile et al., 2020)</w:t>
      </w:r>
      <w:r w:rsidR="00237FBB" w:rsidRPr="005459E6">
        <w:rPr>
          <w:rFonts w:ascii="Times New Roman" w:hAnsi="Times New Roman" w:cs="Times New Roman"/>
        </w:rPr>
        <w:fldChar w:fldCharType="end"/>
      </w:r>
      <w:r w:rsidR="00237FBB" w:rsidRPr="005459E6">
        <w:rPr>
          <w:rFonts w:ascii="Times New Roman" w:hAnsi="Times New Roman" w:cs="Times New Roman"/>
        </w:rPr>
        <w:t xml:space="preserve"> presented work contributes theoretically and practically in five important ways.  </w:t>
      </w:r>
      <w:r w:rsidR="00E87AD7" w:rsidRPr="005459E6">
        <w:rPr>
          <w:rFonts w:ascii="Times New Roman" w:hAnsi="Times New Roman" w:cs="Times New Roman"/>
        </w:rPr>
        <w:t xml:space="preserve"> </w:t>
      </w:r>
      <w:r w:rsidRPr="005459E6">
        <w:rPr>
          <w:rFonts w:ascii="Times New Roman" w:hAnsi="Times New Roman" w:cs="Times New Roman"/>
        </w:rPr>
        <w:t xml:space="preserve">First, it represents an in-depth investigation of a data-driven approach to psychosomatic care with technology’s role as a resource integrator, identifying a range of activities and interactions. Second, it identifies the role of emotions that could impact the psychological well-being of an individual. Third, it demonstrates </w:t>
      </w:r>
      <w:r w:rsidR="00E87AD7" w:rsidRPr="005459E6">
        <w:rPr>
          <w:rFonts w:ascii="Times New Roman" w:hAnsi="Times New Roman" w:cs="Times New Roman"/>
        </w:rPr>
        <w:t>various</w:t>
      </w:r>
      <w:r w:rsidRPr="005459E6">
        <w:rPr>
          <w:rFonts w:ascii="Times New Roman" w:hAnsi="Times New Roman" w:cs="Times New Roman"/>
        </w:rPr>
        <w:t xml:space="preserve"> ways in which customers</w:t>
      </w:r>
      <w:r w:rsidR="002C799A" w:rsidRPr="005459E6">
        <w:rPr>
          <w:rFonts w:ascii="Times New Roman" w:hAnsi="Times New Roman" w:cs="Times New Roman"/>
        </w:rPr>
        <w:t xml:space="preserve"> (or patients)</w:t>
      </w:r>
      <w:r w:rsidRPr="005459E6">
        <w:rPr>
          <w:rFonts w:ascii="Times New Roman" w:hAnsi="Times New Roman" w:cs="Times New Roman"/>
        </w:rPr>
        <w:t xml:space="preserve"> can contribute to their value creation. Fourth, it provides an experimental protocol </w:t>
      </w:r>
      <w:r w:rsidR="00E87AD7" w:rsidRPr="005459E6">
        <w:rPr>
          <w:rFonts w:ascii="Times New Roman" w:hAnsi="Times New Roman" w:cs="Times New Roman"/>
        </w:rPr>
        <w:t xml:space="preserve">for health professionals </w:t>
      </w:r>
      <w:r w:rsidRPr="005459E6">
        <w:rPr>
          <w:rFonts w:ascii="Times New Roman" w:hAnsi="Times New Roman" w:cs="Times New Roman"/>
        </w:rPr>
        <w:t>for the betterment of psychological well-being. Fifth and finally, it explores the relationship between individual well</w:t>
      </w:r>
      <w:r w:rsidR="00925027" w:rsidRPr="005459E6">
        <w:rPr>
          <w:rFonts w:ascii="Times New Roman" w:hAnsi="Times New Roman" w:cs="Times New Roman"/>
        </w:rPr>
        <w:t>-</w:t>
      </w:r>
      <w:r w:rsidRPr="005459E6">
        <w:rPr>
          <w:rFonts w:ascii="Times New Roman" w:hAnsi="Times New Roman" w:cs="Times New Roman"/>
        </w:rPr>
        <w:t xml:space="preserve">being and workplace productivity that could result in improved organizational performance. </w:t>
      </w:r>
    </w:p>
    <w:p w14:paraId="2E0065E4" w14:textId="51653355" w:rsidR="00B42ABB" w:rsidRPr="005459E6" w:rsidRDefault="00EF5756" w:rsidP="00E2702D">
      <w:pPr>
        <w:pStyle w:val="Titolo1"/>
        <w:spacing w:line="360" w:lineRule="auto"/>
        <w:jc w:val="both"/>
        <w:rPr>
          <w:rFonts w:ascii="Times New Roman" w:hAnsi="Times New Roman" w:cs="Times New Roman"/>
          <w:b/>
          <w:bCs/>
          <w:color w:val="auto"/>
          <w:sz w:val="22"/>
          <w:szCs w:val="22"/>
        </w:rPr>
      </w:pPr>
      <w:bookmarkStart w:id="4" w:name="_Toc87349470"/>
      <w:bookmarkStart w:id="5" w:name="_Toc87349583"/>
      <w:bookmarkStart w:id="6" w:name="_Toc87349690"/>
      <w:bookmarkStart w:id="7" w:name="_Toc107248267"/>
      <w:r w:rsidRPr="005459E6">
        <w:rPr>
          <w:rFonts w:ascii="Times New Roman" w:hAnsi="Times New Roman" w:cs="Times New Roman"/>
          <w:b/>
          <w:bCs/>
          <w:color w:val="auto"/>
          <w:sz w:val="22"/>
          <w:szCs w:val="22"/>
        </w:rPr>
        <w:lastRenderedPageBreak/>
        <w:t>REVIEW OF LITERATURE</w:t>
      </w:r>
      <w:bookmarkStart w:id="8" w:name="_Toc87349491"/>
      <w:bookmarkStart w:id="9" w:name="_Toc87349604"/>
      <w:bookmarkStart w:id="10" w:name="_Toc87349711"/>
      <w:bookmarkEnd w:id="4"/>
      <w:bookmarkEnd w:id="5"/>
      <w:bookmarkEnd w:id="6"/>
      <w:bookmarkEnd w:id="7"/>
    </w:p>
    <w:p w14:paraId="6051A40F" w14:textId="77777777" w:rsidR="00B42ABB" w:rsidRPr="005459E6" w:rsidRDefault="00B42ABB" w:rsidP="00B42ABB">
      <w:pPr>
        <w:pStyle w:val="Titolo2"/>
        <w:spacing w:line="360" w:lineRule="auto"/>
        <w:jc w:val="both"/>
        <w:rPr>
          <w:rFonts w:ascii="Times New Roman" w:hAnsi="Times New Roman" w:cs="Times New Roman"/>
          <w:color w:val="auto"/>
          <w:sz w:val="22"/>
          <w:szCs w:val="22"/>
        </w:rPr>
      </w:pPr>
      <w:bookmarkStart w:id="11" w:name="_Toc104746477"/>
      <w:bookmarkStart w:id="12" w:name="_Toc104827758"/>
      <w:bookmarkStart w:id="13" w:name="_Toc107248268"/>
      <w:bookmarkStart w:id="14" w:name="_Hlk99893693"/>
      <w:r w:rsidRPr="005459E6">
        <w:rPr>
          <w:rFonts w:ascii="Times New Roman" w:hAnsi="Times New Roman" w:cs="Times New Roman"/>
          <w:color w:val="auto"/>
          <w:sz w:val="22"/>
          <w:szCs w:val="22"/>
        </w:rPr>
        <w:t>SERVICE RESEARCH</w:t>
      </w:r>
      <w:bookmarkEnd w:id="11"/>
      <w:bookmarkEnd w:id="12"/>
      <w:bookmarkEnd w:id="13"/>
    </w:p>
    <w:p w14:paraId="370FB12F"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Christophe","given":"François","non-dropping-particle":"","parse-names":false,"suffix":""},{"dropping-particle":"","family":"Hyvämäki","given":"Tapani","non-dropping-particle":"","parse-names":false,"suffix":""},{"dropping-particle":"","family":"Rackauskas","given":"Simas","non-dropping-particle":"","parse-names":false,"suffix":""},{"dropping-particle":"","family":"Rahman","given":"Mizanur","non-dropping-particle":"","parse-names":false,"suffix":""},{"dropping-particle":"","family":"Rinne","given":"Timo","non-dropping-particle":"","parse-names":false,"suffix":""},{"dropping-particle":"","family":"Sivill","given":"Leena","non-dropping-particle":"","parse-names":false,"suffix":""},{"dropping-particle":"","family":"Nangini","given":"Cathy","non-dropping-particle":"","parse-names":false,"suffix":""}],"container-title":"Bit Bang: Entrepreneurship and Services","id":"ITEM-1","issued":{"date-parts":[["2011"]]},"page":"102-121","title":"What is Service Research? Present Status and Future Directions","type":"article"},"uris":["http://www.mendeley.com/documents/?uuid=dfd7fb57-ed64-4ac2-9862-c6001f0e78a1"]}],"mendeley":{"formattedCitation":"(Christophe et al., 2011)","manualFormatting":"Christophe et al. (2011)","plainTextFormattedCitation":"(Christophe et al., 2011)","previouslyFormattedCitation":"(Christophe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Christophe et al. (2011)</w:t>
      </w:r>
      <w:r w:rsidRPr="005459E6">
        <w:rPr>
          <w:rFonts w:ascii="Times New Roman" w:hAnsi="Times New Roman" w:cs="Times New Roman"/>
        </w:rPr>
        <w:fldChar w:fldCharType="end"/>
      </w:r>
      <w:r w:rsidRPr="005459E6">
        <w:rPr>
          <w:rFonts w:ascii="Times New Roman" w:hAnsi="Times New Roman" w:cs="Times New Roman"/>
        </w:rPr>
        <w:t xml:space="preserve">, the term 'service' relates to several fields and considering the shift from the global economy (from the product) to services has generated greater curiosity in the field. In the backdrop of the ever-expanding field of services, service science has been observed as a common point of interest in interdisciplinary domains. Service research has mostly focused on practical concerns of managerial significance, such as blueprinting the service process, designing new services, and establishing a service culture, as well as tactics, throughout its evolution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{"citationItems":[{"id":"ITEM-1","itemData":{"DOI":"10.1108/09564231111174951","ISSN":"17575818","abstract":"Purpose – Recent discussions of the service-dominant logic (S-D logic) and the creation of a multidisciplinary service science highlight the need for a paradigmatic discussion that provides directions for ongoing service research. This article aims to examine different epistemological foundations and proposes a framework to describe and better understand the development and future of service research. Design/methodology/approach – Using the proposed framework, an assessment of 60 selected award-winning and most cited articles is categorized using the paradigmatic framework. Findings – Four paradigms are found to be prominent in service research: positivistic, hermeneutic, dialogic, and monologic. The positivistic option has been the dominant paradigm employed by service scholars, suggesting service scholars need to apply the three alternative paradigms more as a means to enrich and extend the service research discipline. Research limitations/implications – There is a need to discuss the fundamental beliefs and worldviews (ontological and epistemological positions) guiding service research. Paradigms are critical determinants and drivers of good research. Originality/value – A new framework for analyzing paradigmatic foundations in service research and directions for the future design of service research studies is proposed. The suggested framework could inspire scholars to reflect on their ontological and epistemological foundations and provide paradigmatic guidance within service research. This provides a basis for continuous expansion of the service research field. © 2011, Emerald Group Publishing Limited.","author":[{"dropping-particle":"","family":"Tronvoll","given":"Bård","non-dropping-particle":"","parse-names":false,"suffix":""},{"dropping-particle":"","family":"Brown","given":"Stephen W.","non-dropping-particle":"","parse-names":false,"suffix":""},{"dropping-particle":"","family":"Gremler","given":"Dwayne D.","non-dropping-particle":"","parse-names":false,"suffix":""},{"dropping-particle":"","family":"Edvardsson","given":"Bo","non-dropping-particle":"","parse-names":false,"suffix":""}],"container-title":"Journal of Service Management","id":"ITEM-1","issue":"5","issued":{"date-parts":[["2011"]]},"page":"560-585","title":"Paradigms in service research","type":"article-journal","volume":"22"},"uris":["http://www.mendeley.com/documents/?uuid=e279bfe1-17a2-4aa4-92ca-b9b3991f689f"]}],"mendeley":{"formattedCitation":"(Tronvoll et al., 2011)","plainTextFormattedCitation":"(Tronvoll et al., 2011)","previouslyFormattedCitation":"(Tronvoll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(Tronvoll et al., 2011)</w:t>
      </w:r>
      <w:r w:rsidRPr="005459E6">
        <w:rPr>
          <w:rFonts w:ascii="Times New Roman" w:hAnsi="Times New Roman" w:cs="Times New Roman"/>
        </w:rPr>
        <w:fldChar w:fldCharType="end"/>
      </w:r>
      <w:r w:rsidRPr="005459E6">
        <w:rPr>
          <w:rFonts w:ascii="Times New Roman" w:hAnsi="Times New Roman" w:cs="Times New Roman"/>
        </w:rPr>
        <w:t>.</w:t>
      </w:r>
    </w:p>
    <w:p w14:paraId="700D3AD4"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In the context of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0887-6045","author":[{"dropping-particle":"V","family":"Wünderlich","given":"Nancy","non-dropping-particle":"","parse-names":false,"suffix":""},{"dropping-particle":"","family":"Heinonen","given":"Kristina","non-dropping-particle":"","parse-names":false,"suffix":""},{"dropping-particle":"","family":"Ostrom","given":"Amy L","non-dropping-particle":"","parse-names":false,"suffix":""},{"dropping-particle":"","family":"Patricio","given":"Lia","non-dropping-particle":"","parse-names":false,"suffix":""},{"dropping-particle":"","family":"Sousa","given":"Rui","non-dropping-particle":"","parse-names":false,"suffix":""},{"dropping-particle":"","family":"Voss","given":"Chris","non-dropping-particle":"","parse-names":false,"suffix":""},{"dropping-particle":"","family":"Lemmink","given":"Jos G A M","non-dropping-particle":"","parse-names":false,"suffix":""}],"container-title":"Journal of Services Marketing","id":"ITEM-1","issued":{"date-parts":[["2015"]]},"publisher":"Emerald Group Publishing Limited","title":"“Futurizing” smart service: implications for service researchers and managers","type":"article-journal"},"uris":["http://www.mendeley.com/documents/?uuid=866db29c-0f09-4116-a0bb-1a0929bf0a7e"]}],"mendeley":{"formattedCitation":"(Wünderlich et al., 2015)","manualFormatting":"Wünderlich et al. (2015)","plainTextFormattedCitation":"(Wünderlich et al., 2015)","previouslyFormattedCitation":"(Wünderlich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Wünderlich et al. (2015)</w:t>
      </w:r>
      <w:r w:rsidRPr="005459E6">
        <w:rPr>
          <w:rFonts w:ascii="Times New Roman" w:hAnsi="Times New Roman" w:cs="Times New Roman"/>
        </w:rPr>
        <w:fldChar w:fldCharType="end"/>
      </w:r>
      <w:r w:rsidRPr="005459E6">
        <w:rPr>
          <w:rFonts w:ascii="Times New Roman" w:hAnsi="Times New Roman" w:cs="Times New Roman"/>
        </w:rPr>
        <w:t xml:space="preserve"> believe technology being a key factor has the potential to holistically define the service experience.  Technology has been a primary driving force behind the advancement of today's service industry, allowing smart services to gain traction. Further brainstorming on the consequences of characterizing aspects of smart services is likely to stimulate future research. Hence taking direction from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{"citationItems":[{"id":"ITEM-1","itemData":{"DOI":"10.1007/s10796-007-9023-x","ISSN":"1572-9419","abstract":"The advancement of web services in the last few years has spurred a number of revolutionary concepts in information technology and management including service-oriented architectures, service-oriented computing, and services science, management and engineering, which can be collectively called as “services computing.” Services computing is a new research field that goes beyond traditional computing disciplines as it includes not only architectural, programming, deployment, and other engineering issues, but also management issues such as business component modeling, business process design, and service delivery. In this paper, we provide an overview of emerging research concepts in services computing without attempting to unify them as it will take sometime for the field to become mature. In addition, we take a position that the ultimate goal of services computing is to create the necessary technological and managerial foundation to support enterprise agility. In this short paper, we give an overview of services computing, describe its relationship to enterprise agility, and discuss basic technical and managerial issues. Finally, we introduce the papers that are published in this special issue.","author":[{"dropping-particle":"","family":"Zhao","given":"J Leon","non-dropping-particle":"","parse-names":false,"suffix":""},{"dropping-particle":"","family":"Tanniru","given":"Mohan","non-dropping-particle":"","parse-names":false,"suffix":""},{"dropping-particle":"","family":"Zhang","given":"Liang-Jie","non-dropping-particle":"","parse-names":false,"suffix":""}],"container-title":"Information Systems Frontiers","id":"ITEM-1","issue":"1","issued":{"date-parts":[["2007"]]},"page":"1-8","title":"Services computing as the foundation of enterprise agility: Overview of recent advances and introduction to the special issue","type":"article-journal","volume":"9"},"uris":["http://www.mendeley.com/documents/?uuid=86da9019-3ada-4743-b44e-7023ddbbf61f"]}],"mendeley":{"formattedCitation":"(Zhao et al., 2007)","manualFormatting":"Zhao et al. (2007)","plainTextFormattedCitation":"(Zhao et al., 2007)","previouslyFormattedCitation":"(Zhao et al., 2007)"},"properties":{"noteIndex":0},"schema":"https://github.com/citation-style-language/schema/raw/master/csl-citation.json"}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Zhao et al. (2007)</w:t>
      </w:r>
      <w:r w:rsidRPr="005459E6">
        <w:rPr>
          <w:rFonts w:ascii="Times New Roman" w:hAnsi="Times New Roman" w:cs="Times New Roman"/>
        </w:rPr>
        <w:fldChar w:fldCharType="end"/>
      </w:r>
      <w:r w:rsidRPr="005459E6">
        <w:rPr>
          <w:rFonts w:ascii="Times New Roman" w:hAnsi="Times New Roman" w:cs="Times New Roman"/>
        </w:rPr>
        <w:t xml:space="preserve"> and considering the holistic sense of services, it merges technology with an understanding of the business process to explore how the organization can be made efficient. The multidisciplinary approach to service research necessitates a diverse range of study topics, ideas, and research methodologies, as well as empirical studies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0887-6045","author":[{"dropping-particle":"","family":"Gustafsson","given":"Anders","non-dropping-particle":"","parse-names":false,"suffix":""},{"dropping-particle":"","family":"Aksoy","given":"Lerzan","non-dropping-particle":"","parse-names":false,"suffix":""},{"dropping-particle":"","family":"Brady","given":"Michael K","non-dropping-particle":"","parse-names":false,"suffix":""},{"dropping-particle":"","family":"McColl-Kennedy","given":"Janet R","non-dropping-particle":"","parse-names":false,"suffix":""},{"dropping-particle":"","family":"Sirianni","given":"Nancy J","non-dropping-particle":"","parse-names":false,"suffix":""},{"dropping-particle":"","family":"Witell","given":"Lars","non-dropping-particle":"","parse-names":false,"suffix":""},{"dropping-particle":"V","family":"Wuenderlich","given":"Nancy","non-dropping-particle":"","parse-names":false,"suffix":""}],"container-title":"Journal of Services Marketing","id":"ITEM-1","issued":{"date-parts":[["2015"]]},"publisher":"Emerald Group Publishing Limited","title":"Conducting service research that matters","type":"article-journal"},"uris":["http://www.mendeley.com/documents/?uuid=fca72454-a615-4b9a-bd67-383129435992"]}],"mendeley":{"formattedCitation":"(Gustafsson et al., 2015)","plainTextFormattedCitation":"(Gustafsson et al., 2015)","previouslyFormattedCitation":"(Gustafsson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(Gustafsson et al., 2015)</w:t>
      </w:r>
      <w:r w:rsidRPr="005459E6">
        <w:rPr>
          <w:rFonts w:ascii="Times New Roman" w:hAnsi="Times New Roman" w:cs="Times New Roman"/>
        </w:rPr>
        <w:fldChar w:fldCharType="end"/>
      </w:r>
      <w:r w:rsidRPr="005459E6">
        <w:rPr>
          <w:rFonts w:ascii="Times New Roman" w:hAnsi="Times New Roman" w:cs="Times New Roman"/>
        </w:rPr>
        <w:t xml:space="preserve">.  </w:t>
      </w:r>
    </w:p>
    <w:p w14:paraId="205BB8AB" w14:textId="720E2029" w:rsidR="00B42ABB" w:rsidRPr="005459E6" w:rsidRDefault="00894A4B" w:rsidP="00B42ABB">
      <w:pPr>
        <w:spacing w:line="360" w:lineRule="auto"/>
        <w:jc w:val="both"/>
        <w:rPr>
          <w:rFonts w:ascii="Times New Roman" w:hAnsi="Times New Roman" w:cs="Times New Roman"/>
        </w:rPr>
      </w:pPr>
      <w:r w:rsidRPr="005459E6">
        <w:rPr>
          <w:rFonts w:ascii="Times New Roman" w:hAnsi="Times New Roman" w:cs="Times New Roman"/>
        </w:rPr>
        <w:t>Providing</w:t>
      </w:r>
      <w:r w:rsidR="00B42ABB" w:rsidRPr="005459E6">
        <w:rPr>
          <w:rFonts w:ascii="Times New Roman" w:hAnsi="Times New Roman" w:cs="Times New Roman"/>
        </w:rPr>
        <w:t xml:space="preserve"> affordable and high-quality healthcare is very challenging due to the use, costs, delivery, and accessibility of health services. Hence according to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{"citationItems":[{"id":"ITEM-1","itemData":{"author":[{"dropping-particle":"","family":"Harris-Wehling","given":"Jo","non-dropping-particle":"","parse-names":false,"suffix":""},{"dropping-particle":"","family":"Morris","given":"Lawrence C","non-dropping-particle":"","parse-names":false,"suffix":""}],"id":"ITEM-1","issued":{"date-parts":[["1991"]]},"publisher":"National Academies","title":"Improving information services for health services researchers: a report to the National Library of Medicine","type":"book"},"uris":["http://www.mendeley.com/documents/?uuid=95b6f2ff-e7cf-452e-ac0b-846bdce27e5b"]}],"mendeley":{"formattedCitation":"(Harris-Wehling &amp; Morris, 1991)","manualFormatting":"Harris-Wehling and Morris (1991)","plainTextFormattedCitation":"(Harris-Wehling &amp; Morris, 1991)","previouslyFormattedCitation":"(Harris-Wehling &amp; Morris, 1991)"},"properties":{"noteIndex":0},"schema":"https://github.com/citation-style-language/schema/raw/master/csl-citation.json"}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Harris-Wehling and Morris (1991)</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service research in healthcare may progress toward the health of the citizenry. Health service research </w:t>
      </w:r>
      <w:r w:rsidR="00F42435" w:rsidRPr="005459E6">
        <w:rPr>
          <w:rFonts w:ascii="Times New Roman" w:hAnsi="Times New Roman" w:cs="Times New Roman"/>
        </w:rPr>
        <w:t>is</w:t>
      </w:r>
      <w:r w:rsidR="00B42ABB" w:rsidRPr="005459E6">
        <w:rPr>
          <w:rFonts w:ascii="Times New Roman" w:hAnsi="Times New Roman" w:cs="Times New Roman"/>
        </w:rPr>
        <w:t xml:space="preserve"> an interdisciplinary field consulting but not limited to basic and applied research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{"citationItems":[{"id":"ITEM-1","itemData":{"author":[{"dropping-particle":"","family":"Steinwachs","given":"Donald M","non-dropping-particle":"","parse-names":false,"suffix":""},{"dropping-particle":"","family":"Hughes","given":"Ronda G","non-dropping-particle":"","parse-names":false,"suffix":""}],"container-title":"Patient safety and quality: an evidence-based handbook for nurses","id":"ITEM-1","issued":{"date-parts":[["2008"]]},"publisher":"Agency for Healthcare Research and Quality (US)","title":"Health services research: scope and significance","type":"article-journal"},"uris":["http://www.mendeley.com/documents/?uuid=507de6e7-0785-485f-ae64-f911120ce861"]}],"mendeley":{"formattedCitation":"(Steinwachs &amp; Hughes, 2008)","plainTextFormattedCitation":"(Steinwachs &amp; Hughes, 2008)","previouslyFormattedCitation":"(Steinwachs &amp; Hughes, 2008)"},"properties":{"noteIndex":0},"schema":"https://github.com/citation-style-language/schema/raw/master/csl-citation.json"}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(Steinwachs &amp; Hughes, 2008)</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that knowledge can be applied to improve the quality of healthcare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{"citationItems":[{"id":"ITEM-1","itemData":{"ISBN":"0674385764","author":[{"dropping-particle":"","family":"Ginzberg","given":"Eli","non-dropping-particle":"","parse-names":false,"suffix":""}],"id":"ITEM-1","issued":{"date-parts":[["1993"]]},"publisher":"Harvard University Press","title":"Health services research: key to health policy","type":"book"},"uris":["http://www.mendeley.com/documents/?uuid=f25ef33b-332a-412d-a839-d589a3e107ec"]}],"mendeley":{"formattedCitation":"(Ginzberg, 1993)","plainTextFormattedCitation":"(Ginzberg, 1993)","previouslyFormattedCitation":"(Ginzberg, 1993)"},"properties":{"noteIndex":0},"schema":"https://github.com/citation-style-language/schema/raw/master/csl-citation.json"}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(Ginzberg, 1993)</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While healthcare evolves, the influence of organizational changes on access to quality can be investigated by services research.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{"citationItems":[{"id":"ITEM-1","itemData":{"author":[{"dropping-particle":"","family":"Thaul","given":"Susan","non-dropping-particle":"","parse-names":false,"suffix":""},{"dropping-particle":"","family":"Lohr","given":"Kathleen N","non-dropping-particle":"","parse-names":false,"suffix":""},{"dropping-particle":"","family":"Tranquada","given":"Robert E","non-dropping-particle":"","parse-names":false,"suffix":""}],"id":"ITEM-1","issued":{"date-parts":[["1994"]]},"publisher":"National Academies Press (US)","title":"Health services research: Opportunities for an expanding field of inquiry","type":"article-journal"},"uris":["http://www.mendeley.com/documents/?uuid=9b5bc628-44ca-4d77-888f-19a1a8814dfc"]}],"mendeley":{"formattedCitation":"(Thaul et al., 1994)","manualFormatting":"Thaul et al. (1994)","plainTextFormattedCitation":"(Thaul et al., 1994)","previouslyFormattedCitation":"(Thaul et al., 1994)"},"properties":{"noteIndex":0},"schema":"https://github.com/citation-style-language/schema/raw/master/csl-citation.json"}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Thaul et al. (1994)</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had earlier confirmed that new diagnostic and treatment technologies are implemented based on Service research in health.</w:t>
      </w:r>
    </w:p>
    <w:p w14:paraId="66667516" w14:textId="77777777" w:rsidR="00E2702D" w:rsidRPr="005459E6" w:rsidRDefault="00E2702D" w:rsidP="00B42ABB">
      <w:pPr>
        <w:spacing w:line="360" w:lineRule="auto"/>
        <w:jc w:val="both"/>
        <w:rPr>
          <w:rFonts w:ascii="Times New Roman" w:hAnsi="Times New Roman" w:cs="Times New Roman"/>
        </w:rPr>
      </w:pPr>
    </w:p>
    <w:p w14:paraId="79C82D2B"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15" w:name="_Toc104746478"/>
      <w:bookmarkStart w:id="16" w:name="_Toc104827759"/>
      <w:bookmarkStart w:id="17" w:name="_Toc107248269"/>
      <w:r w:rsidRPr="005459E6">
        <w:rPr>
          <w:rFonts w:ascii="Times New Roman" w:hAnsi="Times New Roman" w:cs="Times New Roman"/>
          <w:color w:val="auto"/>
          <w:sz w:val="22"/>
          <w:szCs w:val="22"/>
        </w:rPr>
        <w:t>Service Research in Healthcare</w:t>
      </w:r>
      <w:bookmarkEnd w:id="15"/>
      <w:bookmarkEnd w:id="16"/>
      <w:bookmarkEnd w:id="17"/>
    </w:p>
    <w:bookmarkEnd w:id="14"/>
    <w:p w14:paraId="0F79BB8B"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Early services research on healthcare was limited to clinicians, economists, and other social scientists who developed an interest in the field. However, now a day, health services research encompasses a vast range of fields, including clinical sciences, economics, psychology, sociology, and statistics.  Other disciplines that contribute to the field include such disparate areas as decision theory, engineering, ethics, finance, marketing, medical informatics, &amp; operations research. Thus, Service research in healthcare with a focus on psychological health identifies the importance, current state and probable deterioration of a person’s </w:t>
      </w:r>
      <w:r w:rsidRPr="005459E6">
        <w:rPr>
          <w:rFonts w:ascii="Times New Roman" w:hAnsi="Times New Roman" w:cs="Times New Roman"/>
        </w:rPr>
        <w:lastRenderedPageBreak/>
        <w:t>well-being. It addresses the associated issues with Psychosomatic health with the help of AI and IoMT technologies and offers an extension to provide greater access to the stakeholders.</w:t>
      </w:r>
    </w:p>
    <w:p w14:paraId="4C1C6CC8"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Psychotherapy can help an individual work better, improve well-being, and recover by managing disturbing symptoms. To attain a healthy mental state, alleviating automatic thoughts by decreasing depressive moods can help foster adaptive behavior and positive emotions. Such treatments have been gaining attention recently for their effectiveness in improving psychological issues, such as depression and anxiety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{"citationItems":[{"id":"ITEM-1","itemData":{"DOI":"10.1177/1755738012471029","ISSN":"1755-7380","abstract":"Cognitive behavioural therapy (CBT) explores the links between thoughts, emotions and behaviour. It is a directive, time-limited, structured approach used to treat a variety of mental health disorders. It aims to alleviate distress by helping patients to develop more adaptive cognitions and behaviours. It is the most widely researched and empirically supported psychotherapeutic method. This strong evidence base is reflected in clinical guidelines, which recommend it as a treatment for many common mental health disorders.","author":[{"dropping-particle":"","family":"Fenn","given":"Kristina","non-dropping-particle":"","parse-names":false,"suffix":""},{"dropping-particle":"","family":"Byrne","given":"Majella","non-dropping-particle":"","parse-names":false,"suffix":""}],"container-title":"InnovAiT: Education and inspiration for general practice","id":"ITEM-1","issue":"9","issued":{"date-parts":[["2013"]]},"page":"579-585","title":"The key principles of cognitive behavioural therapy","type":"article-journal","volume":"6"},"uris":["http://www.mendeley.com/documents/?uuid=55439cc3-6433-40f7-9363-d26ef09e9841"]}],"mendeley":{"formattedCitation":"(Fenn &amp; Byrne, 2013)","plainTextFormattedCitation":"(Fenn &amp; Byrne, 2013)","previouslyFormattedCitation":"(Fenn &amp; Byrne,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(Fenn &amp; Byrne, 2013)</w:t>
      </w:r>
      <w:r w:rsidRPr="005459E6">
        <w:rPr>
          <w:rFonts w:ascii="Times New Roman" w:hAnsi="Times New Roman" w:cs="Times New Roman"/>
        </w:rPr>
        <w:fldChar w:fldCharType="end"/>
      </w:r>
      <w:r w:rsidRPr="005459E6">
        <w:rPr>
          <w:rFonts w:ascii="Times New Roman" w:hAnsi="Times New Roman" w:cs="Times New Roman"/>
        </w:rPr>
        <w:t xml:space="preserve">. Despite the field's methodological complexity, psychotherapy research has progressed in the recent decade. However, empirical research has only had a minor impact on training and clinical practice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{"citationItems":[{"id":"ITEM-1","itemData":{"ISSN":"1055050X","PMID":"10523428","abstract":"The last decade has seen progress in psychotherapy research, despite the methodological complexity in this field. However, empirical research has influenced training and clinical practice to only a limited extent. This article is a brief evaluation of trends and some findings in modern psychotherapy research that may influence professional psychotherapy training and practice.","author":[{"dropping-particle":"","family":"Hoglend","given":"P.","non-dropping-particle":"","parse-names":false,"suffix":""}],"container-title":"Journal of Psychotherapy Practice and Research","id":"ITEM-1","issue":"4","issued":{"date-parts":[["1999"]]},"page":"257-263","title":"Psychotherapy research: New findings and implications for training and practice","type":"article-journal","volume":"8"},"uris":["http://www.mendeley.com/documents/?uuid=e0b56921-a9df-4283-9e28-55398c18c688"]}],"mendeley":{"formattedCitation":"(Hoglend, 1999)","plainTextFormattedCitation":"(Hoglend, 1999)","previouslyFormattedCitation":"(Hoglend, 1999)"},"properties":{"noteIndex":0},"schema":"https://github.com/citation-style-language/schema/raw/master/csl-citation.json"}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(Hoglend, 1999)</w:t>
      </w:r>
      <w:r w:rsidRPr="005459E6">
        <w:rPr>
          <w:rFonts w:ascii="Times New Roman" w:hAnsi="Times New Roman" w:cs="Times New Roman"/>
        </w:rPr>
        <w:fldChar w:fldCharType="end"/>
      </w:r>
      <w:r w:rsidRPr="005459E6">
        <w:rPr>
          <w:rFonts w:ascii="Times New Roman" w:hAnsi="Times New Roman" w:cs="Times New Roman"/>
        </w:rPr>
        <w:t xml:space="preserve">.​​ Pursuant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{"citationItems":[{"id":"ITEM-1","itemData":{"author":[{"dropping-particle":"","family":"Clark","given":"Kait","non-dropping-particle":"","parse-names":false,"suffix":""}],"container-title":"UWE Bristol","id":"ITEM-1","issued":{"date-parts":[["2020"]]},"title":"Learning from the client: The challenges of psychotherapy research and the contribution of qualitative methodologies","type":"article-journal"},"uris":["http://www.mendeley.com/documents/?uuid=ac384bfe-2093-462d-b656-96ad20d31c22"]}],"mendeley":{"formattedCitation":"(Clark, 2020)","manualFormatting":"Clark (2020)","plainTextFormattedCitation":"(Clark, 2020)","previouslyFormattedCitation":"(Clark,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Clark (2020)</w:t>
      </w:r>
      <w:r w:rsidRPr="005459E6">
        <w:rPr>
          <w:rFonts w:ascii="Times New Roman" w:hAnsi="Times New Roman" w:cs="Times New Roman"/>
        </w:rPr>
        <w:fldChar w:fldCharType="end"/>
      </w:r>
      <w:r w:rsidRPr="005459E6">
        <w:rPr>
          <w:rFonts w:ascii="Times New Roman" w:hAnsi="Times New Roman" w:cs="Times New Roman"/>
        </w:rPr>
        <w:t xml:space="preserve">, the phenomenological experience of truth helps us see psychotherapy as real, but its actuality is determined by the individual's awareness. As of today, psychological health can be maintained using practices that are more focused on individuals. Such practices include psychotherapies that are administered to one person and take considerable time. Such healthcare considerations are far from reaching out to the masses, highlighting the need for further research and development. </w:t>
      </w:r>
    </w:p>
    <w:p w14:paraId="798611B7" w14:textId="516D0C6B"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clinical utility of the treatments, that is, what happens when they are exported from controlled environments (mainly university settings) into the field, has not been thoroughly investigated. At the 8-month follow-up, almost 70% of patients who participated in comprehensive psychotherapy procedures, only 20% of primary physicians' usual care patients, were deemed recovered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{"citationItems":[{"id":"ITEM-1","itemData":{"ISSN":"1055050X","PMID":"10523428","abstract":"The last decade has seen progress in psychotherapy research, despite the methodological complexity in this field. However, empirical research has influenced training and clinical practice to only a limited extent. This article is a brief evaluation of trends and some findings in modern psychotherapy research that may influence professional psychotherapy training and practice.","author":[{"dropping-particle":"","family":"Hoglend","given":"P.","non-dropping-particle":"","parse-names":false,"suffix":""}],"container-title":"Journal of Psychotherapy Practice and Research","id":"ITEM-1","issue":"4","issued":{"date-parts":[["1999"]]},"page":"257-263","title":"Psychotherapy research: New findings and implications for training and practice","type":"article-journal","volume":"8"},"uris":["http://www.mendeley.com/documents/?uuid=e0b56921-a9df-4283-9e28-55398c18c688"]}],"mendeley":{"formattedCitation":"(Hoglend, 1999)","plainTextFormattedCitation":"(Hoglend, 1999)","previouslyFormattedCitation":"(Hoglend, 1999)"},"properties":{"noteIndex":0},"schema":"https://github.com/citation-style-language/schema/raw/master/csl-citation.json"}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(Hoglend, 1999)</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{"citationItems":[{"id":"ITEM-1","itemData":{"DOI":"10.1007/s13311-017-0549-4","ISSN":"18787479","PMID":"28653278","abstract":"Evidence-based psychotherapies have been shown to be efficacious and cost-effective for a wide range of psychiatric conditions. Psychiatric disorders are prevalent worldwide and associated with high rates of disease burden, as well as elevated rates of co-occurrence with medical disorders, which has led to an increased focus on the need for evidence-based psychotherapies. This chapter focuses on the current state of evidence-based psychotherapy. The strengths and challenges of evidence-based psychotherapy are discussed, as well as misperceptions regarding the approach that may discourage and limit its use. In addition, we review various factors associated with the optimal implementation and application of evidence-based psychotherapies. Lastly, suggestions are provided on ways to advance the evidence-based psychotherapy movement to become truly integrated into practice.","author":[{"dropping-particle":"","family":"Cook","given":"Sarah C.","non-dropping-particle":"","parse-names":false,"suffix":""},{"dropping-particle":"","family":"Schwartz","given":"Ann C.","non-dropping-particle":"","parse-names":false,"suffix":""},{"dropping-particle":"","family":"Kaslow","given":"Nadine J.","non-dropping-particle":"","parse-names":false,"suffix":""}],"container-title":"Neurotherapeutics","id":"ITEM-1","issue":"3","issued":{"date-parts":[["2017"]]},"page":"537-545","publisher":"Neurotherapeutics","title":"Evidence-Based Psychotherapy: Advantages and Challenges","type":"article-journal","volume":"14"},"uris":["http://www.mendeley.com/documents/?uuid=5d9e8278-3c5a-42f9-bd30-5dc983ba763e"]}],"mendeley":{"formattedCitation":"(Cook et al., 2017)","manualFormatting":"Cook et al. (2017)","plainTextFormattedCitation":"(Cook et al., 2017)","previouslyFormattedCitation":"(Cook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Cook et al. (2017)</w:t>
      </w:r>
      <w:r w:rsidRPr="005459E6">
        <w:rPr>
          <w:rFonts w:ascii="Times New Roman" w:hAnsi="Times New Roman" w:cs="Times New Roman"/>
        </w:rPr>
        <w:fldChar w:fldCharType="end"/>
      </w:r>
      <w:r w:rsidRPr="005459E6">
        <w:rPr>
          <w:rFonts w:ascii="Times New Roman" w:hAnsi="Times New Roman" w:cs="Times New Roman"/>
        </w:rPr>
        <w:t xml:space="preserve"> think that even though there are several advantages of using evidence-based psychotherapy, its generalizability has been called into question.  As psychotherapy deals with both cognitive and behavioral functions, it usually takes longer to go through this type of goal-oriented setting of therapy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{"citationItems":[{"id":"ITEM-1","itemData":{"abstract":"Uniting separate research streams on situational and dispositional goals, we investi gated goal setting and goal orientation together in a complex business simulation. A specific learning goal led to higher performance than did either a specific performance goal or a vague goal. Goal orientation predicted performance when the goal was vague. The performance goal attenuated correlations between goal orientation and perfor mance. The correlation between a learning goal orientation and performance was significant when a learning goal was set. Self-efficacy and information search medi ated","author":[{"dropping-particle":"","family":"Seijts","given":"Gerard H","non-dropping-particle":"","parse-names":false,"suffix":""},{"dropping-particle":"","family":"Latham","given":"Gary P","non-dropping-particle":"","parse-names":false,"suffix":""},{"dropping-particle":"","family":"Tasa","given":"Kevin","non-dropping-particle":"","parse-names":false,"suffix":""},{"dropping-particle":"","family":"Latham","given":"Brandon W","non-dropping-particle":"","parse-names":false,"suffix":""}],"container-title":"The Academy of Management Journal","id":"ITEM-1","issue":"2","issued":{"date-parts":[["2016"]]},"page":"227-239","title":"Goal Setting and Goal Orientation : An Integration of Two Different Yet Related Literatures","type":"article-journal","volume":"47"},"uris":["http://www.mendeley.com/documents/?uuid=53b3c8cf-6235-40df-badf-b26957915cc3"]},{"id":"ITEM-2","itemData":{"DOI":"10.1037/cpb0000094.The","author":[{"dropping-particle":"","family":"Justyna","given":"Widomska","non-dropping-particle":"","parse-names":false,"suffix":""}],"container-title":"Physiology &amp; behavior","id":"ITEM-2","issue":"5","issued":{"date-parts":[["2017"]]},"page":"139-148","title":"The Neuroscience of Goals and Behavior Change Elliot","type":"article-journal","volume":"176"},"uris":["http://www.mendeley.com/documents/?uuid=411ebff6-9def-4079-b8b1-dc49569817c3"]}],"mendeley":{"formattedCitation":"(Justyna, 2017; Seijts et al., 2016)","plainTextFormattedCitation":"(Justyna, 2017; Seijts et al., 2016)","previouslyFormattedCitation":"(Justyna, 2017; Seijts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(Justyna, 2017; Seijts et al., 2016)</w:t>
      </w:r>
      <w:r w:rsidRPr="005459E6">
        <w:rPr>
          <w:rFonts w:ascii="Times New Roman" w:hAnsi="Times New Roman" w:cs="Times New Roman"/>
        </w:rPr>
        <w:fldChar w:fldCharType="end"/>
      </w:r>
      <w:r w:rsidRPr="005459E6">
        <w:rPr>
          <w:rFonts w:ascii="Times New Roman" w:hAnsi="Times New Roman" w:cs="Times New Roman"/>
        </w:rPr>
        <w:t xml:space="preserve">. Most of them are offered in a 1:1 setup and with multiple sessions that usually take a longer time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13642537.2016.1261651","ISSN":"1364-2537","author":[{"dropping-particle":"","family":"Loewenthal","given":"Del","non-dropping-particle":"","parse-names":false,"suffix":""},{"dropping-particle":"","family":"Avdi","given":"Evrinomy","non-dropping-particle":"","parse-names":false,"suffix":""}],"container-title":"European Journal of Psychotherapy &amp; Counselling","id":"ITEM-1","issued":{"date-parts":[["2016"]]},"page":"1-5","publisher":"Routledge","title":"Is research in psychotherapy and counselling a waste of time ?","type":"article-journal","volume":"2537"},"uris":["http://www.mendeley.com/documents/?uuid=5e72ef23-ffd5-4a9c-9368-d6eb0ca73eb1"]}],"mendeley":{"formattedCitation":"(Loewenthal &amp; Avdi, 2016)","plainTextFormattedCitation":"(Loewenthal &amp; Avdi, 2016)","previouslyFormattedCitation":"(Loewenthal &amp; Avdi,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(Loewenthal &amp; Avdi, 2016)</w:t>
      </w:r>
      <w:r w:rsidRPr="005459E6">
        <w:rPr>
          <w:rFonts w:ascii="Times New Roman" w:hAnsi="Times New Roman" w:cs="Times New Roman"/>
        </w:rPr>
        <w:fldChar w:fldCharType="end"/>
      </w:r>
      <w:r w:rsidRPr="005459E6">
        <w:rPr>
          <w:rFonts w:ascii="Times New Roman" w:hAnsi="Times New Roman" w:cs="Times New Roman"/>
        </w:rPr>
        <w:t xml:space="preserve">. Although many countries have implemented effective protocols, people still have limited reachability as far as psychotherapies are concerned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{"citationItems":[{"id":"ITEM-1","itemData":{"DOI":"10.1037/ccp0000232","ISSN":"1939-2117 (Electronic)","PMID":"28650193","abstract":"OBJECTIVE: Internet-delivered cognitive-behavioral therapy (ICBT) has been  established as both efficacious and effective in reducing symptoms of social anxiety. However, most research has been conducted in controlled settings, and little is known regarding the utility of such programs in an open-access format. The present study examined the use, adherence, and effectiveness of Joyable, an open-access, Internet-delivered, coach-supported CBT-based intervention for social anxiety. METHOD: Participants were 3,384 registered users (Mage [SD] = 29.82 [7.89]; 54% male) that created an account between 2014 and 2016. Characteristics of use, factors related to attrition and adherence, and within-group outcomes were examined. The primary outcome measure was the Social Phobia Inventory. RESULTS: On average, participants remained in the program for 81.02 days (SD = 60.50), during which they completed 12.14 activities (SD = 11.09) and 1.53 exposures (SD = 3.18). About half (57%) had contact with a coach. Full adherence to the program was achieved by 16% of participants, a rate higher than previously published open-access studies of ICBT. Social anxiety symptoms were significantly reduced for participants that engaged in the program, with medium within-group effects from baseline through the cognitive restructuring module (d = 0.63-0.76) and large effects from baseline through the exposure module (d = 1.40-1.83). Response rates were high (72%). Exposures and coach contact were significant predictors of retention and outcome. CONCLUSIONS: This open-access online CBT-based program is effective in reducing social anxiety symptoms and has the potential to extend Internet-based mental health services to socially anxious individuals unwilling or unable to seek face-to-face evidence-based therapy. (PsycINFO Database Record","author":[{"dropping-particle":"","family":"Dryman","given":"M Taylor","non-dropping-particle":"","parse-names":false,"suffix":""},{"dropping-particle":"","family":"McTeague","given":"Lisa M","non-dropping-particle":"","parse-names":false,"suffix":""},{"dropping-particle":"","family":"Olino","given":"Thomas M","non-dropping-particle":"","parse-names":false,"suffix":""},{"dropping-particle":"","family":"Heimberg","given":"Richard G","non-dropping-particle":"","parse-names":false,"suffix":""}],"container-title":"Journal of consulting and clinical psychology","id":"ITEM-1","issue":"10","issued":{"date-parts":[["2017","10"]]},"language":"eng","page":"988-999","publisher-place":"United States","title":"Evaluation of an open-access CBT-based Internet program for social anxiety: Patterns  of use, retention, and outcomes.","type":"article-journal","volume":"85"},"uris":["http://www.mendeley.com/documents/?uuid=faccf4be-341b-4973-9140-a775aca2095d"]}],"mendeley":{"formattedCitation":"(Dryman et al., 2017)","plainTextFormattedCitation":"(Dryman et al., 2017)","previouslyFormattedCitation":"(Dryman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(Dryman et al., 2017)</w:t>
      </w:r>
      <w:r w:rsidRPr="005459E6">
        <w:rPr>
          <w:rFonts w:ascii="Times New Roman" w:hAnsi="Times New Roman" w:cs="Times New Roman"/>
        </w:rPr>
        <w:fldChar w:fldCharType="end"/>
      </w:r>
      <w:r w:rsidRPr="005459E6">
        <w:rPr>
          <w:rFonts w:ascii="Times New Roman" w:hAnsi="Times New Roman" w:cs="Times New Roman"/>
        </w:rPr>
        <w:t xml:space="preserve">. Further,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{"citationItems":[{"id":"ITEM-1","itemData":{"DOI":"10.1136/ebmh.11.1.5","abstract":"In 1976, psychiatrist Aaron Beck posed this question about a new form of therapy that emphasised changing patients’ dysfunctional cognitions: “Can a fledgling psychotherapy challenge the giants in the field—psychoanalysis and behavior therapy?” (p 333).1 Since that time, cognitive-behavioural therapy (CBT) has emerged as one of the most dominant modes of psychological treatment. In this article, I briefly discuss the factors responsible for the current popularity of CBT, review some of the criticisms that have emerged about the treatment, and describe recent innovative work that may end up changing the nature of CBT in the years to come.Cognitive-behavioural therapy has become increasingly popular with clinicians and the general public alike over recent years. Surveys of therapists indicate that CBT is fast becoming the majority orientation of practicing psychologists.2 Partly because of its commonsense and clear principles, self-help books based on CBT approaches have also come to dominate the market.3 Even media articles frequently extol the virtues of this form of psychotherapy. A recent Washington Post article proclaimed: “For better or worse, cognitive therapy is fast becoming what people mean when they say they are ‘getting therapy’” (p HE01).4What accounts for CBT’s sustained and growing popularity? The short-term, structured nature of the treatment makes it particularly amenable to empirical investigation, and it has accumulated an impressive research base. Butler and colleagues5 report that there are now over 325 clinical trials of CBT for various clinical populations, including mood disorders, anxiety disorders, marital distress, anger, childhood disorders and chronic pain. In an examination of 16 separate meta-analyses of CBT studies, they reported that the treatment produced large effect size improvements compared to control conditions for emotional disorders in adults and adolescents. Furthermore, results indicated that CBT was somewhat superior to antidepressants, and equal in efficacy …","author":[{"dropping-particle":"","family":"Gaudiano","given":"Brandon A","non-dropping-particle":"","parse-names":false,"suffix":""}],"container-title":"Evidence Based Mental Health","id":"ITEM-1","issue":"1","issued":{"date-parts":[["2008","2","1"]]},"page":"5 LP  - 7","title":"Cognitive-behavioural therapies: achievements and challenges","type":"article-journal","volume":"11"},"uris":["http://www.mendeley.com/documents/?uuid=279f47d1-6dad-4dba-ae63-1a0e6da339fa"]}],"mendeley":{"formattedCitation":"(Gaudiano, 2008)","manualFormatting":"Gaudiano (2008)","plainTextFormattedCitation":"(Gaudiano, 2008)","previouslyFormattedCitation":"(Gaudiano,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Gaudiano (2008)</w:t>
      </w:r>
      <w:r w:rsidRPr="005459E6">
        <w:rPr>
          <w:rFonts w:ascii="Times New Roman" w:hAnsi="Times New Roman" w:cs="Times New Roman"/>
        </w:rPr>
        <w:fldChar w:fldCharType="end"/>
      </w:r>
      <w:r w:rsidRPr="005459E6">
        <w:rPr>
          <w:rFonts w:ascii="Times New Roman" w:hAnsi="Times New Roman" w:cs="Times New Roman"/>
        </w:rPr>
        <w:t xml:space="preserve"> believes that apart from the time it may consume, many people may not be able to afford it. Considering our demanding lifestyle,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{"citationItems":[{"id":"ITEM-1","itemData":{"DOI":"10.1002/hec.2873","ISSN":"10579230","PMID":"23055446","abstract":"From a policy standpoint, the spread of health conditions in social networks is important to quantify, because it implies externalities and possible market failures in the consumption of health interventions. Recent studies conclude that happiness and depression may be highly contagious across social ties. The results may be biased, however, because of selection and common shocks. We provide unbiased estimates by using exogenous variation from college roommate assignments. Our findings are consistent with no significant overall contagion of mental health and no more than small contagion effects for specific mental health measures, with no evidence for happiness contagion and modest evidence for anxiety and depression contagion. The weakness of the contagion effects cannot be explained by avoidance of roommates with poor mental health or by generally low social contact among roommates. We also find that similarity of baseline mental health predicts the closeness of roommate relationships, which highlights the potential for selection biases in studies of peer effects that do not have a clearly exogenous source of variation. Overall, our results suggest that mental health contagion is lower, or at least more context specific, than implied by the recent studies in the medical literature. Copyright © 2012 John Wiley &amp; Sons, Ltd.","author":[{"dropping-particle":"","family":"Eisenberg","given":"Daniel","non-dropping-particle":"","parse-names":false,"suffix":""},{"dropping-particle":"","family":"Golberstein","given":"Ezra","non-dropping-particle":"","parse-names":false,"suffix":""},{"dropping-particle":"","family":"Whitlock","given":"Janis L.","non-dropping-particle":"","parse-names":false,"suffix":""},{"dropping-particle":"","family":"Downs","given":"Marilyn F.","non-dropping-particle":"","parse-names":false,"suffix":""}],"container-title":"Health Economics (United Kingdom)","id":"ITEM-1","issue":"8","issued":{"date-parts":[["2013"]]},"page":"965-986","title":"Social contagion of mental health: Evidence from college roommates","type":"article-journal","volume":"22"},"uris":["http://www.mendeley.com/documents/?uuid=0db2e412-c025-4a9a-83f2-ec58b8ce14fa"]}],"mendeley":{"formattedCitation":"(Eisenberg et al., 2013)","manualFormatting":"Eisenberg et al. (2013)","plainTextFormattedCitation":"(Eisenberg et al., 2013)","previouslyFormattedCitation":"(Eisenberg et al.,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Eisenberg et al. (2013)</w:t>
      </w:r>
      <w:r w:rsidRPr="005459E6">
        <w:rPr>
          <w:rFonts w:ascii="Times New Roman" w:hAnsi="Times New Roman" w:cs="Times New Roman"/>
        </w:rPr>
        <w:fldChar w:fldCharType="end"/>
      </w:r>
      <w:r w:rsidRPr="005459E6">
        <w:rPr>
          <w:rFonts w:ascii="Times New Roman" w:hAnsi="Times New Roman" w:cs="Times New Roman"/>
        </w:rPr>
        <w:t xml:space="preserve"> suggest that many more people may need the support of Psychotherapy to gain resilience. Health practitioners should devise different treatment approaches and promote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{"citationItems":[{"id":"ITEM-1","itemData":{"DOI":"10.1186/1472-6963-10-26","ISSN":"14726963","PMID":"20102609","abstract":"Background. A new evidence base is emerging, which focuses on well-being. This makes it possible for health services to orientate around promoting well-being as well as treating illness, and so to make a reality of the long-standing rhetoric that health is more than the absence of illness. The aim of this paper is to support the re-orientation of health services around promoting well-being. Mental health services are used as an example to illustrate the new knowledge skills which will be needed by health professionals. Discussion. New forms of evidence give a triangulated understanding about the promotion of well-being in mental health services. The academic discipline of positive psychology is developing evidence-based interventions to improve well-being. This complements the results emerging from synthesising narratives about recovery from mental illness, which provide ecologically valid insights into the processes by which people experiencing mental illness can develop a purposeful and meaningful life. The implications for health professionals are explored. In relation to working with individuals, more emphasis on the person's own goals and strengths will be needed, with integration of interventions which promote well-being into routine clinical practice. In addition, a more societally-focussed role for professionals is envisaged, in which a central part of the job is to influence local and national policies and practices that impact on well-being. Summary. If health services are to give primacy to increasing well-being, rather than to treating illness, then health workers need new approaches to working with individuals. For mental health services, this will involve the incorporation of emerging knowledge from recovery and from positive psychology into education and training for all mental health professionals, and changes to some long-established working practices. © 2010 Slade.","author":[{"dropping-particle":"","family":"Slade","given":"Mike","non-dropping-particle":"","parse-names":false,"suffix":""}],"container-title":"BMC Health Services Research","id":"ITEM-1","issued":{"date-parts":[["2010"]]},"title":"Mental illness and well-being: The central importance of positive psychology and recovery approaches","type":"article-journal","volume":"10"},"uris":["http://www.mendeley.com/documents/?uuid=06ad38fe-01bc-4edf-9747-3eac01975f3c"]}],"mendeley":{"formattedCitation":"(Slade, 2010)","plainTextFormattedCitation":"(Slade, 2010)","previouslyFormattedCitation":"(Slade,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(Slade, 2010)</w:t>
      </w:r>
      <w:r w:rsidRPr="005459E6">
        <w:rPr>
          <w:rFonts w:ascii="Times New Roman" w:hAnsi="Times New Roman" w:cs="Times New Roman"/>
        </w:rPr>
        <w:fldChar w:fldCharType="end"/>
      </w:r>
      <w:r w:rsidRPr="005459E6">
        <w:rPr>
          <w:rFonts w:ascii="Times New Roman" w:hAnsi="Times New Roman" w:cs="Times New Roman"/>
        </w:rPr>
        <w:t>. Keeping that in mind, the presented research looks forward to augmenting – by expediting and expanding – the approach toward Psychotherapy. To achieve this, it makes use of the convergence of technologies and interventions.</w:t>
      </w:r>
    </w:p>
    <w:p w14:paraId="0597648F" w14:textId="77777777" w:rsidR="00895B54" w:rsidRPr="005459E6" w:rsidRDefault="00895B54" w:rsidP="00B42ABB">
      <w:pPr>
        <w:spacing w:line="360" w:lineRule="auto"/>
        <w:jc w:val="both"/>
        <w:rPr>
          <w:rFonts w:ascii="Times New Roman" w:hAnsi="Times New Roman" w:cs="Times New Roman"/>
        </w:rPr>
      </w:pPr>
    </w:p>
    <w:p w14:paraId="4A20BF08" w14:textId="77777777" w:rsidR="00895B54" w:rsidRPr="005459E6" w:rsidRDefault="00895B54" w:rsidP="00B42ABB">
      <w:pPr>
        <w:spacing w:line="360" w:lineRule="auto"/>
        <w:jc w:val="both"/>
        <w:rPr>
          <w:rFonts w:ascii="Times New Roman" w:hAnsi="Times New Roman" w:cs="Times New Roman"/>
        </w:rPr>
      </w:pPr>
    </w:p>
    <w:p w14:paraId="27628A40"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18" w:name="_Toc88315245"/>
      <w:bookmarkStart w:id="19" w:name="_Toc104746479"/>
      <w:bookmarkStart w:id="20" w:name="_Toc104827760"/>
      <w:bookmarkStart w:id="21" w:name="_Toc107248270"/>
      <w:r w:rsidRPr="005459E6">
        <w:rPr>
          <w:rFonts w:ascii="Times New Roman" w:hAnsi="Times New Roman" w:cs="Times New Roman"/>
          <w:color w:val="auto"/>
          <w:sz w:val="22"/>
          <w:szCs w:val="22"/>
        </w:rPr>
        <w:lastRenderedPageBreak/>
        <w:t>Psychosomatic Health</w:t>
      </w:r>
      <w:bookmarkEnd w:id="18"/>
      <w:bookmarkEnd w:id="19"/>
      <w:bookmarkEnd w:id="20"/>
      <w:bookmarkEnd w:id="21"/>
    </w:p>
    <w:p w14:paraId="0A5E7AF7"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We live in turbulent times where personal relationships, workplace pressure, and financial problems can act as a common source of stress – known as 'stressors'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{"citationItems":[{"id":"ITEM-1","itemData":{"DOI":"10.1146/annurev.clinpsy.1.102803.144141","ISSN":"1548-5943","PMID":"17716101","abstract":"Stressors have a major influence upon mood, our sense of well-being, behavior, and health. Acute stress responses in young, healthy individuals may be adaptive and typically do not impose a health burden. However, if the threat is unremitting, particularly in older or unhealthy individuals, the long-term effects of stressors can damage health. The relationship between psychosocial stressors and disease is affected by the nature, number, and persistence of the stressors as well as by the individual's biological vulnerability (i.e., genetics, constitutional factors), psychosocial resources, and learned patterns of coping. Psychosocial interventions have proven useful for treating stress-related disorders and may influence the course of chronic diseases.","author":[{"dropping-particle":"","family":"Schneiderman","given":"Neil","non-dropping-particle":"","parse-names":false,"suffix":""},{"dropping-particle":"","family":"Ironson","given":"Gail","non-dropping-particle":"","parse-names":false,"suffix":""},{"dropping-particle":"","family":"Siegel","given":"Scott D.","non-dropping-particle":"","parse-names":false,"suffix":""}],"container-title":"Annual Review of Clinical Psychology","id":"ITEM-1","issue":"1","issued":{"date-parts":[["2005"]]},"page":"607-628","title":"Stress and Health: Psychological, Behavioral, and Biological Determinants","type":"article-journal","volume":"1"},"uris":["http://www.mendeley.com/documents/?uuid=3254cd42-85c7-4cf6-b56c-f795bee489ef"]}],"mendeley":{"formattedCitation":"(Schneiderman et al., 2005b)","manualFormatting":"(Schneiderman et al., 2005)","plainTextFormattedCitation":"(Schneiderman et al., 2005b)","previouslyFormattedCitation":"(Schneiderman et al., 2005b)"},"properties":{"noteIndex":0},"schema":"https://github.com/citation-style-language/schema/raw/master/csl-citation.json"}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(Schneiderman et al., 2005)</w:t>
      </w:r>
      <w:r w:rsidRPr="005459E6">
        <w:rPr>
          <w:rFonts w:ascii="Times New Roman" w:hAnsi="Times New Roman" w:cs="Times New Roman"/>
        </w:rPr>
        <w:fldChar w:fldCharType="end"/>
      </w:r>
      <w:r w:rsidRPr="005459E6">
        <w:rPr>
          <w:rFonts w:ascii="Times New Roman" w:hAnsi="Times New Roman" w:cs="Times New Roman"/>
        </w:rPr>
        <w:t xml:space="preserve">. Instead of discharging this stress, we tend to hold it where its effects become cumulative. Such conditions may lead to severe health problems leading to anxiety and even depression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{"citationItems":[{"id":"ITEM-1","itemData":{"DOI":"10.4155/fso.15.21","ISSN":"20565623","author":[{"dropping-particle":"","family":"Mariotti","given":"Agnese","non-dropping-particle":"","parse-names":false,"suffix":""}],"container-title":"Future Science OA","id":"ITEM-1","issue":"3","issued":{"date-parts":[["2015"]]},"title":"The effects of chronic stress on health: New insights into the molecular mechanisms of brain-body communication","type":"article-journal","volume":"1"},"uris":["http://www.mendeley.com/documents/?uuid=5bf7a262-e5ad-4d0b-8273-5bbaa3aa6294"]}],"mendeley":{"formattedCitation":"(Mariotti, 2015)","plainTextFormattedCitation":"(Mariotti, 2015)","previouslyFormattedCitation":"(Mariotti,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(Mariotti, 2015)</w:t>
      </w:r>
      <w:r w:rsidRPr="005459E6">
        <w:rPr>
          <w:rFonts w:ascii="Times New Roman" w:hAnsi="Times New Roman" w:cs="Times New Roman"/>
        </w:rPr>
        <w:fldChar w:fldCharType="end"/>
      </w:r>
      <w:r w:rsidRPr="005459E6">
        <w:rPr>
          <w:rFonts w:ascii="Times New Roman" w:hAnsi="Times New Roman" w:cs="Times New Roman"/>
        </w:rPr>
        <w:t xml:space="preserve">. Research on mental health is disproportionate considering the number of people who experience it and this imbalance is even striking for low and middle-income countries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{"citationItems":[{"id":"ITEM-1","itemData":{"DOI":"10.1590/2237-6089-2014-1000","ISBN":"9789241506021","ISSN":"2237-6089","abstract":"This article discusses the role of research in the prevention of mental disorders. Research on mental health is disproportionate to the burden of mental disorder, this imbalance being even deeper for low and middle-income countries. The situation is much more disappointing in respect of research relating to mental disorder prevention. Many significant studies have further brought to the fore that, at any given time, one in five young people will present one or more mental, emotional, or behavioral (MEB) disorders. Mental health professionals can reduce the burden of MEB disorders by reducing risk factors, increasing protective factors, and undertaking early interventions in new cases of MEB disorders. Research is the only means that can pave the way for us to acquire new knowledge and refine old knowledge thereof. It would, in turn, strengthen information systems, evidence, and research, and could be instrumental for MEB prevention. Any country is in a vulnerable situation in terms of its health care needs for MEB disorders in children and adolescents. Mental health is everybody’s business; it is an issue of shared responsibility. However, mental health professionals must play a leading role through MEB disorder research. (PsycINFO Database Record (c) 2014 APA, all rights reserved)","author":[{"dropping-particle":"","family":"Ahmed","given":"Helal Uddin","non-dropping-particle":"","parse-names":false,"suffix":""},{"dropping-particle":"","family":"Mari","given":"Jair de Jesus","non-dropping-particle":"","parse-names":false,"suffix":""}],"container-title":"Trends in Psychiatry and Psychotherapy","id":"ITEM-1","issue":"1","issued":{"date-parts":[["2014"]]},"page":"1-2","title":"The role of research in the prevention of mental disorders","type":"article-journal","volume":"36"},"uris":["http://www.mendeley.com/documents/?uuid=a8c55ad6-ec84-4d00-80b2-b7bc75ade694"]}],"mendeley":{"formattedCitation":"(H. U. Ahmed &amp; Mari, 2014)","manualFormatting":"(Ahmed &amp; Mari, 2014)","plainTextFormattedCitation":"(H. U. Ahmed &amp; Mari, 2014)","previouslyFormattedCitation":"(H. U. Ahmed &amp; Mari,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(Ahmed &amp; Mari, 2014)</w:t>
      </w:r>
      <w:r w:rsidRPr="005459E6">
        <w:rPr>
          <w:rFonts w:ascii="Times New Roman" w:hAnsi="Times New Roman" w:cs="Times New Roman"/>
        </w:rPr>
        <w:fldChar w:fldCharType="end"/>
      </w:r>
      <w:r w:rsidRPr="005459E6">
        <w:rPr>
          <w:rFonts w:ascii="Times New Roman" w:hAnsi="Times New Roman" w:cs="Times New Roman"/>
        </w:rPr>
        <w:t>.</w:t>
      </w:r>
    </w:p>
    <w:p w14:paraId="65A014AB" w14:textId="01393CE4"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Psychosomatic health reflects both mind and body. Our mental state can affect our physical state at any given time. Some physical illnesses and diseases are particularly prone to be made worse by mental factors such as stress and anxiety. Therefore, it is necessary to pay attention not only to physical health but also to mental health. The balance of both can result in the well-being of an individual’s health.</w:t>
      </w:r>
    </w:p>
    <w:p w14:paraId="4945D423" w14:textId="483C8338"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prevalence of mental illnesses is increasing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{"citationItems":[{"id":"ITEM-1","itemData":{"ISSN":"2167-7026","author":[{"dropping-particle":"","family":"Twenge","given":"Jean M","non-dropping-particle":"","parse-names":false,"suffix":""},{"dropping-particle":"","family":"Joiner","given":"Thomas E","non-dropping-particle":"","parse-names":false,"suffix":""},{"dropping-particle":"","family":"Rogers","given":"Megan L","non-dropping-particle":"","parse-names":false,"suffix":""},{"dropping-particle":"","family":"Martin","given":"Gabrielle N","non-dropping-particle":"","parse-names":false,"suffix":""}],"container-title":"Clinical Psychological Science","id":"ITEM-1","issue":"1","issued":{"date-parts":[["2018"]]},"page":"3-17","publisher":"Sage Publications Sage CA: Los Angeles, CA","title":"Increases in depressive symptoms, suicide-related outcomes, and suicide rates among US adolescents after 2010 and links to increased new media screen time","type":"article-journal","volume":"6"},"uris":["http://www.mendeley.com/documents/?uuid=9bfc8dbd-cb1d-4335-934d-da2ef2469b01"]}],"mendeley":{"formattedCitation":"(Twenge et al., 2018)","plainTextFormattedCitation":"(Twenge et al., 2018)","previouslyFormattedCitation":"(Twenge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(Twenge et al., 2018)</w:t>
      </w:r>
      <w:r w:rsidRPr="005459E6">
        <w:rPr>
          <w:rFonts w:ascii="Times New Roman" w:hAnsi="Times New Roman" w:cs="Times New Roman"/>
        </w:rPr>
        <w:fldChar w:fldCharType="end"/>
      </w:r>
      <w:r w:rsidRPr="005459E6">
        <w:rPr>
          <w:rFonts w:ascii="Times New Roman" w:hAnsi="Times New Roman" w:cs="Times New Roman"/>
        </w:rPr>
        <w:t xml:space="preserve">, with a strong correlation between physical and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{"citationItems":[{"id":"ITEM-1","itemData":{"ISSN":"0002-953X","author":[{"dropping-particle":"","family":"Surtees","given":"Paul G","non-dropping-particle":"","parse-names":false,"suffix":""},{"dropping-particle":"","family":"Wainwright","given":"Nicholas W J","non-dropping-particle":"","parse-names":false,"suffix":""},{"dropping-particle":"","family":"Luben","given":"Robert N","non-dropping-particle":"","parse-names":false,"suffix":""},{"dropping-particle":"","family":"Wareham","given":"Nicholas J","non-dropping-particle":"","parse-names":false,"suffix":""},{"dropping-particle":"","family":"Bingham","given":"Sheila A","non-dropping-particle":"","parse-names":false,"suffix":""},{"dropping-particle":"","family":"Khaw","given":"Kay-Tee","non-dropping-particle":"","parse-names":false,"suffix":""}],"container-title":"American Journal of Psychiatry","id":"ITEM-1","issue":"4","issued":{"date-parts":[["2008"]]},"page":"515-523","publisher":"Am Psychiatric Assoc","title":"Depression and ischemic heart disease mortality: evidence from the EPIC-Norfolk United Kingdom prospective cohort study","type":"article-journal","volume":"165"},"uris":["http://www.mendeley.com/documents/?uuid=6a58a1ff-e73b-4afc-8bf8-a4ccaa886374"]},{"id":"ITEM-2","itemData":{"ISSN":"1351-5101","author":[{"dropping-particle":"","family":"Ishihara‐Paul","given":"L","non-dropping-particle":"","parse-names":false,"suffix":""},{"dropping-particle":"","family":"Wainwright","given":"N W J","non-dropping-particle":"","parse-names":false,"suffix":""},{"dropping-particle":"","family":"Khaw","given":"K‐T","non-dropping-particle":"","parse-names":false,"suffix":""},{"dropping-particle":"","family":"Luben","given":"R N","non-dropping-particle":"","parse-names":false,"suffix":""},{"dropping-particle":"","family":"Welch","given":"A A","non-dropping-particle":"","parse-names":false,"suffix":""},{"dropping-particle":"","family":"Day","given":"N E","non-dropping-particle":"","parse-names":false,"suffix":""},{"dropping-particle":"","family":"Brayne","given":"C","non-dropping-particle":"","parse-names":false,"suffix":""},{"dropping-particle":"","family":"Surtees","given":"P G","non-dropping-particle":"","parse-names":false,"suffix":""}],"container-title":"European journal of neurology","id":"ITEM-2","issue":"11","issued":{"date-parts":[["2008"]]},"page":"1148-1154","publisher":"Wiley Online Library","title":"Prospective association between emotional health and clinical evidence of Parkinson’s disease","type":"article-journal","volume":"15"},"uris":["http://www.mendeley.com/documents/?uuid=f7b7a2d7-97b5-4e37-a312-81a8edf8a627"]}],"mendeley":{"formattedCitation":"(Ishihara‐Paul et al., 2008; Surtees et al., 2008)","plainTextFormattedCitation":"(Ishihara‐Paul et al., 2008; Surtees et al., 2008)","previouslyFormattedCitation":"(Ishihara‐Paul et al., 2008; Surtees et al.,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(Ishihara‐Paul et al., 2008; Surtees et al., 2008)</w:t>
      </w:r>
      <w:r w:rsidRPr="005459E6">
        <w:rPr>
          <w:rFonts w:ascii="Times New Roman" w:hAnsi="Times New Roman" w:cs="Times New Roman"/>
        </w:rPr>
        <w:fldChar w:fldCharType="end"/>
      </w:r>
      <w:r w:rsidRPr="005459E6">
        <w:rPr>
          <w:rFonts w:ascii="Times New Roman" w:hAnsi="Times New Roman" w:cs="Times New Roman"/>
        </w:rPr>
        <w:t xml:space="preserve">. It has become a major public health issue that affects people all over the world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{"citationItems":[{"id":"ITEM-1","itemData":{"author":[{"dropping-particle":"","family":"World Health Organization","given":"","non-dropping-particle":"","parse-names":false,"suffix":""}],"id":"ITEM-1","issued":{"date-parts":[["2017"]]},"title":"Depression and Other Common Mental Disorders","type":"report"},"uris":["http://www.mendeley.com/documents/?uuid=a72209b5-e53d-4398-9299-84a239556ba5"]}],"mendeley":{"formattedCitation":"(World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(World Health Organization, 2017)</w:t>
      </w:r>
      <w:r w:rsidRPr="005459E6">
        <w:rPr>
          <w:rFonts w:ascii="Times New Roman" w:hAnsi="Times New Roman" w:cs="Times New Roman"/>
        </w:rPr>
        <w:fldChar w:fldCharType="end"/>
      </w:r>
      <w:r w:rsidRPr="005459E6">
        <w:rPr>
          <w:rFonts w:ascii="Times New Roman" w:hAnsi="Times New Roman" w:cs="Times New Roman"/>
        </w:rPr>
        <w:t xml:space="preserve">. According to a study done by </w:t>
      </w:r>
      <w:r w:rsidR="003B1019">
        <w:rPr>
          <w:rFonts w:ascii="Times New Roman" w:hAnsi="Times New Roman" w:cs="Times New Roman"/>
        </w:rPr>
        <w:t>WHO</w:t>
      </w:r>
      <w:r w:rsidRPr="005459E6">
        <w:rPr>
          <w:rFonts w:ascii="Times New Roman" w:hAnsi="Times New Roman" w:cs="Times New Roman"/>
        </w:rPr>
        <w:t xml:space="preserve">, 20% of teenagers globally may develop mental illness in any single year. Mental illness has a wide range of short- and long-term harmful consequences for people, their families, and society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{"citationItems":[{"id":"ITEM-1","itemData":{"author":[{"dropping-particle":"","family":"Davies","given":"S C","non-dropping-particle":"","parse-names":false,"suffix":""}],"id":"ITEM-1","issued":{"date-parts":[["2014"]]},"publisher":"Department of Health","title":"Annual report of the chief medical officer: public mental health priorities: investing in the evidence","type":"article-journal"},"uris":["http://www.mendeley.com/documents/?uuid=914fcbc1-3919-42b3-885f-b085de4d83ec"]}],"mendeley":{"formattedCitation":"(Davies, 2014)","plainTextFormattedCitation":"(Davies, 2014)","previouslyFormattedCitation":"(Davies,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(Davies, 2014)</w:t>
      </w:r>
      <w:r w:rsidRPr="005459E6">
        <w:rPr>
          <w:rFonts w:ascii="Times New Roman" w:hAnsi="Times New Roman" w:cs="Times New Roman"/>
        </w:rPr>
        <w:fldChar w:fldCharType="end"/>
      </w:r>
      <w:r w:rsidRPr="005459E6">
        <w:rPr>
          <w:rFonts w:ascii="Times New Roman" w:hAnsi="Times New Roman" w:cs="Times New Roman"/>
        </w:rPr>
        <w:t xml:space="preserve">. In fact, depression is one of the most common mental illnesses that causes impairment and shortens life expectancy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{"citationItems":[{"id":"ITEM-1","itemData":{"ISSN":"1723-8617","PMID":"16633546","abstract":"This paper reviews the epidemiological research evidence on the role of socio-economic factors in the origins and disease experience of schizophrenia and major depression. The studies were conducted in different countries over many years. Although their findings are divided in their support of either the social causation or the drift hypothesis, all of them agree that persons with these disorders are at high disadvantage in society. Several factors for this have been identified. These studies provide the rationale for community-based interventions that have to be guided by principles of equity in the distribution of resources and grounded in biopsychosocial models of care that comprehensively answer the needs of the affected populations.","author":[{"dropping-particle":"","family":"Saraceno","given":"Benedetto","non-dropping-particle":"","parse-names":false,"suffix":""},{"dropping-particle":"","family":"Levav","given":"Itzhak","non-dropping-particle":"","parse-names":false,"suffix":""},{"dropping-particle":"","family":"Kohn","given":"Robert","non-dropping-particle":"","parse-names":false,"suffix":""}],"container-title":"World psychiatry : official journal of the World Psychiatric Association (WPA)","id":"ITEM-1","issue":"3","issued":{"date-parts":[["2005"]]},"page":"181-5","title":"The public mental health significance of research on socio-economic factors in schizophrenia and major depression.","type":"article-journal","volume":"4"},"uris":["http://www.mendeley.com/documents/?uuid=7d77e745-b550-4f47-91e3-a14e4554eb6d"]}],"mendeley":{"formattedCitation":"(Saraceno et al., 2005)","plainTextFormattedCitation":"(Saraceno et al., 2005)","previouslyFormattedCitation":"(Saraceno et al.,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(Saraceno et al., 2005)</w:t>
      </w:r>
      <w:r w:rsidRPr="005459E6">
        <w:rPr>
          <w:rFonts w:ascii="Times New Roman" w:hAnsi="Times New Roman" w:cs="Times New Roman"/>
        </w:rPr>
        <w:fldChar w:fldCharType="end"/>
      </w:r>
      <w:r w:rsidRPr="005459E6">
        <w:rPr>
          <w:rFonts w:ascii="Times New Roman" w:hAnsi="Times New Roman" w:cs="Times New Roman"/>
        </w:rPr>
        <w:t>.</w:t>
      </w:r>
    </w:p>
    <w:p w14:paraId="16E831C3" w14:textId="3075CCB6"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​​As reported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{"citationItems":[{"id":"ITEM-1","itemData":{"DOI":"10.1186/1472-6963-10-26","ISSN":"14726963","PMID":"20102609","abstract":"Background. A new evidence base is emerging, which focuses on well-being. This makes it possible for health services to orientate around promoting well-being as well as treating illness, and so to make a reality of the long-standing rhetoric that health is more than the absence of illness. The aim of this paper is to support the re-orientation of health services around promoting well-being. Mental health services are used as an example to illustrate the new knowledge skills which will be needed by health professionals. Discussion. New forms of evidence give a triangulated understanding about the promotion of well-being in mental health services. The academic discipline of positive psychology is developing evidence-based interventions to improve well-being. This complements the results emerging from synthesising narratives about recovery from mental illness, which provide ecologically valid insights into the processes by which people experiencing mental illness can develop a purposeful and meaningful life. The implications for health professionals are explored. In relation to working with individuals, more emphasis on the person's own goals and strengths will be needed, with integration of interventions which promote well-being into routine clinical practice. In addition, a more societally-focussed role for professionals is envisaged, in which a central part of the job is to influence local and national policies and practices that impact on well-being. Summary. If health services are to give primacy to increasing well-being, rather than to treating illness, then health workers need new approaches to working with individuals. For mental health services, this will involve the incorporation of emerging knowledge from recovery and from positive psychology into education and training for all mental health professionals, and changes to some long-established working practices. © 2010 Slade.","author":[{"dropping-particle":"","family":"Slade","given":"Mike","non-dropping-particle":"","parse-names":false,"suffix":""}],"container-title":"BMC Health Services Research","id":"ITEM-1","issued":{"date-parts":[["2010"]]},"title":"Mental illness and well-being: The central importance of positive psychology and recovery approaches","type":"article-journal","volume":"10"},"uris":["http://www.mendeley.com/documents/?uuid=06ad38fe-01bc-4edf-9747-3eac01975f3c"]}],"mendeley":{"formattedCitation":"(Slade, 2010)","manualFormatting":"Slade (2010)","plainTextFormattedCitation":"(Slade, 2010)","previouslyFormattedCitation":"(Slade,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Slade (2010)</w:t>
      </w:r>
      <w:r w:rsidRPr="005459E6">
        <w:rPr>
          <w:rFonts w:ascii="Times New Roman" w:hAnsi="Times New Roman" w:cs="Times New Roman"/>
        </w:rPr>
        <w:fldChar w:fldCharType="end"/>
      </w:r>
      <w:r w:rsidRPr="005459E6">
        <w:rPr>
          <w:rFonts w:ascii="Times New Roman" w:hAnsi="Times New Roman" w:cs="Times New Roman"/>
        </w:rPr>
        <w:t xml:space="preserve">, if the goal is to promote well-being rather than simply treat sickness, mental health providers must apply novel techniques to assessment and therapy. While mental illness research is progressing at a rapid rate, genetic, genomic, psychiatric, and epidemiological investigations, among other disciplines, are advancing our understanding. These advances should continue to inform clinical practice at an exponential pace. Traditionally, in the healthcare space, patients have been viewed as passive recipients of how treatment by health professionals been carried out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1552-7824","author":[{"dropping-particle":"","family":"Payne","given":"Adrian","non-dropping-particle":"","parse-names":false,"suffix":""},{"dropping-particle":"","family":"Storbacka","given":"Kaj","non-dropping-particle":"","parse-names":false,"suffix":""},{"dropping-particle":"","family":"Frow","given":"Pennie","non-dropping-particle":"","parse-names":false,"suffix":""}],"container-title":"Journal of the academy of marketing science","id":"ITEM-1","issue":"1","issued":{"date-parts":[["2008"]]},"page":"83-96","publisher":"Springer","title":"Managing the co-creation of value","type":"article-journal","volume":"36"},"uris":["http://www.mendeley.com/documents/?uuid=1df71e40-ba2e-4c35-9202-8f8d53c85ffc"]}],"mendeley":{"formattedCitation":"(Payne et al., 2008)","plainTextFormattedCitation":"(Payne et al., 2008)","previouslyFormattedCitation":"(Payne et al.,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(Payne et al., 2008)</w:t>
      </w:r>
      <w:r w:rsidRPr="005459E6">
        <w:rPr>
          <w:rFonts w:ascii="Times New Roman" w:hAnsi="Times New Roman" w:cs="Times New Roman"/>
        </w:rPr>
        <w:fldChar w:fldCharType="end"/>
      </w:r>
      <w:r w:rsidRPr="005459E6">
        <w:rPr>
          <w:rFonts w:ascii="Times New Roman" w:hAnsi="Times New Roman" w:cs="Times New Roman"/>
        </w:rPr>
        <w:t xml:space="preserve">. This passive view has been prevalent in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{"citationItems":[{"id":"ITEM-1","itemData":{"DOI":"10.1177/1094670507306682","ISSN":"1094-6705","abstract":"Health care is an enormously expensive, highly complex, universally used service that significantly affects economies and the quality of daily living. Service management, operations, and marketing scholars have much to offer to a critically important, intellectually challenging, but deeply troubled health care service sector. In this article, the authors use the opportunity they had to study at one of the world's most admired medical institutions? Mayo Clinic?as the basis for discussing the similarities and dissimilarities between health care and other services. The article takes the reader ?inside? health care. The authors challenge service scholars to consider health care for their research activities and propose areas for future research.","author":[{"dropping-particle":"","family":"Berry","given":"Leonard L","non-dropping-particle":"","parse-names":false,"suffix":""},{"dropping-particle":"","family":"Bendapudi","given":"Neeli","non-dropping-particle":"","parse-names":false,"suffix":""}],"container-title":"Journal of Service Research","id":"ITEM-1","issue":"2","issued":{"date-parts":[["2007","11","1"]]},"note":"doi: 10.1177/1094670507306682","page":"111-122","publisher":"SAGE Publications Inc","title":"Health Care: A Fertile Field for Service Research","type":"article-journal","volume":"10"},"uris":["http://www.mendeley.com/documents/?uuid=87d7e479-869b-401f-9562-74e134385eda"]},{"id":"ITEM-2","itemData":{"DOI":"10.1136/bmj.320.7234.526","ISSN":"09598146","PMID":"10688539","author":[{"dropping-particle":"","family":"Holman","given":"H.","non-dropping-particle":"","parse-names":false,"suffix":""},{"dropping-particle":"","family":"Lorig","given":"K.","non-dropping-particle":"","parse-names":false,"suffix":""}],"container-title":"British Medical Journal","id":"ITEM-2","issue":"7234","issued":{"date-parts":[["2000"]]},"page":"526-527","title":"Patients as partners in managing chronic disease","type":"article-journal","volume":"320"},"uris":["http://www.mendeley.com/documents/?uuid=66a3ee86-d419-4ddf-bde1-9a6491f020b7"]}],"mendeley":{"formattedCitation":"(Berry &amp; Bendapudi, 2007; Holman &amp; Lorig, 2000)","plainTextFormattedCitation":"(Berry &amp; Bendapudi, 2007; Holman &amp; Lorig, 2000)","previouslyFormattedCitation":"(Berry &amp; Bendapudi, 2007; Holman &amp; Lorig, 2000)"},"properties":{"noteIndex":0},"schema":"https://github.com/citation-style-language/schema/raw/master/csl-citation.json"}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(Berry &amp; Bendapudi, 2007; Holman &amp; Lorig, 2000)</w:t>
      </w:r>
      <w:r w:rsidRPr="005459E6">
        <w:rPr>
          <w:rFonts w:ascii="Times New Roman" w:hAnsi="Times New Roman" w:cs="Times New Roman"/>
        </w:rPr>
        <w:fldChar w:fldCharType="end"/>
      </w:r>
      <w:r w:rsidRPr="005459E6">
        <w:rPr>
          <w:rFonts w:ascii="Times New Roman" w:hAnsi="Times New Roman" w:cs="Times New Roman"/>
        </w:rPr>
        <w:t xml:space="preserve"> and needs to be reconsidered. The challenge is also to integrate and apply the evidence base on well-being so that health professionals can involve their patients to generate improved outcomes.</w:t>
      </w:r>
    </w:p>
    <w:p w14:paraId="64C9C0A8"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It is impossible to separate our minds and bodies since they are inextricably linked, communicate with one another, and work in tandem. Because our bodies and minds are so closely related, if you have mental health issues, your body gets affected in multiple ways and vice versa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{"citationItems":[{"id":"ITEM-1","itemData":{"DOI":"10.1016/j.socscimed.2017.11.008","ISSN":"18735347","abstract":"There is a strong link between mental health and physical health, but little is known about the pathways from one to the other. We analyse the direct and indirect effects of past mental health on present physical health and past physical health on present mental health using lifestyle choices and social capital in a mediation framework. We use data on 10,693 individuals aged 50 years and over from six waves (2002–2012) of the English Longitudinal Study of Ageing. Mental health is measured by the Centre for Epidemiological Studies Depression Scale (CES) and physical health by the Activities of Daily Living (ADL). We find significant direct and indirect effects for both forms of health, with indirect effects explaining 10% of the effect of past mental health on physical health and 8% of the effect of past physical health on mental health. Physical activity is the largest contributor to the indirect effects. There are stronger indirect effects for males in mental health (9.9%) and for older age groups in mental health (13.6%) and in physical health (12.6%). Health policies aiming at changing physical and mental health need to consider not only the direct cross-effects but also the indirect cross-effects between mental health and physical health.","author":[{"dropping-particle":"","family":"Ohrnberger","given":"Julius","non-dropping-particle":"","parse-names":false,"suffix":""},{"dropping-particle":"","family":"Fichera","given":"Eleonora","non-dropping-particle":"","parse-names":false,"suffix":""},{"dropping-particle":"","family":"Sutton","given":"Matt","non-dropping-particle":"","parse-names":false,"suffix":""}],"container-title":"Social Science and Medicine","id":"ITEM-1","issue":"February","issued":{"date-parts":[["2017"]]},"page":"42-49","publisher":"Elsevier","title":"The relationship between physical and mental health: A mediation analysis","type":"article-journal","volume":"195"},"uris":["http://www.mendeley.com/documents/?uuid=718c6cb1-bd43-40c2-8693-b369fddddddb"]}],"mendeley":{"formattedCitation":"(Ohrnberger et al., 2017a)","plainTextFormattedCitation":"(Ohrnberger et al., 2017a)","previouslyFormattedCitation":"(Ohrnberger et al., 2017a)"},"properties":{"noteIndex":0},"schema":"https://github.com/citation-style-language/schema/raw/master/csl-citation.json"}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(Ohrnberger et al., 2017a)</w:t>
      </w:r>
      <w:r w:rsidRPr="005459E6">
        <w:rPr>
          <w:rFonts w:ascii="Times New Roman" w:hAnsi="Times New Roman" w:cs="Times New Roman"/>
        </w:rPr>
        <w:fldChar w:fldCharType="end"/>
      </w:r>
      <w:r w:rsidRPr="005459E6">
        <w:rPr>
          <w:rFonts w:ascii="Times New Roman" w:hAnsi="Times New Roman" w:cs="Times New Roman"/>
        </w:rPr>
        <w:t xml:space="preserve">. </w:t>
      </w:r>
    </w:p>
    <w:p w14:paraId="2AF0DD6D"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​​Conforming to the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{"citationItems":[{"id":"ITEM-1","itemData":{"author":[{"dropping-particle":"","family":"Australian Institute of Health and Welfare","given":"","non-dropping-particle":"","parse-names":false,"suffix":""}],"container-title":"AIHW","id":"ITEM-1","issued":{"date-parts":[["2020"]]},"page":"1-6","title":"Physical health of people with mental illness","type":"article-journal","volume":"2"},"uris":["http://www.mendeley.com/documents/?uuid=4e091130-fdaa-498c-9ad2-c2fffde9af2c"]}],"mendeley":{"formattedCitation":"(Australian Institute of Health and Welfare, 2020)","manualFormatting":"Australian Institute of Health and Welfare (2020)","plainTextFormattedCitation":"(Australian Institute of Health and Welfare, 2020)","previouslyFormattedCitation":"(Australian Institute of Health and Welfare,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Australian Institute of Health and Welfare (2020)</w:t>
      </w:r>
      <w:r w:rsidRPr="005459E6">
        <w:rPr>
          <w:rFonts w:ascii="Times New Roman" w:hAnsi="Times New Roman" w:cs="Times New Roman"/>
        </w:rPr>
        <w:fldChar w:fldCharType="end"/>
      </w:r>
      <w:r w:rsidRPr="005459E6">
        <w:rPr>
          <w:rFonts w:ascii="Times New Roman" w:hAnsi="Times New Roman" w:cs="Times New Roman"/>
        </w:rPr>
        <w:t xml:space="preserve">, there is a connection between mental and physical health. Individuals with psychological co-morbidities are likely to develop physical ailments </w:t>
      </w:r>
      <w:r w:rsidRPr="005459E6">
        <w:rPr>
          <w:rFonts w:ascii="Times New Roman" w:hAnsi="Times New Roman" w:cs="Times New Roman"/>
        </w:rPr>
        <w:lastRenderedPageBreak/>
        <w:t>and suffer lower life expectancy.  Evidence suggests that Mental illnesses are more likely to transform into physical illnesses due to a combination of lifestyle and socioeconomic factors.</w:t>
      </w:r>
    </w:p>
    <w:p w14:paraId="33DED60E" w14:textId="241E205E" w:rsidR="00B42ABB" w:rsidRPr="004E2FB8" w:rsidRDefault="00B42ABB" w:rsidP="004E2FB8">
      <w:pPr>
        <w:spacing w:line="360" w:lineRule="auto"/>
        <w:jc w:val="both"/>
        <w:rPr>
          <w:rFonts w:ascii="Times New Roman" w:hAnsi="Times New Roman" w:cs="Times New Roman"/>
        </w:rPr>
      </w:pPr>
      <w:r w:rsidRPr="005459E6">
        <w:rPr>
          <w:rFonts w:ascii="Times New Roman" w:hAnsi="Times New Roman" w:cs="Times New Roman"/>
        </w:rPr>
        <w:t xml:space="preserve">​​In consonance with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{"citationItems":[{"id":"ITEM-1","itemData":{"DOI":"10.1136/ewjm.175.5.329","ISSN":"00930415","PMID":"11694483","author":[{"dropping-particle":"","family":"Osborn","given":"D. P.J.","non-dropping-particle":"","parse-names":false,"suffix":""}],"container-title":"Western Journal of Medicine","id":"ITEM-1","issue":"5","issued":{"date-parts":[["2001"]]},"page":"329-332","title":"The poor physical health of people with mental illness","type":"article-journal","volume":"175"},"uris":["http://www.mendeley.com/documents/?uuid=08e573ca-deb6-42bf-96d4-b780942add48"]}],"mendeley":{"formattedCitation":"(Osborn, 2001)","manualFormatting":"Osborn (2001)","plainTextFormattedCitation":"(Osborn, 2001)","previouslyFormattedCitation":"(Osborn, 2001)"},"properties":{"noteIndex":0},"schema":"https://github.com/citation-style-language/schema/raw/master/csl-citation.json"}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Osborn (2001)</w:t>
      </w:r>
      <w:r w:rsidRPr="005459E6">
        <w:rPr>
          <w:rFonts w:ascii="Times New Roman" w:hAnsi="Times New Roman" w:cs="Times New Roman"/>
        </w:rPr>
        <w:fldChar w:fldCharType="end"/>
      </w:r>
      <w:r w:rsidRPr="005459E6">
        <w:rPr>
          <w:rFonts w:ascii="Times New Roman" w:hAnsi="Times New Roman" w:cs="Times New Roman"/>
        </w:rPr>
        <w:t xml:space="preserve">, people with long-term mental problems have a higher rate of morbidity and mortality from specific medical conditions. Another study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{"citationItems":[{"id":"ITEM-1","itemData":{"DOI":"10.1016/j.socscimed.2017.11.008","ISSN":"18735347","abstract":"There is a strong link between mental health and physical health, but little is known about the pathways from one to the other. We analyse the direct and indirect effects of past mental health on present physical health and past physical health on present mental health using lifestyle choices and social capital in a mediation framework. We use data on 10,693 individuals aged 50 years and over from six waves (2002–2012) of the English Longitudinal Study of Ageing. Mental health is measured by the Centre for Epidemiological Studies Depression Scale (CES) and physical health by the Activities of Daily Living (ADL). We find significant direct and indirect effects for both forms of health, with indirect effects explaining 10% of the effect of past mental health on physical health and 8% of the effect of past physical health on mental health. Physical activity is the largest contributor to the indirect effects. There are stronger indirect effects for males in mental health (9.9%) and for older age groups in mental health (13.6%) and in physical health (12.6%). Health policies aiming at changing physical and mental health need to consider not only the direct cross-effects but also the indirect cross-effects between mental health and physical health.","author":[{"dropping-particle":"","family":"Ohrnberger","given":"Julius","non-dropping-particle":"","parse-names":false,"suffix":""},{"dropping-particle":"","family":"Fichera","given":"Eleonora","non-dropping-particle":"","parse-names":false,"suffix":""},{"dropping-particle":"","family":"Sutton","given":"Matt","non-dropping-particle":"","parse-names":false,"suffix":""}],"container-title":"Social Science and Medicine","id":"ITEM-1","issue":"February","issued":{"date-parts":[["2017"]]},"page":"42-49","publisher":"Elsevier","title":"The relationship between physical and mental health: A mediation analysis","type":"article-journal","volume":"195"},"uris":["http://www.mendeley.com/documents/?uuid=718c6cb1-bd43-40c2-8693-b369fddddddb"]}],"mendeley":{"formattedCitation":"(Ohrnberger et al., 2017a)","manualFormatting":"Ohrnberger et al. (2017)","plainTextFormattedCitation":"(Ohrnberger et al., 2017a)","previouslyFormattedCitation":"(Ohrnberger et al., 2017a)"},"properties":{"noteIndex":0},"schema":"https://github.com/citation-style-language/schema/raw/master/csl-citation.json"}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Ohrnberger et al. (2017)</w:t>
      </w:r>
      <w:r w:rsidRPr="005459E6">
        <w:rPr>
          <w:rFonts w:ascii="Times New Roman" w:hAnsi="Times New Roman" w:cs="Times New Roman"/>
        </w:rPr>
        <w:fldChar w:fldCharType="end"/>
      </w:r>
      <w:r w:rsidRPr="005459E6">
        <w:rPr>
          <w:rFonts w:ascii="Times New Roman" w:hAnsi="Times New Roman" w:cs="Times New Roman"/>
        </w:rPr>
        <w:t xml:space="preserve"> discovered that one's previous mental (mental) health has a considerable direct and indirect impact on one's current physical health. Lifestyle choices and social interactions moderate the indirect effect of past mental health on physical health.</w:t>
      </w:r>
      <w:r w:rsidR="004E2FB8">
        <w:rPr>
          <w:rFonts w:ascii="Times New Roman" w:hAnsi="Times New Roman" w:cs="Times New Roman"/>
        </w:rPr>
        <w:t xml:space="preserve"> </w:t>
      </w:r>
      <w:r w:rsidRPr="005459E6">
        <w:rPr>
          <w:rFonts w:ascii="Times New Roman" w:hAnsi="Times New Roman" w:cs="Times New Roman"/>
        </w:rPr>
        <w:t xml:space="preserve">Chronic stress impacts almost every system in the body and when it sustains longer, it suppresses the body's immune system, which ultimately manifests as an illness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{"citationItems":[{"id":"ITEM-1","itemData":{"DOI":"10.4155/fso.15.21","ISSN":"20565623","author":[{"dropping-particle":"","family":"Mariotti","given":"Agnese","non-dropping-particle":"","parse-names":false,"suffix":""}],"container-title":"Future Science OA","id":"ITEM-1","issue":"3","issued":{"date-parts":[["2015"]]},"title":"The effects of chronic stress on health: New insights into the molecular mechanisms of brain-body communication","type":"article-journal","volume":"1"},"uris":["http://www.mendeley.com/documents/?uuid=5bf7a262-e5ad-4d0b-8273-5bbaa3aa6294"]}],"mendeley":{"formattedCitation":"(Mariotti, 2015)","plainTextFormattedCitation":"(Mariotti, 2015)","previouslyFormattedCitation":"(Mariotti,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(Mariotti, 2015)</w:t>
      </w:r>
      <w:r w:rsidRPr="005459E6">
        <w:rPr>
          <w:rFonts w:ascii="Times New Roman" w:hAnsi="Times New Roman" w:cs="Times New Roman"/>
        </w:rPr>
        <w:fldChar w:fldCharType="end"/>
      </w:r>
      <w:r w:rsidRPr="005459E6">
        <w:rPr>
          <w:rFonts w:ascii="Times New Roman" w:hAnsi="Times New Roman" w:cs="Times New Roman"/>
        </w:rPr>
        <w:t xml:space="preserve">. In line with the same, traditional psychotherapies deal with stress as a significant indicator.  </w:t>
      </w:r>
    </w:p>
    <w:p w14:paraId="06C6A324" w14:textId="77777777" w:rsidR="00B42ABB" w:rsidRPr="005459E6" w:rsidRDefault="00B42ABB" w:rsidP="00B42ABB">
      <w:pPr>
        <w:spacing w:after="0" w:line="360" w:lineRule="auto"/>
        <w:jc w:val="both"/>
        <w:rPr>
          <w:rFonts w:ascii="Times New Roman" w:hAnsi="Times New Roman" w:cs="Times New Roman"/>
          <w:bCs/>
        </w:rPr>
      </w:pPr>
    </w:p>
    <w:p w14:paraId="04A7B08F" w14:textId="77777777" w:rsidR="00B42ABB" w:rsidRPr="005459E6" w:rsidRDefault="00B42ABB" w:rsidP="00B42ABB">
      <w:pPr>
        <w:pStyle w:val="Titolo2"/>
        <w:spacing w:line="360" w:lineRule="auto"/>
        <w:jc w:val="both"/>
        <w:rPr>
          <w:rFonts w:ascii="Times New Roman" w:hAnsi="Times New Roman" w:cs="Times New Roman"/>
          <w:color w:val="auto"/>
          <w:sz w:val="22"/>
          <w:szCs w:val="22"/>
        </w:rPr>
      </w:pPr>
      <w:bookmarkStart w:id="22" w:name="_Toc104746480"/>
      <w:bookmarkStart w:id="23" w:name="_Toc104827761"/>
      <w:bookmarkStart w:id="24" w:name="_Toc107248271"/>
      <w:bookmarkStart w:id="25" w:name="_Toc88315251"/>
      <w:r w:rsidRPr="005459E6">
        <w:rPr>
          <w:rFonts w:ascii="Times New Roman" w:hAnsi="Times New Roman" w:cs="Times New Roman"/>
          <w:color w:val="auto"/>
          <w:sz w:val="22"/>
          <w:szCs w:val="22"/>
        </w:rPr>
        <w:t>TECHNOLOGY AND HEALTH</w:t>
      </w:r>
      <w:bookmarkEnd w:id="22"/>
      <w:bookmarkEnd w:id="23"/>
      <w:bookmarkEnd w:id="24"/>
      <w:r w:rsidRPr="005459E6">
        <w:rPr>
          <w:rFonts w:ascii="Times New Roman" w:hAnsi="Times New Roman" w:cs="Times New Roman"/>
          <w:color w:val="auto"/>
          <w:sz w:val="22"/>
          <w:szCs w:val="22"/>
        </w:rPr>
        <w:t xml:space="preserve"> </w:t>
      </w:r>
      <w:bookmarkEnd w:id="25"/>
    </w:p>
    <w:p w14:paraId="302D0B22" w14:textId="6791359D"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One of the most debated topics in today's healthcare scenario is how to employ technology to improve access to and quality of care, as well as the patient experience </w:t>
      </w:r>
      <w:r w:rsidRPr="005459E6">
        <w:rPr>
          <w:rFonts w:ascii="Times New Roman" w:hAnsi="Times New Roman" w:cs="Times New Roman"/>
        </w:rPr>
        <w:fldChar w:fldCharType="begin" w:fldLock="1"/>
      </w:r>
      <w:r w:rsidR="00092199">
        <w:rPr>
          <w:rFonts w:ascii="Times New Roman" w:hAnsi="Times New Roman" w:cs="Times New Roman"/>
        </w:rPr>
        <w:instrText>ADDIN CSL_CITATION {"citationItems":[{"id":"ITEM-1","itemData":{"DOI":"10.1007/978-1-4419-1628-0","ISBN":"978-1-4419-1627-3","abstract":"The chapter presents a summary and extension of our book, Winning the Service Game, published in 1995 by Harvard Business School Press (Schneider &amp;amp; Bowen , 1995). We summarize the rules of the game we had presented there concerning the production and delivery primarily of consumer services and note several advances in thinking since we wrote the book. We emphasize that people (customers, employees, and managers) still are a prominent key to success in service and that this should be fully recognized in the increasingly technical sophistication of service science . The foundation of this thesis is the idea that promoting service excellence and innovation requires an understanding of the co-creation of value by and for people. Further, that such co-creation is most likely to effectively occur when an appropriate psycho-social context is created for people as they produce, deliver and experience a service process. Such a context is the result of understanding the complexities of the people who are a central component of the service delivery system.","author":[{"dropping-particle":"","family":"Vargo","given":"Stephen L","non-dropping-particle":"","parse-names":false,"suffix":""},{"dropping-particle":"","family":"Lusch","given":"Robert F","non-dropping-particle":"","parse-names":false,"suffix":""}],"id":"ITEM-1","issue":"2008","issued":{"date-parts":[["2010"]]},"title":"Handbook of Service Science","type":"book","volume":"II"},"uris":["http://www.mendeley.com/documents/?uuid=5a080f3d-e8a1-45f7-bf4e-95b9d3ec45f8"]}],"mendeley":{"formattedCitation":"(S. L. Vargo &amp; Lusch, 2010b)","manualFormatting":"(Vargo &amp; Lusch, 2010b)","plainTextFormattedCitation":"(S. L. Vargo &amp; Lusch, 2010b)","previouslyFormattedCitation":"(S. L. Vargo &amp; Lusch, 2010b)"},"properties":{"noteIndex":0},"schema":"https://github.com/citation-style-language/schema/raw/master/csl-citation.json"}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(Vargo &amp; Lusch, 2010b)</w:t>
      </w:r>
      <w:r w:rsidRPr="005459E6">
        <w:rPr>
          <w:rFonts w:ascii="Times New Roman" w:hAnsi="Times New Roman" w:cs="Times New Roman"/>
        </w:rPr>
        <w:fldChar w:fldCharType="end"/>
      </w:r>
      <w:r w:rsidRPr="005459E6">
        <w:rPr>
          <w:rFonts w:ascii="Times New Roman" w:hAnsi="Times New Roman" w:cs="Times New Roman"/>
        </w:rPr>
        <w:t xml:space="preserve">. Technologies such as IoT have been widely deployed in a variety of industries, with healthcare being one of them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{"citationItems":[{"id":"ITEM-1","itemData":{"DOI":"10.1186/s12911-020-01278-9","ISSN":"14726947","PMID":"33032598","abstract":"Background: At present, Internet of Things technology has been widely used in various fields, and smart health is also one of its important application areas. Methods: We use the core collection of Web of Science as a data source, using tools such as CiteSpace and bibliometric methods to visually analyze 9561 articles published in the field of smart health research based on the Internet of things (IoT) in 2003-2019, including time distribution, spatial distribution, and literature co-citation analysis and keyword analysis. Results: The field of smart health research based on IoT has developed rapidly since 2014, but has not yet formed a stable network of authors and institutions. In addition, the knowledge base in this field has been initially formed, and most of the published literatures are multi-theme research. Conclusions: This study discusses the research status, research hotspots and future development trends in this field, and provides important knowledge support for subsequent research.","author":[{"dropping-particle":"","family":"Yang","given":"Xuejie","non-dropping-particle":"","parse-names":false,"suffix":""},{"dropping-particle":"","family":"Wang","given":"Xiaoyu","non-dropping-particle":"","parse-names":false,"suffix":""},{"dropping-particle":"","family":"Li","given":"Xingguo","non-dropping-particle":"","parse-names":false,"suffix":""},{"dropping-particle":"","family":"Gu","given":"Dongxiao","non-dropping-particle":"","parse-names":false,"suffix":""},{"dropping-particle":"","family":"Liang","given":"Changyong","non-dropping-particle":"","parse-names":false,"suffix":""},{"dropping-particle":"","family":"Li","given":"Kang","non-dropping-particle":"","parse-names":false,"suffix":""},{"dropping-particle":"","family":"Zhang","given":"Gongrang","non-dropping-particle":"","parse-names":false,"suffix":""},{"dropping-particle":"","family":"Zhong","given":"Jinhong","non-dropping-particle":"","parse-names":false,"suffix":""}],"container-title":"BMC Medical Informatics and Decision Making","id":"ITEM-1","issue":"1","issued":{"date-parts":[["2020"]]},"page":"1-12","publisher":"BMC Medical Informatics and Decision Making","title":"Exploring emerging IoT technologies in smart health research: A knowledge graph analysis","type":"article-journal","volume":"20"},"uris":["http://www.mendeley.com/documents/?uuid=554bba4e-f535-48ed-a143-6d235c2784f6"]}],"mendeley":{"formattedCitation":"(X. Yang et al., 2020)","manualFormatting":"(Yang et al., 2020)","plainTextFormattedCitation":"(X. Yang et al., 2020)","previouslyFormattedCitation":"(X. Yang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(Yang et al., 2020)</w:t>
      </w:r>
      <w:r w:rsidRPr="005459E6">
        <w:rPr>
          <w:rFonts w:ascii="Times New Roman" w:hAnsi="Times New Roman" w:cs="Times New Roman"/>
        </w:rPr>
        <w:fldChar w:fldCharType="end"/>
      </w:r>
      <w:r w:rsidRPr="005459E6">
        <w:rPr>
          <w:rFonts w:ascii="Times New Roman" w:hAnsi="Times New Roman" w:cs="Times New Roman"/>
        </w:rPr>
        <w:t xml:space="preserve">. Blockchain is also an upcoming technology that is offering a foundational breakthrough with significant ramifications for the economy and society, including the healthcare sector. Its capabilities are expected to expedite healthcare operations, provide patients with more control over their medical data, and enhance overall healthcare outcomes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{"citationItems":[{"id":"ITEM-1","itemData":{"DOI":"10.1007/s42488-021-00046-2","ISSN":"2524-6364","abstract":"The literature on blockchain-enabled use cases has grown exponentially over recent years. Yet, studies are missing that apply bibliometrics and visualization techniques to unravel the dynamics and current discussions pertaining to the nexus of blockchain technology (BCT) and the healthcare field. To close this knowledge gap, we examine the knowledge base and research hotspots of BCT research in the field of healthcare. We carry out a series of bibliometric analyses on the extant literature, including the scholarly production, developmental pattern of the annual total number of authors, and identification of productive academic institutions, countries, and leading authors. Additionally, we conduct a keyword co-occurrence analysis and identify the major research hotspots and trends for the future. The findings of this research are valuable for scholars and practitioners who seek to better understand the development status, dynamics, and trends pertaining to BCT in healthcare.","author":[{"dropping-particle":"","family":"Rejeb","given":"Abderahman","non-dropping-particle":"","parse-names":false,"suffix":""},{"dropping-particle":"","family":"Treiblmaier","given":"Horst","non-dropping-particle":"","parse-names":false,"suffix":""},{"dropping-particle":"","family":"Rejeb","given":"Karim","non-dropping-particle":"","parse-names":false,"suffix":""},{"dropping-particle":"","family":"Zailani","given":"Suhaiza","non-dropping-particle":"","parse-names":false,"suffix":""}],"container-title":"Journal of Data, Information and Management","id":"ITEM-1","issue":"2","issued":{"date-parts":[["2021"]]},"page":"109-124","title":"Blockchain research in healthcare: a bibliometric review and current research trends","type":"article-journal","volume":"3"},"uris":["http://www.mendeley.com/documents/?uuid=0a525f2e-beb6-4e22-ba77-3ab9bd9f715c"]}],"mendeley":{"formattedCitation":"(Rejeb et al., 2021)","plainTextFormattedCitation":"(Rejeb et al., 2021)","previouslyFormattedCitation":"(Rejeb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(Rejeb et al., 2021)</w:t>
      </w:r>
      <w:r w:rsidRPr="005459E6">
        <w:rPr>
          <w:rFonts w:ascii="Times New Roman" w:hAnsi="Times New Roman" w:cs="Times New Roman"/>
        </w:rPr>
        <w:fldChar w:fldCharType="end"/>
      </w:r>
      <w:r w:rsidRPr="005459E6">
        <w:rPr>
          <w:rFonts w:ascii="Times New Roman" w:hAnsi="Times New Roman" w:cs="Times New Roman"/>
        </w:rPr>
        <w:t xml:space="preserve">.  </w:t>
      </w:r>
    </w:p>
    <w:p w14:paraId="4B10DF22" w14:textId="6EEE12DA"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Further, exploring the opportunities and challenges of Artificial Intelligence in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{"citationItems":[{"id":"ITEM-1","itemData":{"DOI":"10.1093/INTHEALTH/IHAA007","ISSN":"18763405","PMID":"32300794","abstract":"Healthcare involves cyclic data processing to derive meaningful, actionable decisions. Rapid increases in clinical data have added to the occupational stress of healthcare workers, affecting their ability to provide quality and effective services. Health systems have to radically rethink strategies to ensure that staff are satisfied and actively supported in their jobs. Artificial intelligence (AI) has the potential to augment provider performance. This article reviews the available literature to identify AI opportunities that can potentially transform the role of healthcare providers. To leverage AI's full potential, policymakers, industry, healthcare providers and patients have to address a new set of challenges. Optimizing the benefits of AI will require a balanced approach that enhances accountability and transparency while facilitating innovation.","author":[{"dropping-particle":"","family":"Hazarika","given":"Indrajit","non-dropping-particle":"","parse-names":false,"suffix":""}],"container-title":"International Health","id":"ITEM-1","issue":"4","issued":{"date-parts":[["2020"]]},"page":"241-245","title":"Artificial intelligence: Opportunities and implications for the health workforce","type":"article-journal","volume":"12"},"uris":["http://www.mendeley.com/documents/?uuid=6d3735a1-6565-4f09-8352-127ead91d1e3"]}],"mendeley":{"formattedCitation":"(Hazarika, 2020)","manualFormatting":"Hazarika (2020)","plainTextFormattedCitation":"(Hazarika, 2020)","previouslyFormattedCitation":"(Hazarika,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Hazarika (2020)</w:t>
      </w:r>
      <w:r w:rsidRPr="005459E6">
        <w:rPr>
          <w:rFonts w:ascii="Times New Roman" w:hAnsi="Times New Roman" w:cs="Times New Roman"/>
        </w:rPr>
        <w:fldChar w:fldCharType="end"/>
      </w:r>
      <w:r w:rsidRPr="005459E6">
        <w:rPr>
          <w:rFonts w:ascii="Times New Roman" w:hAnsi="Times New Roman" w:cs="Times New Roman"/>
        </w:rPr>
        <w:t xml:space="preserve"> confirms that A</w:t>
      </w:r>
      <w:r w:rsidR="00092199">
        <w:rPr>
          <w:rFonts w:ascii="Times New Roman" w:hAnsi="Times New Roman" w:cs="Times New Roman"/>
        </w:rPr>
        <w:t>.</w:t>
      </w:r>
      <w:r w:rsidRPr="005459E6">
        <w:rPr>
          <w:rFonts w:ascii="Times New Roman" w:hAnsi="Times New Roman" w:cs="Times New Roman"/>
        </w:rPr>
        <w:t>I</w:t>
      </w:r>
      <w:r w:rsidR="00092199">
        <w:rPr>
          <w:rFonts w:ascii="Times New Roman" w:hAnsi="Times New Roman" w:cs="Times New Roman"/>
        </w:rPr>
        <w:t>.</w:t>
      </w:r>
      <w:r w:rsidRPr="005459E6">
        <w:rPr>
          <w:rFonts w:ascii="Times New Roman" w:hAnsi="Times New Roman" w:cs="Times New Roman"/>
        </w:rPr>
        <w:t xml:space="preserve"> can be used to perform diagnostics and well-being assistance. It clearly indicates how technology can relinquish ubiquitous connectivity for the betterment of health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{"citationItems":[{"id":"ITEM-1","itemData":{"author":[{"dropping-particle":"","family":"Porter","given":"Michael E","non-dropping-particle":"","parse-names":false,"suffix":""},{"dropping-particle":"","family":"Heppelmann","given":"James E","non-dropping-particle":"","parse-names":false,"suffix":""}],"container-title":"Harvard business review","id":"ITEM-1","issue":"11","issued":{"date-parts":[["2014"]]},"page":"64-88","title":"How smart, connected products are transforming competition","type":"article-journal","volume":"92"},"uris":["http://www.mendeley.com/documents/?uuid=136f1ec7-ca32-47e8-85ef-add4989c28f7"]}],"mendeley":{"formattedCitation":"(Porter &amp; Heppelmann, 2014)","plainTextFormattedCitation":"(Porter &amp; Heppelmann, 2014)","previouslyFormattedCitation":"(Porter &amp; Heppelmann,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(Porter &amp; Heppelmann, 2014)</w:t>
      </w:r>
      <w:r w:rsidRPr="005459E6">
        <w:rPr>
          <w:rFonts w:ascii="Times New Roman" w:hAnsi="Times New Roman" w:cs="Times New Roman"/>
        </w:rPr>
        <w:fldChar w:fldCharType="end"/>
      </w:r>
      <w:r w:rsidRPr="005459E6">
        <w:rPr>
          <w:rFonts w:ascii="Times New Roman" w:hAnsi="Times New Roman" w:cs="Times New Roman"/>
        </w:rPr>
        <w:t xml:space="preserve">. Technology drives healthcare more than any other force, and it mirrors the future in dramatic ways. While we can contemplate future trends in healthcare, we need to act proactively to ensure the best outcomes for society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{"citationItems":[{"id":"ITEM-1","itemData":{"author":[{"dropping-particle":"","family":"Thimbleby","given":"Harold","non-dropping-particle":"","parse-names":false,"suffix":""}],"container-title":"Journal of Public Health Research","id":"ITEM-1","issue":"28","issued":{"date-parts":[["2013"]]},"title":"Technology and the future of healthcare","type":"article-journal","volume":"2"},"uris":["http://www.mendeley.com/documents/?uuid=d4959cec-94d4-4177-8e50-567d8631d7bc"]}],"mendeley":{"formattedCitation":"(Thimbleby, 2013)","plainTextFormattedCitation":"(Thimbleby, 2013)","previouslyFormattedCitation":"(Thimbleby,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(Thimbleby, 2013)</w:t>
      </w:r>
      <w:r w:rsidRPr="005459E6">
        <w:rPr>
          <w:rFonts w:ascii="Times New Roman" w:hAnsi="Times New Roman" w:cs="Times New Roman"/>
        </w:rPr>
        <w:fldChar w:fldCharType="end"/>
      </w:r>
      <w:r w:rsidRPr="005459E6">
        <w:rPr>
          <w:rFonts w:ascii="Times New Roman" w:hAnsi="Times New Roman" w:cs="Times New Roman"/>
        </w:rPr>
        <w:t xml:space="preserve">. Although it is true that implementing cutting-edge healthcare technology can be costly, research suggests that the social worth of living longer and healthier lives must be considered more than the cost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{"citationItems":[{"id":"ITEM-1","itemData":{"abstract":"The development and adoption of advanced technologies including smart automation and artificial intelligence has the potential not only to raise productivity and GDP growth but also to improve well-being more broadly, including through healthier life and longevity and more leisure. To achieve these benefits—and reduce disruption and potentially destabilizing effects on society—will require an emphasis on innovation-led growth and careful management of the workforce and other transitions related to technology adoption and diffusion","author":[{"dropping-particle":"","family":"Bughin","given":"Jacques","non-dropping-particle":"","parse-names":false,"suffix":""},{"dropping-particle":"","family":"Hazan","given":"Eric","non-dropping-particle":"","parse-names":false,"suffix":""},{"dropping-particle":"","family":"Allas","given":"Tera","non-dropping-particle":"","parse-names":false,"suffix":""},{"dropping-particle":"","family":"Hjartar","given":"Klemens","non-dropping-particle":"","parse-names":false,"suffix":""},{"dropping-particle":"","family":"Manyika","given":"James","non-dropping-particle":"","parse-names":false,"suffix":""},{"dropping-particle":"","family":"Sjatil","given":"Pal Erik","non-dropping-particle":"","parse-names":false,"suffix":""},{"dropping-particle":"","family":"Shigina","given":"Irina","non-dropping-particle":"","parse-names":false,"suffix":""}],"container-title":"McKinsey Global Institute","id":"ITEM-1","issue":"May","issued":{"date-parts":[["2019"]]},"page":"1-78","title":"Tech for Good Smoothing disruption, improving well-being","type":"article-journal"},"uris":["http://www.mendeley.com/documents/?uuid=c1dd540d-a9b7-4415-a9b2-49f54636f345"]}],"mendeley":{"formattedCitation":"(Bughin et al., 2019)","plainTextFormattedCitation":"(Bughin et al., 2019)","previouslyFormattedCitation":"(Bughin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(Bughin et al., 2019)</w:t>
      </w:r>
      <w:r w:rsidRPr="005459E6">
        <w:rPr>
          <w:rFonts w:ascii="Times New Roman" w:hAnsi="Times New Roman" w:cs="Times New Roman"/>
        </w:rPr>
        <w:fldChar w:fldCharType="end"/>
      </w:r>
      <w:r w:rsidRPr="005459E6">
        <w:rPr>
          <w:rFonts w:ascii="Times New Roman" w:hAnsi="Times New Roman" w:cs="Times New Roman"/>
        </w:rPr>
        <w:t xml:space="preserve">.  </w:t>
      </w:r>
    </w:p>
    <w:p w14:paraId="3DDEC3B6" w14:textId="77777777" w:rsidR="00702687"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application of A.I. in healthcare promises significant improvements in health outcomes and several experiments with AI have given positive indicators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{"citationItems":[{"id":"ITEM-1","itemData":{"DOI":"10.2196/25312","ISSN":"14388871","PMID":"33835032","abstract":"Background: Voice-controlled intelligent personal assistants (VIPAs), such as Amazon Echo and Google Home, involve artificial intelligence-powered algorithms designed to simulate humans. Their hands-free interface and growing capabilities have a wide range of applications in health care, covering off-clinic education, health monitoring, and communication. However, conflicting factors, such as patient safety and privacy concerns, make it difficult to foresee the further development of VIPAs in health care. Objective: This study aimed to develop a plausible scenario for the further development of VIPAs in health care to support decision making regarding the procurement of VIPAs in health care organizations. Methods: We conducted a two-stage Delphi study with an internationally recruited panel consisting of voice assistant experts, medical professionals, and representatives of academia, governmental health authorities, and nonprofit health associations having expertise with voice technology. Twenty projections were formulated and evaluated by the panelists. Descriptive statistics were used to derive the desired scenario. Results: The panelists expect VIPAs to be able to provide solid medical advice based on patients' personal health information and to have human-like conversations. However, in the short term, voice assistants might neither provide frustration-free user experience nor outperform or replace humans in health care. With a high level of consensus, the experts agreed with the potential of VIPAs to support elderly people and be widely used as anamnesis, informational, self-therapy, and communication tools by patients and health care professionals. Although users' and governments' privacy concerns are not expected to decrease in the near future, the panelists believe that strict regulations capable of preventing VIPAs from providing medical help services will not be imposed. Conclusions: According to the surveyed experts, VIPAs will show notable technological development and gain more user trust in the near future, resulting in widespread application in health care. However, voice assistants are expected to solely support health care professionals in their daily operations and will not be able to outperform or replace medical staff.","author":[{"dropping-particle":"","family":"Ermolina","given":"Alena","non-dropping-particle":"","parse-names":false,"suffix":""},{"dropping-particle":"","family":"Tiberius","given":"Victor","non-dropping-particle":"","parse-names":false,"suffix":""}],"container-title":"Journal of Medical Internet Research","id":"ITEM-1","issue":"4","issued":{"date-parts":[["2021"]]},"page":"1-11","title":"Voice-controlled intelligent personal assistants in health care: International delphi study","type":"article-journal","volume":"23"},"uris":["http://www.mendeley.com/documents/?uuid=75cdafdb-358d-4926-ab09-f0672c19af55"]}],"mendeley":{"formattedCitation":"(Ermolina &amp; Tiberius, 2021)","plainTextFormattedCitation":"(Ermolina &amp; Tiberius, 2021)","previouslyFormattedCitation":"(Ermolina &amp; Tiberius,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(Ermolina &amp; Tiberius, 2021)</w:t>
      </w:r>
      <w:r w:rsidRPr="005459E6">
        <w:rPr>
          <w:rFonts w:ascii="Times New Roman" w:hAnsi="Times New Roman" w:cs="Times New Roman"/>
        </w:rPr>
        <w:fldChar w:fldCharType="end"/>
      </w:r>
      <w:r w:rsidRPr="005459E6">
        <w:rPr>
          <w:rFonts w:ascii="Times New Roman" w:hAnsi="Times New Roman" w:cs="Times New Roman"/>
        </w:rPr>
        <w:t xml:space="preserve">. It does not limit itself to Physical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{"citationItems":[{"id":"ITEM-1","itemData":{"DOI":"10.1186/s12911-021-01488-9","ISSN":"14726947","PMID":"33836752","abstract":"Background/Introduction: Artificial intelligence (AI) in the healthcare sector is receiving attention from researchers and health professionals. Few previous studies have investigated this topic from a multi-disciplinary perspective, including accounting, business and management, decision sciences and health professions. Methods: The structured literature review with its reliable and replicable research protocol allowed the researchers to extract 288 peer-reviewed papers from Scopus. The authors used qualitative and quantitative variables to analyse authors, journals, keywords, and collaboration networks among researchers. Additionally, the paper benefited from the Bibliometrix R software package. Results: The investigation showed that the literature in this field is emerging. It focuses on health services management, predictive medicine, patient data and diagnostics, and clinical decision-making. The United States, China, and the United Kingdom contributed the highest number of studies. Keyword analysis revealed that AI can support physicians in making a diagnosis, predicting the spread of diseases and customising treatment paths. Conclusions: The literature reveals several AI applications for health services and a stream of research that has not fully been covered. For instance, AI projects require skills and data quality awareness for data-intensive analysis and knowledge-based management. Insights can help researchers and health professionals understand and address future research on AI in the healthcare field.","author":[{"dropping-particle":"","family":"Secinaro","given":"Silvana","non-dropping-particle":"","parse-names":false,"suffix":""},{"dropping-particle":"","family":"Calandra","given":"Davide","non-dropping-particle":"","parse-names":false,"suffix":""},{"dropping-particle":"","family":"Secinaro","given":"Aurelio","non-dropping-particle":"","parse-names":false,"suffix":""},{"dropping-particle":"","family":"Muthurangu","given":"Vivek","non-dropping-particle":"","parse-names":false,"suffix":""},{"dropping-particle":"","family":"Biancone","given":"Paolo","non-dropping-particle":"","parse-names":false,"suffix":""}],"container-title":"BMC Medical Informatics and Decision Making","id":"ITEM-1","issue":"1","issued":{"date-parts":[["2021"]]},"page":"1-23","publisher":"BioMed Central","title":"The role of artificial intelligence in healthcare: a structured literature review","type":"article-journal","volume":"21"},"uris":["http://www.mendeley.com/documents/?uuid=ac79c666-509d-447b-ac31-6dc6bfb896a9"]}],"mendeley":{"formattedCitation":"(Secinaro et al., 2021)","plainTextFormattedCitation":"(Secinaro et al., 2021)","previouslyFormattedCitation":"(Secinaro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(Secinaro et al., 2021)</w:t>
      </w:r>
      <w:r w:rsidRPr="005459E6">
        <w:rPr>
          <w:rFonts w:ascii="Times New Roman" w:hAnsi="Times New Roman" w:cs="Times New Roman"/>
        </w:rPr>
        <w:fldChar w:fldCharType="end"/>
      </w:r>
      <w:r w:rsidRPr="005459E6">
        <w:rPr>
          <w:rFonts w:ascii="Times New Roman" w:hAnsi="Times New Roman" w:cs="Times New Roman"/>
        </w:rPr>
        <w:t xml:space="preserve"> and can go beyond to serve as a critical element for the improvement of mental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{"citationItems":[{"id":"ITEM-1","itemData":{"DOI":"10.1016/j.bpsc.2021.02.001","ISSN":"24519030","PMID":"33571718","abstract":"Artificial intelligence (AI) is increasingly employed in health care fields such as oncology, radiology, and dermatology. However, the use of AI in mental health care and neurobiological research has been modest. Given the high morbidity and mortality in people with psychiatric disorders, coupled with a worsening shortage of mental health care providers, there is an urgent need for AI to help identify high-risk individuals and provide interventions to prevent and treat mental illnesses. While published research on AI in neuropsychiatry is rather limited, there is a growing number of successful examples of AI's use with electronic health records, brain imaging, sensor-based monitoring systems, and social media platforms to predict, classify, or subgroup mental illnesses as well as problems such as suicidality. This article is the product of a study group held at the American College of Neuropsychopharmacology conference in 2019. It provides an overview of AI approaches in mental health care, seeking to help with clinical diagnosis, prognosis, and treatment, as well as clinical and technological challenges, focusing on multiple illustrative publications. Although AI could help redefine mental illnesses more objectively, identify them at a prodromal stage, personalize treatments, and empower patients in their own care, it must address issues of bias, privacy, transparency, and other ethical concerns. These aspirations reflect human wisdom, which is more strongly associated than intelligence with individual and societal well-being. Thus, the future AI or artificial wisdom could provide technology that enables more compassionate and ethically sound care to diverse groups of people.","author":[{"dropping-particle":"","family":"Lee","given":"Ellen E.","non-dropping-particle":"","parse-names":false,"suffix":""},{"dropping-particle":"","family":"Torous","given":"John","non-dropping-particle":"","parse-names":false,"suffix":""},{"dropping-particle":"","family":"Choudhury","given":"Munmun","non-dropping-particle":"De","parse-names":false,"suffix":""},{"dropping-particle":"","family":"Depp","given":"Colin A.","non-dropping-particle":"","parse-names":false,"suffix":""},{"dropping-particle":"","family":"Graham","given":"Sarah A.","non-dropping-particle":"","parse-names":false,"suffix":""},{"dropping-particle":"","family":"Kim","given":"Ho Cheol","non-dropping-particle":"","parse-names":false,"suffix":""},{"dropping-particle":"","family":"Paulus","given":"Martin P.","non-dropping-particle":"","parse-names":false,"suffix":""},{"dropping-particle":"","family":"Krystal","given":"John H.","non-dropping-particle":"","parse-names":false,"suffix":""},{"dropping-particle":"V.","family":"Jeste","given":"Dilip","non-dropping-particle":"","parse-names":false,"suffix":""}],"container-title":"Biological Psychiatry: Cognitive Neuroscience and Neuroimaging","id":"ITEM-1","issue":"9","issued":{"date-parts":[["2021"]]},"page":"856-864","publisher":"Elsevier Inc","title":"Artificial Intelligence for Mental Health Care: Clinical Applications, Barriers, Facilitators, and Artificial Wisdom","type":"article-journal","volume":"6"},"uris":["http://www.mendeley.com/documents/?uuid=01491a8d-4b6a-4f1b-bbb0-e1117fab4422"]}],"mendeley":{"formattedCitation":"(E. E. Lee et al., 2021)","manualFormatting":"(Lee et al., 2021)","plainTextFormattedCitation":"(E. E. Lee et al., 2021)","previouslyFormattedCitation":"(E. E. Lee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(Lee et al., 2021)</w:t>
      </w:r>
      <w:r w:rsidRPr="005459E6">
        <w:rPr>
          <w:rFonts w:ascii="Times New Roman" w:hAnsi="Times New Roman" w:cs="Times New Roman"/>
        </w:rPr>
        <w:fldChar w:fldCharType="end"/>
      </w:r>
      <w:r w:rsidRPr="005459E6">
        <w:rPr>
          <w:rFonts w:ascii="Times New Roman" w:hAnsi="Times New Roman" w:cs="Times New Roman"/>
        </w:rPr>
        <w:t xml:space="preserve">.  The recent studies on Psychosomatic health reconfirm how influential AI could be while augmenting the same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{"citationItems":[{"id":"ITEM-1","itemData":{"DOI":"10.1038/s41398-020-0780-3","ISSN":"21583188","PMID":"32532967","abstract":"Mental illnesses, such as depression, are highly prevalent and have been shown to impact an individual’s physical health. Recently, artificial intelligence (AI) methods have been introduced to assist mental health providers, including psychiatrists and psychologists, for decision-making based on patients’ historical data (e.g., medical records, behavioral data, social media usage, etc.). Deep learning (DL), as one of the most recent generation of AI technologies, has demonstrated superior performance in many real-world applications ranging from computer vision to healthcare. The goal of this study is to review existing research on applications of DL algorithms in mental health outcome research. Specifically, we first briefly overview the state-of-the-art DL techniques. Then we review the literature relevant to DL applications in mental health outcomes. According to the application scenarios, we categorize these relevant articles into four groups: diagnosis and prognosis based on clinical data, analysis of genetics and genomics data for understanding mental health conditions, vocal and visual expression data analysis for disease detection, and estimation of risk of mental illness using social media data. Finally, we discuss challenges in using DL algorithms to improve our understanding of mental health conditions and suggest several promising directions for their applications in improving mental health diagnosis and treatment.","author":[{"dropping-particle":"","family":"Su","given":"Chang","non-dropping-particle":"","parse-names":false,"suffix":""},{"dropping-particle":"","family":"Xu","given":"Zhenxing","non-dropping-particle":"","parse-names":false,"suffix":""},{"dropping-particle":"","family":"Pathak","given":"Jyotishman","non-dropping-particle":"","parse-names":false,"suffix":""},{"dropping-particle":"","family":"Wang","given":"Fei","non-dropping-particle":"","parse-names":false,"suffix":""}],"container-title":"Translational Psychiatry","id":"ITEM-1","issue":"1","issued":{"date-parts":[["2020"]]},"publisher":"Springer US","title":"Deep learning in mental health outcome research: a scoping review","type":"article-journal","volume":"10"},"uris":["http://www.mendeley.com/documents/?uuid=4a1b823c-2b08-422f-be8c-14b5bcd05cb8"]}],"mendeley":{"formattedCitation":"(Su et al., 2020)","plainTextFormattedCitation":"(Su et al., 2020)","previouslyFormattedCitation":"(Su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(Su et al., 2020)</w:t>
      </w:r>
      <w:r w:rsidRPr="005459E6">
        <w:rPr>
          <w:rFonts w:ascii="Times New Roman" w:hAnsi="Times New Roman" w:cs="Times New Roman"/>
        </w:rPr>
        <w:fldChar w:fldCharType="end"/>
      </w:r>
      <w:r w:rsidRPr="005459E6">
        <w:rPr>
          <w:rFonts w:ascii="Times New Roman" w:hAnsi="Times New Roman" w:cs="Times New Roman"/>
        </w:rPr>
        <w:t xml:space="preserve">. </w:t>
      </w:r>
    </w:p>
    <w:p w14:paraId="7359E7E5" w14:textId="77777777" w:rsidR="00702687" w:rsidRPr="005459E6" w:rsidRDefault="00702687" w:rsidP="00B42ABB">
      <w:pPr>
        <w:spacing w:line="360" w:lineRule="auto"/>
        <w:jc w:val="both"/>
        <w:rPr>
          <w:rFonts w:ascii="Times New Roman" w:hAnsi="Times New Roman" w:cs="Times New Roman"/>
        </w:rPr>
      </w:pPr>
    </w:p>
    <w:p w14:paraId="614CF5A3" w14:textId="2606F10B"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As AI approaches are enhanced,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{"citationItems":[{"id":"ITEM-1","itemData":{"DOI":"10.1007/s11920-019-1094-0","ISSN":"15351645","PMID":"31701320","abstract":"Purpose of Review: Artificial intelligence (AI) technology holds both great promise to transform mental healthcare and potential pitfalls. This article provides an overview of AI and current applications in healthcare, a review of recent original research on AI specific to mental health, and a discussion of how AI can supplement clinical practice while considering its current limitations, areas needing additional research, and ethical implications regarding AI technology. Recent Findings: We reviewed 28 studies of AI and mental health that used electronic health records (EHRs), mood rating scales, brain imaging data, novel monitoring systems (e.g., smartphone, video), and social media platforms to predict, classify, or subgroup mental health illnesses including depression, schizophrenia or other psychiatric illnesses, and suicide ideation and attempts. Collectively, these studies revealed high accuracies and provided excellent examples of AI’s potential in mental healthcare, but most should be considered early proof-of-concept works demonstrating the potential of using machine learning (ML) algorithms to address mental health questions, and which types of algorithms yield the best performance. Summary: As AI techniques continue to be refined and improved, it will be possible to help mental health practitioners re-define mental illnesses more objectively than currently done in the DSM-5, identify these illnesses at an earlier or prodromal stage when interventions may be more effective, and personalize treatments based on an individual’s unique characteristics. However, caution is necessary in order to avoid over-interpreting preliminary results, and more work is required to bridge the gap between AI in mental health research and clinical care.","author":[{"dropping-particle":"","family":"Graham","given":"Sarah","non-dropping-particle":"","parse-names":false,"suffix":""},{"dropping-particle":"","family":"Depp","given":"Colin","non-dropping-particle":"","parse-names":false,"suffix":""},{"dropping-particle":"","family":"Lee","given":"Ellen E.","non-dropping-particle":"","parse-names":false,"suffix":""},{"dropping-particle":"","family":"Nebeker","given":"Camille","non-dropping-particle":"","parse-names":false,"suffix":""},{"dropping-particle":"","family":"Tu","given":"Xin","non-dropping-particle":"","parse-names":false,"suffix":""},{"dropping-particle":"","family":"Kim","given":"Ho Cheol","non-dropping-particle":"","parse-names":false,"suffix":""},{"dropping-particle":"V.","family":"Jeste","given":"Dilip","non-dropping-particle":"","parse-names":false,"suffix":""}],"container-title":"Current Psychiatry Reports","id":"ITEM-1","issue":"11","issued":{"date-parts":[["2019"]]},"publisher":"Current Psychiatry Reports","title":"Artificial Intelligence for Mental Health and Mental Illnesses: an Overview","type":"article-journal","volume":"21"},"uris":["http://www.mendeley.com/documents/?uuid=68e5cd10-8163-4c57-a12d-f8a09a5c8f6e"]}],"mendeley":{"formattedCitation":"(Graham et al., 2019a)","manualFormatting":"Graham et al. (2019)","plainTextFormattedCitation":"(Graham et al., 2019a)","previouslyFormattedCitation":"(Graham et al., 2019a)"},"properties":{"noteIndex":0},"schema":"https://github.com/citation-style-language/schema/raw/master/csl-citation.json"}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Graham et al. (2019)</w:t>
      </w:r>
      <w:r w:rsidRPr="005459E6">
        <w:rPr>
          <w:rFonts w:ascii="Times New Roman" w:hAnsi="Times New Roman" w:cs="Times New Roman"/>
        </w:rPr>
        <w:fldChar w:fldCharType="end"/>
      </w:r>
      <w:r w:rsidRPr="005459E6">
        <w:rPr>
          <w:rFonts w:ascii="Times New Roman" w:hAnsi="Times New Roman" w:cs="Times New Roman"/>
        </w:rPr>
        <w:t xml:space="preserve">, it may be able to help mental health practitioners re-define mental issues more objectively and personalize therapies based on an individual's unique traits. She also believes that additional work is needed to close the gap between AI research and clinical care in mental health. Implementing Artificial Intelligence in healthcare,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{"citationItems":[{"id":"ITEM-1","itemData":{"DOI":"10.1093/database/baaa010","ISSN":"17580463","PMID":"32185396","abstract":"Precision medicine is one of the recent and powerful developments in medical care, which has the potential to improve the traditional symptom-driven practice of medicine, allowing earlier interventions using advanced diagnostics and tailoring better and economically personalized treatments. Identifying the best pathway to personalized and population medicine involves the ability to analyze comprehensive patient information together with broader aspects to monitor and distinguish between sick and relatively healthy people, which will lead to a better understanding of biological indicators that can signal shifts in health. While the complexities of disease at the individual level have made it difficult to utilize healthcare information in clinical decision-making, some of the existing constraints have been greatly minimized by technological advancements. To implement effective precision medicine with enhanced ability to positively impact patient outcomes and provide real-time decision support, it is important to harness the power of electronic health records by integrating disparate data sources and discovering patient-specific patterns of disease progression. Useful analytic tools, technologies, databases, and approaches are required to augment networking and interoperability of clinical, laboratory and public health systems, as well as addressing ethical and social issues related to the privacy and protection of healthcare data with effective balance. Developing multifunctional machine learning platforms for clinical data extraction, aggregation, management and analysis can support clinicians by efficiently stratifying subjects to understand specific scenarios and optimize decision-making. Implementation of artificial intelligence in healthcare is a compelling vision that has the potential in leading to the significant improvements for achieving the goals of providing real-time, better personalized and population medicine at lower costs. In this study, we focused on analyzing and discussing various published artificial intelligence and machine learning solutions, approaches and perspectives, aiming to advance academic solutions in paving the way for a new data-centric era of discovery in healthcare.","author":[{"dropping-particle":"","family":"Ahmed","given":"Zeeshan","non-dropping-particle":"","parse-names":false,"suffix":""},{"dropping-particle":"","family":"Mohamed","given":"Khalid","non-dropping-particle":"","parse-names":false,"suffix":""},{"dropping-particle":"","family":"Zeeshan","given":"Saman","non-dropping-particle":"","parse-names":false,"suffix":""},{"dropping-particle":"","family":"Dong","given":"Xin Qi","non-dropping-particle":"","parse-names":false,"suffix":""}],"container-title":"Database","id":"ITEM-1","issued":{"date-parts":[["2020"]]},"page":"1-35","title":"Artificial intelligence with multi-functional machine learning platform development for better healthcare and precision medicine","type":"article-journal","volume":"2020"},"uris":["http://www.mendeley.com/documents/?uuid=bce851d9-adbb-4979-89d0-a40355148777"]}],"mendeley":{"formattedCitation":"(Z. Ahmed et al., 2020)","manualFormatting":"Ahmed et al. (2020)","plainTextFormattedCitation":"(Z. Ahmed et al., 2020)","previouslyFormattedCitation":"(Z. Ahmed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Ahmed et al. (2020)</w:t>
      </w:r>
      <w:r w:rsidRPr="005459E6">
        <w:rPr>
          <w:rFonts w:ascii="Times New Roman" w:hAnsi="Times New Roman" w:cs="Times New Roman"/>
        </w:rPr>
        <w:fldChar w:fldCharType="end"/>
      </w:r>
      <w:r w:rsidRPr="005459E6">
        <w:rPr>
          <w:rFonts w:ascii="Times New Roman" w:hAnsi="Times New Roman" w:cs="Times New Roman"/>
        </w:rPr>
        <w:t xml:space="preserve">, is a compelling concept that has the potential to lead to major advances in accomplishing real-time and tailored treatment at lower costs. Despite the fact that these systems face numerous methodological and ethical issues, they have the potential to permit large-scale data collecting far beyond the scope of typical research laboratory settings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{"citationItems":[{"id":"ITEM-1","itemData":{"DOI":"10.1016/B978-0-444-63934-9.00016-0","ISBN":"9780444639349","ISSN":"22124152","PMID":"32164854","abstract":"Brain-computer interfaces and wearable neurotechnologies are now used to measure real-time neural and physiologic signals from the human body and hold immense potential for advancements in medical diagnostics, prevention, and intervention. Given the future role that wearable neurotechnologies will likely serve in the health sector, a critical state-of-the-art assessment is necessary to gain a better understanding of their current strengths and limitations. In this chapter we present wearable electroencephalography systems that reflect groundbreaking innovations and improvements in real-time data collection and health monitoring. We focus on specifications reflecting technical advantages and disadvantages, discuss their use in fundamental and clinical research, their current applications, limitations, and future directions. While many methodological and ethical challenges remain, these systems host the potential to facilitate large-scale data collection far beyond the reach of traditional research laboratory settings.","author":[{"dropping-particle":"","family":"Cannard","given":"Cedric","non-dropping-particle":"","parse-names":false,"suffix":""},{"dropping-particle":"","family":"Brandmeyer","given":"Tracy","non-dropping-particle":"","parse-names":false,"suffix":""},{"dropping-particle":"","family":"Wahbeh","given":"Helané","non-dropping-particle":"","parse-names":false,"suffix":""},{"dropping-particle":"","family":"Delorme","given":"Arnaud","non-dropping-particle":"","parse-names":false,"suffix":""}],"container-title":"Handbook of Clinical Neurology","id":"ITEM-1","issued":{"date-parts":[["2020"]]},"page":"207-232","title":"Self-health monitoring and wearable neurotechnologies","type":"article-journal","volume":"168"},"uris":["http://www.mendeley.com/documents/?uuid=9d801361-de12-45cd-bf6d-a356fcbab0b0"]}],"mendeley":{"formattedCitation":"(Cannard et al., 2020)","plainTextFormattedCitation":"(Cannard et al., 2020)","previouslyFormattedCitation":"(Cannard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(Cannard et al., 2020)</w:t>
      </w:r>
      <w:r w:rsidRPr="005459E6">
        <w:rPr>
          <w:rFonts w:ascii="Times New Roman" w:hAnsi="Times New Roman" w:cs="Times New Roman"/>
        </w:rPr>
        <w:fldChar w:fldCharType="end"/>
      </w:r>
      <w:r w:rsidRPr="005459E6">
        <w:rPr>
          <w:rFonts w:ascii="Times New Roman" w:hAnsi="Times New Roman" w:cs="Times New Roman"/>
        </w:rPr>
        <w:t xml:space="preserve">. From deep learning to control of health management systems (including electronic health records) its informatics-driven techniques and active physician guidance in treatment decisions cannot be neglected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{"citationItems":[{"id":"ITEM-1","itemData":{"DOI":"10.1016/J.METABOL.2017.01.011","ISSN":"0026-0495","abstract":"Artificial Intelligence (AI) is a general term that implies the use of a computer to model intelligent behavior with minimal human intervention. AI is generally accepted as having started with the invention of robots. The term derives from the Czech word robota, meaning biosynthetic machines used as forced labor. In this field, Leonardo Da Vinci's lasting heritage is today's burgeoning use of robotic-assisted surgery, named after him, for complex urologic and gynecologic procedures. Da Vinci's sketchbooks of robots helped set the stage for this innovation. AI, described as the science and engineering of making intelligent machines, was officially born in 1956. The term is applicable to a broad range of items in medicine such as robotics, medical diagnosis, medical statistics, and human biology—up to and including today's “omics”. AI in medicine, which is the focus of this review, has two main branches: virtual and physical. The virtual branch includes informatics approaches from deep learning information management to control of health management systems, including electronic health records, and active guidance of physicians in their treatment decisions. The physical branch is best represented by robots used to assist the elderly patient or the attending surgeon. Also embodied in this branch are targeted nanorobots, a unique new drug delivery system. The societal and ethical complexities of these applications require further reflection, proof of their medical utility, economic value, and development of interdisciplinary strategies for their wider application.","author":[{"dropping-particle":"","family":"Hamet","given":"Pavel","non-dropping-particle":"","parse-names":false,"suffix":""}],"container-title":"Metabolism","id":"ITEM-1","issued":{"date-parts":[["2017","4","1"]]},"page":"S36-S40","publisher":"W.B. Saunders","title":"Artificial intelligence in medicine","type":"article-journal","volume":"69"},"uris":["http://www.mendeley.com/documents/?uuid=050664ff-fb68-3b2b-9b4d-5fb35b2b12af"]}],"mendeley":{"formattedCitation":"(Hamet, 2017)","plainTextFormattedCitation":"(Hamet, 2017)","previouslyFormattedCitation":"(Hamet,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(Hamet, 2017)</w:t>
      </w:r>
      <w:r w:rsidRPr="005459E6">
        <w:rPr>
          <w:rFonts w:ascii="Times New Roman" w:hAnsi="Times New Roman" w:cs="Times New Roman"/>
        </w:rPr>
        <w:fldChar w:fldCharType="end"/>
      </w:r>
      <w:r w:rsidRPr="005459E6">
        <w:rPr>
          <w:rFonts w:ascii="Times New Roman" w:hAnsi="Times New Roman" w:cs="Times New Roman"/>
        </w:rPr>
        <w:t xml:space="preserve">. </w:t>
      </w:r>
    </w:p>
    <w:p w14:paraId="01B0EE3D" w14:textId="77777777" w:rsidR="00CA5973"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Despite the flaws mentioned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{"citationItems":[{"id":"ITEM-1","itemData":{"DOI":"10.2196/21476","ISSN":"14388871","PMID":"32946413","abstract":"Background: COVID-19 was first discovered in December 2019 and has since evolved into a pandemic. Objective: To address this global health crisis, artificial intelligence (AI) has been deployed at various levels of the health care system. However, AI has both potential benefits and limitations. We therefore conducted a review of AI applications for COVID-19. Methods: We performed an extensive search of the PubMed and EMBASE databases for COVID-19–related English-language studies published between December 1, 2019, and March 31, 2020. We supplemented the database search with reference list checks. A thematic analysis and narrative review of AI applications for COVID-19 was conducted. Results: In total, 11 papers were included for review. AI was applied to COVID-19 in four areas: diagnosis, public health, clinical decision making, and therapeutics. We identified several limitations including insufficient data, omission of multimodal methods of AI-based assessment, delay in realization of benefits, poor internal/external validation, inability to be used by laypersons, inability to be used in resource-poor settings, presence of ethical pitfalls, and presence of legal barriers. AI could potentially be explored in four other areas: surveillance, combination with big data, operation of other core clinical services, and management of patients with COVID-19. Conclusions: In view of the continuing increase in the number of cases, and given that multiple waves of infections may occur, there is a need for effective methods to help control the COVID-19 pandemic. Despite its shortcomings, AI holds the potential to greatly augment existing human efforts, which may otherwise be overwhelmed by high patient numbers.","author":[{"dropping-particle":"","family":"Chen","given":"Jiayang","non-dropping-particle":"","parse-names":false,"suffix":""},{"dropping-particle":"","family":"See","given":"Kay Choong","non-dropping-particle":"","parse-names":false,"suffix":""}],"container-title":"Journal of Medical Internet Research","id":"ITEM-1","issue":"10","issued":{"date-parts":[["2020"]]},"title":"Artificial Intelligence for COVID-19: Rapid Review","type":"article-journal","volume":"22"},"uris":["http://www.mendeley.com/documents/?uuid=82c7703e-0230-4d91-8318-584a2dfa0487"]}],"mendeley":{"formattedCitation":"(Chen &amp; See, 2020)","manualFormatting":"Chen and See (2020)","plainTextFormattedCitation":"(Chen &amp; See, 2020)","previouslyFormattedCitation":"(Chen &amp; See,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Chen and See (2020)</w:t>
      </w:r>
      <w:r w:rsidRPr="005459E6">
        <w:rPr>
          <w:rFonts w:ascii="Times New Roman" w:hAnsi="Times New Roman" w:cs="Times New Roman"/>
        </w:rPr>
        <w:fldChar w:fldCharType="end"/>
      </w:r>
      <w:r w:rsidRPr="005459E6">
        <w:rPr>
          <w:rFonts w:ascii="Times New Roman" w:hAnsi="Times New Roman" w:cs="Times New Roman"/>
        </w:rPr>
        <w:t>, AI has the potential to supplement existing human efforts, which may be overwhelmed by the enormous number of patients.</w:t>
      </w:r>
      <w:r w:rsidR="00702687" w:rsidRPr="005459E6">
        <w:rPr>
          <w:rFonts w:ascii="Times New Roman" w:hAnsi="Times New Roman" w:cs="Times New Roman"/>
        </w:rPr>
        <w:t xml:space="preserve"> </w:t>
      </w:r>
      <w:r w:rsidRPr="005459E6">
        <w:rPr>
          <w:rFonts w:ascii="Times New Roman" w:hAnsi="Times New Roman" w:cs="Times New Roman"/>
        </w:rPr>
        <w:t xml:space="preserve">Recently, scholars have recognized the need to focus on how digitization functions as a new layer of connected intelligence that augments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{"citationItems":[{"id":"ITEM-1","itemData":{"DOI":"10.17705/1cais.03735","ISSN":"15293181","abstract":"Service innovations, enabled by the confluence of big data, mobile solutions, cloud, social, and cognitive computing, and the Internet of Things, have gained a lot of attention among many enterprises in the past few years because they represent promising ways for companies to effectively and rapidly deliver new services. But one of today's most pervasive and bedeviling challenges is how to start this journey and stay on course. In this paper, we review some of the important developments in this area and reports the views voiced by five industry leaders from IBM, Cisco, HP, and ISSIP at a panel session at the 24th Annual Compete through Service Symposium in 2013. Panelists provided an extensive list of recommendations to academicians and professionals. The biggest conclusion is that all of the information and communications technology (ICT)-enabled service innovations need to be human-centered and focused on co-creating value.","author":[{"dropping-particle":"","family":"Demirkan","given":"Haluk","non-dropping-particle":"","parse-names":false,"suffix":""},{"dropping-particle":"","family":"Bess","given":"Charlie","non-dropping-particle":"","parse-names":false,"suffix":""},{"dropping-particle":"","family":"Spohrer","given":"Jim","non-dropping-particle":"","parse-names":false,"suffix":""},{"dropping-particle":"","family":"Rayes","given":"Ammar","non-dropping-particle":"","parse-names":false,"suffix":""},{"dropping-particle":"","family":"Allen","given":"Don","non-dropping-particle":"","parse-names":false,"suffix":""},{"dropping-particle":"","family":"Moghaddam","given":"Yassi","non-dropping-particle":"","parse-names":false,"suffix":""}],"container-title":"Communications of the Association for Information Systems","id":"ITEM-1","issue":"1","issued":{"date-parts":[["2015"]]},"page":"733-752","title":"Innovations with smart service systems: Analytics, big data, cognitive assistance, and the internet of everything","type":"article-journal","volume":"37"},"uris":["http://www.mendeley.com/documents/?uuid=b9598efe-98ab-492c-b744-83a7a1ed4de1"]}],"mendeley":{"formattedCitation":"(Demirkan et al., 2015)","plainTextFormattedCitation":"(Demirkan et al., 2015)","previouslyFormattedCitation":"(Demirkan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(Demirkan et al., 2015)</w:t>
      </w:r>
      <w:r w:rsidRPr="005459E6">
        <w:rPr>
          <w:rFonts w:ascii="Times New Roman" w:hAnsi="Times New Roman" w:cs="Times New Roman"/>
        </w:rPr>
        <w:fldChar w:fldCharType="end"/>
      </w:r>
      <w:r w:rsidRPr="005459E6">
        <w:rPr>
          <w:rFonts w:ascii="Times New Roman" w:hAnsi="Times New Roman" w:cs="Times New Roman"/>
        </w:rPr>
        <w:t xml:space="preserve">. This is where state-of-the-art technologies come into play to help medical practitioners provide the right treatment within a limited duration and with minimal costs. It is believed that technologies are reinventing the dynamics within the healthcare industry by providing greater access to patients as well as healthcare providers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{"citationItems":[{"id":"ITEM-1","itemData":{"DOI":"10.5958/0976-478x.2020.00010.5","author":[{"dropping-particle":"","family":"Morande","given":"Swapnil","non-dropping-particle":"","parse-names":false,"suffix":""},{"dropping-particle":"","family":"Pietronudo","given":"Maria Cristina","non-dropping-particle":"","parse-names":false,"suffix":""}],"container-title":"Journal of Commerce and Management Thought","id":"ITEM-1","issue":"2","issued":{"date-parts":[["2020"]]},"page":"155","publisher":"Diva Enterprises Private Limited","title":"Pervasive Health Systems: Convergence through Artificial Intelligence and Blockchain Technologies","type":"article-journal","volume":"11"},"uris":["http://www.mendeley.com/documents/?uuid=be855716-5b89-45b3-958d-2695d6af3ef0"]}],"mendeley":{"formattedCitation":"(Morande &amp; Pietronudo, 2020)","plainTextFormattedCitation":"(Morande &amp; Pietronudo, 2020)","previouslyFormattedCitation":"(Morande &amp; Pietronudo,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(Morande &amp; Pietronudo, 2020)</w:t>
      </w:r>
      <w:r w:rsidRPr="005459E6">
        <w:rPr>
          <w:rFonts w:ascii="Times New Roman" w:hAnsi="Times New Roman" w:cs="Times New Roman"/>
        </w:rPr>
        <w:fldChar w:fldCharType="end"/>
      </w:r>
      <w:r w:rsidRPr="005459E6">
        <w:rPr>
          <w:rFonts w:ascii="Times New Roman" w:hAnsi="Times New Roman" w:cs="Times New Roman"/>
        </w:rPr>
        <w:t xml:space="preserve">.  </w:t>
      </w:r>
    </w:p>
    <w:p w14:paraId="53692EC6" w14:textId="3C396A54"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In the same fashion, the therapists can leverage the interaction with patients and technology to deliver effective therapy. Technological evolution has the capability to overcome the limitations in psychological treatments. Artificial Intelligence can mimic human cognitive functions. When the data is gathered using Healthcare IoT (also known as IoMT) devices using different sensors, the arrangement can be beneficial to healthcare, powered by the increasing availability of healthcare data and rapid progress of analytical techniques.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{"citationItems":[{"id":"ITEM-1","itemData":{"DOI":"10.1007/s13162-019-00135-x","ISSN":"1869-814X","abstract":"Healthcare is a service setting where meeting the needs of customers (patients and their families) is uniquely challenging. But the necessity, complexity, cost, and high-emotion nature of the service, as well as technological advances and competitive dynamics in the industry, make the imperative for service innovation in healthcare especially urgent. Forward-thinking healthcare institutions around the United States are succeeding in establishing a value-creating innovation culture and in implementing operational and strategic service innovations that benefit them and their stakeholders. They view continuous innovation as a non-negotiable goal, prize institutional self-confidence, and include patients and families on the innovation team. Cancer care, in particular, faces a pressing need for service innovation, and some progressive oncology centers are demonstrating what is possible to improve the patient and family service experience. The imperatives, now, are for service innovation to become part of the fabric of how all healthcare institutions, not just the groundbreakers discussed in this article, operate---and for academics in the field of marketing to play a crucial role in that effort.","author":[{"dropping-particle":"","family":"Berry","given":"Leonard L.","non-dropping-particle":"","parse-names":false,"suffix":""}],"container-title":"AMS Review","id":"ITEM-1","issue":"1-2","issued":{"date-parts":[["2019"]]},"page":"78-92","publisher":"AMS Review","title":"Service innovation is urgent in healthcare","type":"article-journal","volume":"9"},"uris":["http://www.mendeley.com/documents/?uuid=464db32b-ca7b-4aa7-bd71-bc4424480f87"]}],"mendeley":{"formattedCitation":"(Berry, 2019)","manualFormatting":"Berry (2019)","plainTextFormattedCitation":"(Berry, 2019)","previouslyFormattedCitation":"(Berry,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Berry (2019)</w:t>
      </w:r>
      <w:r w:rsidRPr="005459E6">
        <w:rPr>
          <w:rFonts w:ascii="Times New Roman" w:hAnsi="Times New Roman" w:cs="Times New Roman"/>
        </w:rPr>
        <w:fldChar w:fldCharType="end"/>
      </w:r>
      <w:r w:rsidRPr="005459E6">
        <w:rPr>
          <w:rFonts w:ascii="Times New Roman" w:hAnsi="Times New Roman" w:cs="Times New Roman"/>
        </w:rPr>
        <w:t xml:space="preserve"> reiterates that the impact of technology on healthcare must be observed in service research. Following the same studies have identified the advantages of technologies in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{"citationItems":[{"id":"ITEM-1","itemData":{"DOI":"10.1177/2394964318805839","ISBN":"2394964318805","ISSN":"2454213X","abstract":"This article focuses on the value innovation prompted by Artificial Intelligence (AI). By shifting the attention from innovation as a new outcome to innovating as something that people do (i.e., a practice) to co-create value, this article addresses how IBM Watson prompts new service provisions and the emergence of new interactions between humans and non-humans. The research allows for detecting how multiple actors connect, interact, learn and discover new ways to do things, serve others better and co-create value through AI. A fresh approach is offered to explore the role of AI to foster networking and knowing practices for value creating and innovating.","author":[{"dropping-particle":"","family":"Russo-Spena","given":"Tiziana","non-dropping-particle":"","parse-names":false,"suffix":""},{"dropping-particle":"","family":"Mele","given":"Cristina","non-dropping-particle":"","parse-names":false,"suffix":""},{"dropping-particle":"","family":"Marzullo","given":"Marialuisa","non-dropping-particle":"","parse-names":false,"suffix":""}],"container-title":"Journal of Creating Value","id":"ITEM-1","issue":"1","issued":{"date-parts":[["2019"]]},"page":"11-24","title":"Practising Value Innovation through Artificial Intelligence: The IBM Watson Case","type":"article-journal","volume":"5"},"uris":["http://www.mendeley.com/documents/?uuid=e53f60f3-095a-4c6f-96ef-ee068257dd85"]}],"mendeley":{"formattedCitation":"(Russo-Spena et al., 2019)","plainTextFormattedCitation":"(Russo-Spena et al., 2019)","previouslyFormattedCitation":"(Russo-Spena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(Russo-Spena et al., 2019)</w:t>
      </w:r>
      <w:r w:rsidRPr="005459E6">
        <w:rPr>
          <w:rFonts w:ascii="Times New Roman" w:hAnsi="Times New Roman" w:cs="Times New Roman"/>
        </w:rPr>
        <w:fldChar w:fldCharType="end"/>
      </w:r>
      <w:r w:rsidRPr="005459E6">
        <w:rPr>
          <w:rFonts w:ascii="Times New Roman" w:hAnsi="Times New Roman" w:cs="Times New Roman"/>
        </w:rPr>
        <w:t xml:space="preserve"> and have analyzed how technologies such as AI can support actors to fulfill value co-creation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{"citationItems":[{"id":"ITEM-1","itemData":{"ISSN":"0040-1625","author":[{"dropping-particle":"","family":"Peine","given":"Alexander","non-dropping-particle":"","parse-names":false,"suffix":""},{"dropping-particle":"","family":"Moors","given":"Ellen H M","non-dropping-particle":"","parse-names":false,"suffix":""}],"container-title":"Technological Forecasting and Social Change","id":"ITEM-1","issued":{"date-parts":[["2015"]]},"page":"68-81","publisher":"Elsevier","title":"Valuing health technology–habilitating and prosthetic strategies in personal health systems","type":"article-journal","volume":"93"},"uris":["http://www.mendeley.com/documents/?uuid=76fc7c38-087f-4527-aeff-4c5f6deb3cd2"]},{"id":"ITEM-2","itemData":{"ISSN":"0148-2963","author":[{"dropping-particle":"","family":"Mele","given":"Cristina","non-dropping-particle":"","parse-names":false,"suffix":""},{"dropping-particle":"","family":"Spena","given":"Tiziana Russo","non-dropping-particle":"","parse-names":false,"suffix":""},{"dropping-particle":"","family":"Kaartemo","given":"Valtteri","non-dropping-particle":"","parse-names":false,"suffix":""},{"dropping-particle":"","family":"Marzullo","given":"Maria Luisa","non-dropping-particle":"","parse-names":false,"suffix":""}],"container-title":"Journal of Business Research","id":"ITEM-2","issued":{"date-parts":[["2021"]]},"page":"949-960","publisher":"Elsevier","title":"Smart nudging: How cognitive technologies enable choice architectures for value co-creation","type":"article-journal","volume":"129"},"uris":["http://www.mendeley.com/documents/?uuid=a7cc38cf-63b7-4df4-9fb7-91b377d17b57"]}],"mendeley":{"formattedCitation":"(Mele, Spena, et al., 2021; Peine &amp; Moors, 2015)","plainTextFormattedCitation":"(Mele, Spena, et al., 2021; Peine &amp; Moors, 2015)","previouslyFormattedCitation":"(Mele, Spena, et al., 2021; Peine &amp; Moors,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Spena, et al., 2021; Peine &amp; Moors, 2015)</w:t>
      </w:r>
      <w:r w:rsidRPr="005459E6">
        <w:rPr>
          <w:rFonts w:ascii="Times New Roman" w:hAnsi="Times New Roman" w:cs="Times New Roman"/>
        </w:rPr>
        <w:fldChar w:fldCharType="end"/>
      </w:r>
      <w:r w:rsidRPr="005459E6">
        <w:rPr>
          <w:rFonts w:ascii="Times New Roman" w:hAnsi="Times New Roman" w:cs="Times New Roman"/>
        </w:rPr>
        <w:t>.</w:t>
      </w:r>
    </w:p>
    <w:p w14:paraId="0F9B3AD1" w14:textId="77777777" w:rsidR="00E2702D" w:rsidRPr="005459E6" w:rsidRDefault="00E2702D" w:rsidP="00B42ABB">
      <w:pPr>
        <w:spacing w:line="360" w:lineRule="auto"/>
        <w:jc w:val="both"/>
        <w:rPr>
          <w:rFonts w:ascii="Times New Roman" w:hAnsi="Times New Roman" w:cs="Times New Roman"/>
        </w:rPr>
      </w:pPr>
    </w:p>
    <w:p w14:paraId="4712B2E0" w14:textId="77777777" w:rsidR="00702687" w:rsidRPr="005459E6" w:rsidRDefault="00702687" w:rsidP="00B42ABB">
      <w:pPr>
        <w:spacing w:line="360" w:lineRule="auto"/>
        <w:jc w:val="both"/>
        <w:rPr>
          <w:rFonts w:ascii="Times New Roman" w:hAnsi="Times New Roman" w:cs="Times New Roman"/>
        </w:rPr>
      </w:pPr>
    </w:p>
    <w:p w14:paraId="484A8C62" w14:textId="77777777" w:rsidR="00702687" w:rsidRPr="005459E6" w:rsidRDefault="00702687" w:rsidP="00B42ABB">
      <w:pPr>
        <w:spacing w:line="360" w:lineRule="auto"/>
        <w:jc w:val="both"/>
        <w:rPr>
          <w:rFonts w:ascii="Times New Roman" w:hAnsi="Times New Roman" w:cs="Times New Roman"/>
        </w:rPr>
      </w:pPr>
    </w:p>
    <w:p w14:paraId="05343EEB"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26" w:name="_Toc87349482"/>
      <w:bookmarkStart w:id="27" w:name="_Toc87349595"/>
      <w:bookmarkStart w:id="28" w:name="_Toc87349702"/>
      <w:bookmarkStart w:id="29" w:name="_Toc88307696"/>
      <w:bookmarkStart w:id="30" w:name="_Toc88315252"/>
      <w:bookmarkStart w:id="31" w:name="_Toc104746481"/>
      <w:bookmarkStart w:id="32" w:name="_Toc104827762"/>
      <w:bookmarkStart w:id="33" w:name="_Toc107248272"/>
      <w:r w:rsidRPr="005459E6">
        <w:rPr>
          <w:rFonts w:ascii="Times New Roman" w:hAnsi="Times New Roman" w:cs="Times New Roman"/>
          <w:color w:val="auto"/>
          <w:sz w:val="22"/>
          <w:szCs w:val="22"/>
        </w:rPr>
        <w:lastRenderedPageBreak/>
        <w:t>Artificial Intelligence (A.I.)</w:t>
      </w:r>
      <w:bookmarkEnd w:id="26"/>
      <w:bookmarkEnd w:id="27"/>
      <w:bookmarkEnd w:id="28"/>
      <w:bookmarkEnd w:id="29"/>
      <w:bookmarkEnd w:id="30"/>
      <w:bookmarkEnd w:id="31"/>
      <w:bookmarkEnd w:id="32"/>
      <w:bookmarkEnd w:id="33"/>
      <w:r w:rsidRPr="005459E6">
        <w:rPr>
          <w:rFonts w:ascii="Times New Roman" w:hAnsi="Times New Roman" w:cs="Times New Roman"/>
          <w:color w:val="auto"/>
          <w:sz w:val="22"/>
          <w:szCs w:val="22"/>
        </w:rPr>
        <w:tab/>
      </w:r>
    </w:p>
    <w:p w14:paraId="405E80CF" w14:textId="77B67FB1"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Pursuant to the definition of Minsky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{"citationItems":[{"id":"ITEM-1","itemData":{"ISSN":"0096-8390","author":[{"dropping-particle":"","family":"Minsky","given":"Marvin","non-dropping-particle":"","parse-names":false,"suffix":""}],"container-title":"Proceedings of the IRE","id":"ITEM-1","issue":"1","issued":{"date-parts":[["1961"]]},"page":"8-30","publisher":"IEEE","title":"Steps toward artificial intelligence","type":"article-journal","volume":"49"},"uris":["http://www.mendeley.com/documents/?uuid=61d321cf-05f5-439e-92a0-d13700c19553"]}],"mendeley":{"formattedCitation":"(Minsky, 1961)","manualFormatting":"(1961)","plainTextFormattedCitation":"(Minsky, 1961)","previouslyFormattedCitation":"(Minsky, 1961)"},"properties":{"noteIndex":0},"schema":"https://github.com/citation-style-language/schema/raw/master/csl-citation.json"}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(1961)</w:t>
      </w:r>
      <w:r w:rsidRPr="005459E6">
        <w:rPr>
          <w:rFonts w:ascii="Times New Roman" w:hAnsi="Times New Roman" w:cs="Times New Roman"/>
        </w:rPr>
        <w:fldChar w:fldCharType="end"/>
      </w:r>
      <w:r w:rsidR="004A42FE">
        <w:rPr>
          <w:rFonts w:ascii="Times New Roman" w:hAnsi="Times New Roman" w:cs="Times New Roman"/>
        </w:rPr>
        <w:t xml:space="preserve"> -</w:t>
      </w:r>
      <w:r w:rsidRPr="005459E6">
        <w:rPr>
          <w:rFonts w:ascii="Times New Roman" w:hAnsi="Times New Roman" w:cs="Times New Roman"/>
        </w:rPr>
        <w:t xml:space="preserve"> the father of AI - Artificial Intelligence stands for the machine that can perform intelligent tasks imitating a human being.</w:t>
      </w:r>
    </w:p>
    <w:p w14:paraId="04804AF6"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In this discipline, the applications fall into two categories:  </w:t>
      </w:r>
    </w:p>
    <w:p w14:paraId="48C876F7" w14:textId="77777777" w:rsidR="00B42ABB" w:rsidRPr="005459E6" w:rsidRDefault="00B42ABB" w:rsidP="00B42ABB">
      <w:pPr>
        <w:spacing w:line="360" w:lineRule="auto"/>
        <w:jc w:val="both"/>
        <w:rPr>
          <w:rFonts w:ascii="Times New Roman" w:hAnsi="Times New Roman" w:cs="Times New Roman"/>
          <w:i/>
          <w:iCs/>
        </w:rPr>
      </w:pPr>
      <w:r w:rsidRPr="005459E6">
        <w:rPr>
          <w:rFonts w:ascii="Times New Roman" w:hAnsi="Times New Roman" w:cs="Times New Roman"/>
          <w:i/>
          <w:iCs/>
        </w:rPr>
        <w:t>(1) Development of utilities that could carry out human actions</w:t>
      </w:r>
    </w:p>
    <w:p w14:paraId="4D88B307" w14:textId="77777777" w:rsidR="00B42ABB" w:rsidRPr="005459E6" w:rsidRDefault="00B42ABB" w:rsidP="00B42ABB">
      <w:pPr>
        <w:spacing w:line="360" w:lineRule="auto"/>
        <w:jc w:val="both"/>
        <w:rPr>
          <w:rFonts w:ascii="Times New Roman" w:hAnsi="Times New Roman" w:cs="Times New Roman"/>
          <w:i/>
          <w:iCs/>
        </w:rPr>
      </w:pPr>
      <w:r w:rsidRPr="005459E6">
        <w:rPr>
          <w:rFonts w:ascii="Times New Roman" w:hAnsi="Times New Roman" w:cs="Times New Roman"/>
          <w:i/>
          <w:iCs/>
        </w:rPr>
        <w:t>(2) Replicate the cognitive capabilities of the humans</w:t>
      </w:r>
    </w:p>
    <w:p w14:paraId="1048F075" w14:textId="77777777" w:rsidR="00B42ABB" w:rsidRPr="005459E6" w:rsidRDefault="00B42ABB" w:rsidP="00B42ABB">
      <w:pPr>
        <w:spacing w:line="360" w:lineRule="auto"/>
        <w:jc w:val="both"/>
        <w:rPr>
          <w:rFonts w:ascii="Times New Roman" w:hAnsi="Times New Roman" w:cs="Times New Roman"/>
        </w:rPr>
      </w:pPr>
    </w:p>
    <w:p w14:paraId="593D74F8" w14:textId="7E84B142"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With its seemingly endless capability, </w:t>
      </w:r>
      <w:r w:rsidR="004A42FE">
        <w:rPr>
          <w:rFonts w:ascii="Times New Roman" w:hAnsi="Times New Roman" w:cs="Times New Roman"/>
        </w:rPr>
        <w:t>A</w:t>
      </w:r>
      <w:r w:rsidRPr="005459E6">
        <w:rPr>
          <w:rFonts w:ascii="Times New Roman" w:hAnsi="Times New Roman" w:cs="Times New Roman"/>
        </w:rPr>
        <w:t xml:space="preserve">rtificial </w:t>
      </w:r>
      <w:r w:rsidR="004A42FE">
        <w:rPr>
          <w:rFonts w:ascii="Times New Roman" w:hAnsi="Times New Roman" w:cs="Times New Roman"/>
        </w:rPr>
        <w:t>I</w:t>
      </w:r>
      <w:r w:rsidRPr="005459E6">
        <w:rPr>
          <w:rFonts w:ascii="Times New Roman" w:hAnsi="Times New Roman" w:cs="Times New Roman"/>
        </w:rPr>
        <w:t>ntelligence (A</w:t>
      </w:r>
      <w:r w:rsidR="004A42FE">
        <w:rPr>
          <w:rFonts w:ascii="Times New Roman" w:hAnsi="Times New Roman" w:cs="Times New Roman"/>
        </w:rPr>
        <w:t>.</w:t>
      </w:r>
      <w:r w:rsidRPr="005459E6">
        <w:rPr>
          <w:rFonts w:ascii="Times New Roman" w:hAnsi="Times New Roman" w:cs="Times New Roman"/>
        </w:rPr>
        <w:t>I</w:t>
      </w:r>
      <w:r w:rsidR="004A42FE">
        <w:rPr>
          <w:rFonts w:ascii="Times New Roman" w:hAnsi="Times New Roman" w:cs="Times New Roman"/>
        </w:rPr>
        <w:t>.</w:t>
      </w:r>
      <w:r w:rsidRPr="005459E6">
        <w:rPr>
          <w:rFonts w:ascii="Times New Roman" w:hAnsi="Times New Roman" w:cs="Times New Roman"/>
        </w:rPr>
        <w:t xml:space="preserve">) has the potential to truly revolutionize healthcare. With its increasing ability to process and analyze uncertain and complex data into actionable tasks, A.I. can alter industry-wide practices. To accomplish this, similar data obtained from therapeutic activities can be used to learn from similar groups of people and uncover relationships between them. Demographics, medical notes, electronic records from medical equipment, physical examinations and photos, among other things, are examples of clinical data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{"citationItems":[{"id":"ITEM-1","itemData":{"DOI":"10.1136/svn-2017-000101","ISSN":"20598696","PMID":"29507784","abstract":"Artificial intelligence (AI) aims to mimic human cognitive functions. It is bringing a paradigm shift to healthcare, powered by increasing availability of healthcare data and rapid progress of analytics techniques. We survey the current status of AI applications in healthcare and discuss its future. AI can be applied to various types of healthcare data (structured and unstructured). Popular AI techniques include machine learning methods for structured data, such as the classical support vector machine and neural network, and the modern deep learning, as well as natural language processing for unstructured data. Major disease areas that use AI tools include cancer, neurology and cardiology. We then review in more details the AI applications in stroke, in the three major areas of early detection and diagnosis, treatment, as well as outcome prediction and prognosis evaluation. We conclude with discussion about pioneer AI systems, such as IBM Watson, and hurdles for real-life deployment of AI.","author":[{"dropping-particle":"","family":"Jiang","given":"Fei","non-dropping-particle":"","parse-names":false,"suffix":""},{"dropping-particle":"","family":"Jiang","given":"Yong","non-dropping-particle":"","parse-names":false,"suffix":""},{"dropping-particle":"","family":"Zhi","given":"Hui","non-dropping-particle":"","parse-names":false,"suffix":""},{"dropping-particle":"","family":"Dong","given":"Yi","non-dropping-particle":"","parse-names":false,"suffix":""},{"dropping-particle":"","family":"Li","given":"Hao","non-dropping-particle":"","parse-names":false,"suffix":""},{"dropping-particle":"","family":"Ma","given":"Sufeng","non-dropping-particle":"","parse-names":false,"suffix":""},{"dropping-particle":"","family":"Wang","given":"Yongjun Yilong","non-dropping-particle":"","parse-names":false,"suffix":""},{"dropping-particle":"","family":"Dong","given":"Qiang","non-dropping-particle":"","parse-names":false,"suffix":""},{"dropping-particle":"","family":"Shen","given":"Haipeng","non-dropping-particle":"","parse-names":false,"suffix":""},{"dropping-particle":"","family":"Wang","given":"Yongjun Yilong","non-dropping-particle":"","parse-names":false,"suffix":""}],"container-title":"Stroke and Vascular Neurology","id":"ITEM-1","issue":"4","issued":{"date-parts":[["2017","12","1"]]},"page":"230-243","publisher":"BMJ Specialist Journals","title":"Artificial intelligence in healthcare: past, present and future","type":"article-journal","volume":"2"},"uris":["http://www.mendeley.com/documents/?uuid=0b10c6ee-0520-4ccf-bca0-ca47287a0cbd"]}],"mendeley":{"formattedCitation":"(Jiang et al., 2017b)","manualFormatting":"(Jiang et al., 2017)","plainTextFormattedCitation":"(Jiang et al., 2017b)","previouslyFormattedCitation":"(Jiang et al., 2017b)"},"properties":{"noteIndex":0},"schema":"https://github.com/citation-style-language/schema/raw/master/csl-citation.json"}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(Jiang et al., 2017)</w:t>
      </w:r>
      <w:r w:rsidRPr="005459E6">
        <w:rPr>
          <w:rFonts w:ascii="Times New Roman" w:hAnsi="Times New Roman" w:cs="Times New Roman"/>
        </w:rPr>
        <w:fldChar w:fldCharType="end"/>
      </w:r>
      <w:r w:rsidRPr="005459E6">
        <w:rPr>
          <w:rFonts w:ascii="Times New Roman" w:hAnsi="Times New Roman" w:cs="Times New Roman"/>
        </w:rPr>
        <w:t>.</w:t>
      </w:r>
    </w:p>
    <w:p w14:paraId="25BD3E57"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In comparison to other technologically driven sectors, AI research in healthcare faces unique challenges. In other engineering applications, physical system models quantitatively explain the underlying behavior, which may not be possible in healthcare. </w:t>
      </w:r>
    </w:p>
    <w:p w14:paraId="680D46D3"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The lack of such quantitative models explaining the correlations between diseases and their causes differs substantially. Also, healthcare professionals deal with the same clinical cases with different approaches. As a result, training AI-based tools on subjective replies that carry over individual biases.</w:t>
      </w:r>
    </w:p>
    <w:p w14:paraId="606307D5" w14:textId="43913CB8"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AI-based research in healthcare should imbibe medical problem characteristics across various healthcare applications that could also support minorities and people with disabilities that are not carefully considered during the AI system's programming. Depending on the type and amount of data available, the target patient group, the degree of variability and relevant information in the data, and the nature of the health care decisions to be made, each application may require a tailored A.I. technique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{"citationItems":[{"id":"ITEM-1","itemData":{"DOI":"10.2196/15154","ISSN":"14388871","PMID":"32558657","abstract":"Artificial intelligence (AI) can transform health care practices with its increasing ability to translate the uncertainty and complexity in data into actionable-though imperfect-clinical decisions or suggestions. In the evolving relationship between humans and AI, trust is the one mechanism that shapes clinicians' use and adoption of AI. Trust is a psychological mechanism to deal with the uncertainty between what is known and unknown. Several research studies have highlighted the need for improving AI-based systems and enhancing their capabilities to help clinicians. However, assessing the magnitude and impact of human trust on AI technology demands substantial attention. Will a clinician trust an AI-based system? What are the factors that influence human trust in AI? Can trust in AI be optimized to improve decision-making processes? In this paper, we focus on clinicians as the primary users of AI systems in health care and present factors shaping trust between clinicians and AI. We highlight critical challenges related to trust that should be considered during the development of any AI system for clinical use.","author":[{"dropping-particle":"","family":"Asan","given":"Onur","non-dropping-particle":"","parse-names":false,"suffix":""},{"dropping-particle":"","family":"Bayrak","given":"Alparslan Emrah","non-dropping-particle":"","parse-names":false,"suffix":""},{"dropping-particle":"","family":"Choudhury","given":"Avishek","non-dropping-particle":"","parse-names":false,"suffix":""}],"container-title":"Journal of Medical Internet Research","id":"ITEM-1","issue":"6","issued":{"date-parts":[["2020"]]},"page":"1-7","title":"Artificial Intelligence and Human Trust in Healthcare: Focus on Clinicians","type":"article-journal","volume":"22"},"uris":["http://www.mendeley.com/documents/?uuid=eb409726-0978-4074-a688-fa0badc1f34b"]}],"mendeley":{"formattedCitation":"(Asan et al., 2020)","plainTextFormattedCitation":"(Asan et al., 2020)","previouslyFormattedCitation":"(Asan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(Asan et al., 2020)</w:t>
      </w:r>
      <w:r w:rsidRPr="005459E6">
        <w:rPr>
          <w:rFonts w:ascii="Times New Roman" w:hAnsi="Times New Roman" w:cs="Times New Roman"/>
        </w:rPr>
        <w:fldChar w:fldCharType="end"/>
      </w:r>
      <w:r w:rsidRPr="005459E6">
        <w:rPr>
          <w:rFonts w:ascii="Times New Roman" w:hAnsi="Times New Roman" w:cs="Times New Roman"/>
        </w:rPr>
        <w:t xml:space="preserve">. Hence as suggested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Mele","given":"Cristina","non-dropping-particle":"","parse-names":false,"suffix":""},{"dropping-particle":"","family":"Marzullo","given":"Marialuisa","non-dropping-particle":"","parse-names":false,"suffix":""},{"dropping-particle":"","family":"Morande","given":"Swapnil","non-dropping-particle":"","parse-names":false,"suffix":""},{"dropping-particle":"","family":"Spena","given":"Russo","non-dropping-particle":"","parse-names":false,"suffix":""}],"id":"ITEM-1","issue":"February","issued":{"date-parts":[["2021"]]},"page":"1-13","title":"How Artificial Intelligence Enhances Human Learning Abilities : Opportunities in the Fight Against COVID-19","type":"article-journal","volume":"3962"},"uris":["http://www.mendeley.com/documents/?uuid=e1954159-4f57-406f-932b-db5c96f9123e"]}],"mendeley":{"formattedCitation":"(Mele, Marzullo, et al., 2021)","manualFormatting":"Mele et al. (2021)","plainTextFormattedCitation":"(Mele, Marzullo, et al., 2021)","previouslyFormattedCitation":"(Mele, Marzullo,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et al. (2021)</w:t>
      </w:r>
      <w:r w:rsidRPr="005459E6">
        <w:rPr>
          <w:rFonts w:ascii="Times New Roman" w:hAnsi="Times New Roman" w:cs="Times New Roman"/>
        </w:rPr>
        <w:fldChar w:fldCharType="end"/>
      </w:r>
      <w:r w:rsidRPr="005459E6">
        <w:rPr>
          <w:rFonts w:ascii="Times New Roman" w:hAnsi="Times New Roman" w:cs="Times New Roman"/>
        </w:rPr>
        <w:t xml:space="preserve">, one needs to understand not simply how AI learns but how it can support humans in their learning abilities </w:t>
      </w:r>
      <w:r w:rsidR="00F42435" w:rsidRPr="005459E6">
        <w:rPr>
          <w:rFonts w:ascii="Times New Roman" w:hAnsi="Times New Roman" w:cs="Times New Roman"/>
        </w:rPr>
        <w:t xml:space="preserve">and </w:t>
      </w:r>
      <w:r w:rsidRPr="005459E6">
        <w:rPr>
          <w:rFonts w:ascii="Times New Roman" w:hAnsi="Times New Roman" w:cs="Times New Roman"/>
        </w:rPr>
        <w:t xml:space="preserve">addresses the potential of AI to utilize learning abilities to drive different types of intelligence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{"citationItems":[{"id":"ITEM-1","itemData":{"DOI":"10.1177/1094670517752459","ISBN":"1094670517752","ISSN":"15527379","abstract":"Artificial intelligence (AI) is increasingly reshaping service by performing various tasks, constituting a major source of innovation, yet threatening human jobs. We develop a theory of AI job replacement to address this double-edged impact. The theory specifies four intelligences required for service tasks—mechanical, analytical, intuitive, and empathetic—and lays out the way firms should decide between humans and machines for accomplishing those tasks. AI is developing in a predictable order, with mechanical mostly preceding analytical, analytical mostly preceding intuitive, and intuitive mostly preceding empathetic intelligence. The theory asserts that AI job replacement occurs fundamentally at the task level, rather than the job level, and for “lower” (easier for AI) intelligence tasks first. AI first replaces some of a service job’s tasks, a transition stage seen as augmentation, and then progresses to replace human labor entirely when it has the ability to take over all of a job’s tasks. The progression of AI task replacement from lower to higher intelligences results in predictable shifts over time in the relative importance of the intelligences for service employees. An important implication from our theory is that analytical skills will become less important, as AI takes over more analytical tasks, giving the “softer” intuitive and empathetic skills even more importance for service employees. Eventually, AI will be capable of performing even the intuitive and empathetic tasks, which enables innovative ways of human–machine integration for providing service but also results in a fundamental threat for human employment.","author":[{"dropping-particle":"","family":"Huang","given":"Ming Hui","non-dropping-particle":"","parse-names":false,"suffix":""},{"dropping-particle":"","family":"Rust","given":"Roland T.","non-dropping-particle":"","parse-names":false,"suffix":""}],"container-title":"Journal of Service Research","id":"ITEM-1","issue":"2","issued":{"date-parts":[["2018"]]},"page":"155-172","title":"Artificial Intelligence in Service","type":"article-journal","volume":"21"},"uris":["http://www.mendeley.com/documents/?uuid=af6030f2-49cd-407d-8e41-3749fbdc8ad9"]}],"mendeley":{"formattedCitation":"(M. H. Huang &amp; Rust, 2018)","manualFormatting":"(Huang &amp; Rust, 2018)","plainTextFormattedCitation":"(M. H. Huang &amp; Rust, 2018)","previouslyFormattedCitation":"(M. H. Huang &amp; Rust,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(Huang &amp; Rust, 2018)</w:t>
      </w:r>
      <w:r w:rsidRPr="005459E6">
        <w:rPr>
          <w:rFonts w:ascii="Times New Roman" w:hAnsi="Times New Roman" w:cs="Times New Roman"/>
        </w:rPr>
        <w:fldChar w:fldCharType="end"/>
      </w:r>
      <w:r w:rsidRPr="005459E6">
        <w:rPr>
          <w:rFonts w:ascii="Times New Roman" w:hAnsi="Times New Roman" w:cs="Times New Roman"/>
        </w:rPr>
        <w:t xml:space="preserve"> to manage with a robust understanding of the context, and of the features of AI with effective embedment into the human actor’s learning process.</w:t>
      </w:r>
    </w:p>
    <w:p w14:paraId="523067E5" w14:textId="77777777" w:rsidR="00B42ABB" w:rsidRPr="005459E6" w:rsidRDefault="00B42ABB" w:rsidP="00B42ABB">
      <w:pPr>
        <w:spacing w:line="360" w:lineRule="auto"/>
        <w:jc w:val="both"/>
        <w:rPr>
          <w:rFonts w:ascii="Times New Roman" w:hAnsi="Times New Roman" w:cs="Times New Roman"/>
        </w:rPr>
      </w:pPr>
    </w:p>
    <w:p w14:paraId="260E9D27"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34" w:name="_Toc87349483"/>
      <w:bookmarkStart w:id="35" w:name="_Toc87349596"/>
      <w:bookmarkStart w:id="36" w:name="_Toc87349703"/>
      <w:bookmarkStart w:id="37" w:name="_Toc88307697"/>
      <w:bookmarkStart w:id="38" w:name="_Toc88315253"/>
      <w:bookmarkStart w:id="39" w:name="_Toc104746482"/>
      <w:bookmarkStart w:id="40" w:name="_Toc104827763"/>
      <w:bookmarkStart w:id="41" w:name="_Toc107248273"/>
      <w:r w:rsidRPr="005459E6">
        <w:rPr>
          <w:rFonts w:ascii="Times New Roman" w:hAnsi="Times New Roman" w:cs="Times New Roman"/>
          <w:color w:val="auto"/>
          <w:sz w:val="22"/>
          <w:szCs w:val="22"/>
        </w:rPr>
        <w:lastRenderedPageBreak/>
        <w:t>Internet of Medical Things (IoMT)</w:t>
      </w:r>
      <w:bookmarkEnd w:id="34"/>
      <w:bookmarkEnd w:id="35"/>
      <w:bookmarkEnd w:id="36"/>
      <w:bookmarkEnd w:id="37"/>
      <w:bookmarkEnd w:id="38"/>
      <w:bookmarkEnd w:id="39"/>
      <w:bookmarkEnd w:id="40"/>
      <w:bookmarkEnd w:id="41"/>
    </w:p>
    <w:p w14:paraId="19AF964B"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The Internet of Medical Things (Also known as Healthcare IoT) shows potential when its sensors work as smart objects to measure information /data and communicate via networked or wireless capabilities. Patients and doctors alike benefit from the network of devices within the field of attention, which provides comfort and presence of mind. It is made up of a system that connects with networked systems, apps, and devices, making it easier for patients and clinicians to monitor and record vital medical information. Wearable health bands, fitness shoes, RFID-based watches, and high-end video cameras are among the devices that track positive indicators. Apps for cellphones also make it easier to keep track of cases and receive frequent alerts and emergency assistance.</w:t>
      </w:r>
    </w:p>
    <w:p w14:paraId="0B49EF4A" w14:textId="1797AF6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Internet of Medical Things (IoMT) is enabling the creation of solutions to address the needs of both our aging population and patients with chronic conditions, thanks to the growth of personal computing devices and advances in computational capacity in these devices. The Internet of Medical Things (IoMT) is the interconnection of a variety of personal medical devices, as well as devices and healthcare providers such as hospitals, medical researchers, and private corporations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{"citationItems":[{"id":"ITEM-1","itemData":{"DOI":"10.1109/JIOT.2018.2849014","ISSN":"23274662","abstract":"The Internet of Medical Things (IoMT) designates the interconnection of communication-enabled medical-grade devices and their integration to wider-scale health networks in order to improve patients' health. However, because of the critical nature of health-related systems, the IoMT still faces numerous challenges, more particularly in terms of reliability, safety, and security. In this paper, we present a comprehensive literature review of recent contributions focused on improving the IoMT through the use of formal methodologies provided by the cyber-physical systems community. We describe the practical application of the democratization of medical devices for both patients and health-care providers. We also identify unexplored research directions and potential trends to solve uncharted research problems.","author":[{"dropping-particle":"","family":"Gatouillat","given":"Arthur","non-dropping-particle":"","parse-names":false,"suffix":""},{"dropping-particle":"","family":"Badr","given":"Youakim","non-dropping-particle":"","parse-names":false,"suffix":""},{"dropping-particle":"","family":"Massot","given":"Bertrand","non-dropping-particle":"","parse-names":false,"suffix":""},{"dropping-particle":"","family":"Sejdic","given":"Ervin","non-dropping-particle":"","parse-names":false,"suffix":""}],"container-title":"IEEE Internet of Things Journal","id":"ITEM-1","issue":"5","issued":{"date-parts":[["2018"]]},"page":"3810-3822","title":"Internet of Medical Things: A Review of Recent Contributions Dealing with Cyber-Physical Systems in Medicine","type":"article-journal","volume":"5"},"uris":["http://www.mendeley.com/documents/?uuid=b9c85327-3f05-4321-b0b3-c79c7af6e780"]}],"mendeley":{"formattedCitation":"(Gatouillat et al., 2018)","plainTextFormattedCitation":"(Gatouillat et al., 2018)","previouslyFormattedCitation":"(Gatouillat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(Gatouillat et al., 2018)</w:t>
      </w:r>
      <w:r w:rsidRPr="005459E6">
        <w:rPr>
          <w:rFonts w:ascii="Times New Roman" w:hAnsi="Times New Roman" w:cs="Times New Roman"/>
        </w:rPr>
        <w:fldChar w:fldCharType="end"/>
      </w:r>
      <w:r w:rsidRPr="005459E6">
        <w:rPr>
          <w:rFonts w:ascii="Times New Roman" w:hAnsi="Times New Roman" w:cs="Times New Roman"/>
        </w:rPr>
        <w:t xml:space="preserve">. </w:t>
      </w:r>
    </w:p>
    <w:p w14:paraId="2E6D9CE9"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current healthcare system primarily revolves around the hospital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{"citationItems":[{"id":"ITEM-1","itemData":{"ISSN":"16130073","abstract":"This paper proposes a model for smart healthcare and real-time management technology can be utilized both by hospitals, ambulance and even at normal day to day activity tracker and require no technical or medical knowledge to start with. As per the survey, about 40% of worlds total deaths due to any disease can be prevented if an earlier diagnosis is made. People tend to avoid health and health care practices now either it is due to the busy schedule or lack of money. So, the research work focuses on incorporating technology into people life without disturbing their daily routine and does not require septate time to use. This technology is powered by IoT and uses many biosensors to give real-time solutions, prescribe medication, earlier detection of diseases, give a better understanding of patients current health and past health and significantly reduces medical expenses and by having more information about patient health doctors can operate and treat the patient with a better approach. This technology works when the user sleeps and learn when the user performs day to day task with the help of machine learning.","author":[{"dropping-particle":"","family":"Polu","given":"Sandeep Kumar","non-dropping-particle":"","parse-names":false,"suffix":""}],"container-title":"CEUR Workshop Proceedings","id":"ITEM-1","issue":"11","issued":{"date-parts":[["2019"]]},"page":"58-64","title":"IoMT Based Smart Health Care Monitoring System","type":"article-journal","volume":"2544"},"uris":["http://www.mendeley.com/documents/?uuid=470d0756-2e69-4461-ba01-de14764e0b5f"]}],"mendeley":{"formattedCitation":"(Polu, 2019)","plainTextFormattedCitation":"(Polu, 2019)","previouslyFormattedCitation":"(Polu,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(Polu, 2019)</w:t>
      </w:r>
      <w:r w:rsidRPr="005459E6">
        <w:rPr>
          <w:rFonts w:ascii="Times New Roman" w:hAnsi="Times New Roman" w:cs="Times New Roman"/>
        </w:rPr>
        <w:fldChar w:fldCharType="end"/>
      </w:r>
      <w:r w:rsidRPr="005459E6">
        <w:rPr>
          <w:rFonts w:ascii="Times New Roman" w:hAnsi="Times New Roman" w:cs="Times New Roman"/>
        </w:rPr>
        <w:t>, which suggests that Healthcare IoT devices can identify health parameters (such as EEG). As indicated within this study, the IoMT devices could allow doctors to evaluate patients from a distance and act accordingly.</w:t>
      </w:r>
    </w:p>
    <w:p w14:paraId="3E2964DF"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From a medical standpoint, the growth of the IoMT represents an extraordinary field of prospects for a wide range of applications, ranging from early detection of chronic diseases to remote monitoring of at-risk patients and, if necessary, triggering an urgent medical response. However, numerous research difficulties must still be studied in order to enable genuine widespread healthcare applications through the IoMT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{"citationItems":[{"id":"ITEM-1","itemData":{"DOI":"10.5958/0976-478x.2020.00010.5","author":[{"dropping-particle":"","family":"Morande","given":"Swapnil","non-dropping-particle":"","parse-names":false,"suffix":""},{"dropping-particle":"","family":"Pietronudo","given":"Maria Cristina","non-dropping-particle":"","parse-names":false,"suffix":""}],"container-title":"Journal of Commerce and Management Thought","id":"ITEM-1","issue":"2","issued":{"date-parts":[["2020"]]},"page":"155","publisher":"Diva Enterprises Private Limited","title":"Pervasive Health Systems: Convergence through Artificial Intelligence and Blockchain Technologies","type":"article-journal","volume":"11"},"uris":["http://www.mendeley.com/documents/?uuid=be855716-5b89-45b3-958d-2695d6af3ef0"]}],"mendeley":{"formattedCitation":"(Morande &amp; Pietronudo, 2020)","plainTextFormattedCitation":"(Morande &amp; Pietronudo, 2020)","previouslyFormattedCitation":"(Morande &amp; Pietronudo,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(Morande &amp; Pietronudo, 2020)</w:t>
      </w:r>
      <w:r w:rsidRPr="005459E6">
        <w:rPr>
          <w:rFonts w:ascii="Times New Roman" w:hAnsi="Times New Roman" w:cs="Times New Roman"/>
        </w:rPr>
        <w:fldChar w:fldCharType="end"/>
      </w:r>
      <w:r w:rsidRPr="005459E6">
        <w:rPr>
          <w:rFonts w:ascii="Times New Roman" w:hAnsi="Times New Roman" w:cs="Times New Roman"/>
        </w:rPr>
        <w:t xml:space="preserve">.  </w:t>
      </w:r>
    </w:p>
    <w:p w14:paraId="550F8AC3" w14:textId="389F9B38" w:rsidR="00B42ABB" w:rsidRPr="005459E6" w:rsidRDefault="00B42ABB" w:rsidP="00E2702D">
      <w:pPr>
        <w:pStyle w:val="Sommario1"/>
        <w:rPr>
          <w:rFonts w:ascii="Times New Roman" w:hAnsi="Times New Roman" w:cs="Times New Roman"/>
          <w:bCs/>
        </w:rPr>
      </w:pPr>
      <w:bookmarkStart w:id="42" w:name="_Toc68521767"/>
      <w:r w:rsidRPr="005459E6">
        <w:rPr>
          <w:rFonts w:ascii="Times New Roman" w:hAnsi="Times New Roman" w:cs="Times New Roman"/>
          <w:noProof/>
        </w:rPr>
        <w:lastRenderedPageBreak/>
        <w:drawing>
          <wp:anchor distT="0" distB="0" distL="114300" distR="114300" simplePos="0" relativeHeight="251662848" behindDoc="1" locked="0" layoutInCell="1" allowOverlap="1" wp14:anchorId="6B1851AB" wp14:editId="51A041CC">
            <wp:simplePos x="0" y="0"/>
            <wp:positionH relativeFrom="margin">
              <wp:align>left</wp:align>
            </wp:positionH>
            <wp:positionV relativeFrom="paragraph">
              <wp:posOffset>217170</wp:posOffset>
            </wp:positionV>
            <wp:extent cx="3406775" cy="2628900"/>
            <wp:effectExtent l="0" t="0" r="3175" b="0"/>
            <wp:wrapTight wrapText="bothSides">
              <wp:wrapPolygon edited="0">
                <wp:start x="0" y="0"/>
                <wp:lineTo x="0" y="21443"/>
                <wp:lineTo x="21499" y="21443"/>
                <wp:lineTo x="21499" y="0"/>
                <wp:lineTo x="0" y="0"/>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8913" cy="2630315"/>
                    </a:xfrm>
                    <a:prstGeom prst="rect">
                      <a:avLst/>
                    </a:prstGeom>
                  </pic:spPr>
                </pic:pic>
              </a:graphicData>
            </a:graphic>
            <wp14:sizeRelH relativeFrom="page">
              <wp14:pctWidth>0</wp14:pctWidth>
            </wp14:sizeRelH>
            <wp14:sizeRelV relativeFrom="page">
              <wp14:pctHeight>0</wp14:pctHeight>
            </wp14:sizeRelV>
          </wp:anchor>
        </w:drawing>
      </w:r>
      <w:r w:rsidRPr="005459E6">
        <w:rPr>
          <w:rFonts w:ascii="Times New Roman" w:hAnsi="Times New Roman" w:cs="Times New Roman"/>
        </w:rPr>
        <w:t xml:space="preserve">Such pervasive healthcare has various benefits for patients, including increased comfort due to remote monitoring and smaller equipment, improved self-awareness of health conditions due to real-time input, and health improvements provided by personalized suggestions based on patient history (see </w:t>
      </w:r>
      <w:r w:rsidRPr="005459E6">
        <w:rPr>
          <w:rFonts w:ascii="Times New Roman" w:hAnsi="Times New Roman" w:cs="Times New Roman"/>
          <w:b/>
          <w:bCs/>
        </w:rPr>
        <w:t>Figure 1</w:t>
      </w:r>
      <w:r w:rsidRPr="005459E6">
        <w:rPr>
          <w:rFonts w:ascii="Times New Roman" w:hAnsi="Times New Roman" w:cs="Times New Roman"/>
        </w:rPr>
        <w:t>).</w:t>
      </w:r>
      <w:r w:rsidR="00E2702D" w:rsidRPr="005459E6">
        <w:rPr>
          <w:rFonts w:ascii="Times New Roman" w:hAnsi="Times New Roman" w:cs="Times New Roman"/>
        </w:rPr>
        <w:t xml:space="preserve"> According to  </w:t>
      </w:r>
      <w:r w:rsidR="00E2702D" w:rsidRPr="005459E6">
        <w:rPr>
          <w:rFonts w:ascii="Times New Roman" w:hAnsi="Times New Roman" w:cs="Times New Roman"/>
        </w:rPr>
        <w:fldChar w:fldCharType="begin" w:fldLock="1"/>
      </w:r>
      <w:r w:rsidR="00E2702D" w:rsidRPr="005459E6">
        <w:rPr>
          <w:rFonts w:ascii="Times New Roman" w:hAnsi="Times New Roman" w:cs="Times New Roman"/>
        </w:rPr>
        <w:instrText>ADDIN CSL_CITATION {"citationItems":[{"id":"ITEM-1","itemData":{"DOI":"10.1109/JIOT.2018.2849014","ISSN":"23274662","abstract":"The Internet of Medical Things (IoMT) designates the interconnection of communication-enabled medical-grade devices and their integration to wider-scale health networks in order to improve patients' health. However, because of the critical nature of health-related systems, the IoMT still faces numerous challenges, more particularly in terms of reliability, safety, and security. In this paper, we present a comprehensive literature review of recent contributions focused on improving the IoMT through the use of formal methodologies provided by the cyber-physical systems community. We describe the practical application of the democratization of medical devices for both patients and health-care providers. We also identify unexplored research directions and potential trends to solve uncharted research problems.","author":[{"dropping-particle":"","family":"Gatouillat","given":"Arthur","non-dropping-particle":"","parse-names":false,"suffix":""},{"dropping-particle":"","family":"Badr","given":"Youakim","non-dropping-particle":"","parse-names":false,"suffix":""},{"dropping-particle":"","family":"Massot","given":"Bertrand","non-dropping-particle":"","parse-names":false,"suffix":""},{"dropping-particle":"","family":"Sejdic","given":"Ervin","non-dropping-particle":"","parse-names":false,"suffix":""}],"container-title":"IEEE Internet of Things Journal","id":"ITEM-1","issue":"5","issued":{"date-parts":[["2018"]]},"page":"3810-3822","title":"Internet of Medical Things: A Review of Recent Contributions Dealing with Cyber-Physical Systems in Medicine","type":"article-journal","volume":"5"},"uris":["http://www.mendeley.com/documents/?uuid=b9c85327-3f05-4321-b0b3-c79c7af6e780"]}],"mendeley":{"formattedCitation":"(Gatouillat et al., 2018)","manualFormatting":"Gatouillat et al. (2018)","plainTextFormattedCitation":"(Gatouillat et al., 2018)","previouslyFormattedCitation":"(Gatouillat et al., 2018)"},"properties":{"noteIndex":0},"schema":"https://github.com/citation-style-language/schema/raw/master/csl-citation.json"}</w:instrText>
      </w:r>
      <w:r w:rsidR="00E2702D" w:rsidRPr="005459E6">
        <w:rPr>
          <w:rFonts w:ascii="Times New Roman" w:hAnsi="Times New Roman" w:cs="Times New Roman"/>
        </w:rPr>
        <w:fldChar w:fldCharType="separate"/>
      </w:r>
      <w:r w:rsidR="00E2702D" w:rsidRPr="005459E6">
        <w:rPr>
          <w:rFonts w:ascii="Times New Roman" w:hAnsi="Times New Roman" w:cs="Times New Roman"/>
          <w:noProof/>
        </w:rPr>
        <w:t>Gatouillat et al. (2018)</w:t>
      </w:r>
      <w:r w:rsidR="00E2702D" w:rsidRPr="005459E6">
        <w:rPr>
          <w:rFonts w:ascii="Times New Roman" w:hAnsi="Times New Roman" w:cs="Times New Roman"/>
        </w:rPr>
        <w:fldChar w:fldCharType="end"/>
      </w:r>
      <w:r w:rsidR="00E2702D" w:rsidRPr="005459E6">
        <w:rPr>
          <w:rFonts w:ascii="Times New Roman" w:hAnsi="Times New Roman" w:cs="Times New Roman"/>
        </w:rPr>
        <w:t>, the facilitation carried by IoMT devices offers the potential to lead to better disease management for illnesses that could offer improved health status.</w:t>
      </w:r>
    </w:p>
    <w:bookmarkEnd w:id="42"/>
    <w:p w14:paraId="504B4D2E" w14:textId="77777777" w:rsidR="00B42ABB" w:rsidRPr="005459E6" w:rsidRDefault="00B42ABB" w:rsidP="00B42ABB">
      <w:pPr>
        <w:pStyle w:val="Sommario1"/>
        <w:rPr>
          <w:rFonts w:ascii="Times New Roman" w:hAnsi="Times New Roman" w:cs="Times New Roman"/>
        </w:rPr>
      </w:pPr>
    </w:p>
    <w:p w14:paraId="72B1A54D" w14:textId="21BDAEC9" w:rsidR="00B42ABB" w:rsidRPr="005459E6" w:rsidRDefault="00B42ABB" w:rsidP="00B42ABB">
      <w:pPr>
        <w:pStyle w:val="Sommario1"/>
        <w:rPr>
          <w:rFonts w:ascii="Times New Roman" w:hAnsi="Times New Roman" w:cs="Times New Roman"/>
        </w:rPr>
      </w:pPr>
      <w:bookmarkStart w:id="43" w:name="_Toc96343294"/>
      <w:bookmarkStart w:id="44" w:name="_Toc99915970"/>
      <w:bookmarkStart w:id="45" w:name="_Toc104968787"/>
      <w:r w:rsidRPr="005459E6">
        <w:rPr>
          <w:rFonts w:ascii="Times New Roman" w:hAnsi="Times New Roman" w:cs="Times New Roman"/>
        </w:rPr>
        <w:t xml:space="preserve">Figure </w:t>
      </w:r>
      <w:r w:rsidRPr="005459E6">
        <w:rPr>
          <w:rFonts w:ascii="Times New Roman" w:hAnsi="Times New Roman" w:cs="Times New Roman"/>
        </w:rPr>
        <w:fldChar w:fldCharType="begin"/>
      </w:r>
      <w:r w:rsidRPr="005459E6">
        <w:rPr>
          <w:rFonts w:ascii="Times New Roman" w:hAnsi="Times New Roman" w:cs="Times New Roman"/>
        </w:rPr>
        <w:instrText xml:space="preserve"> SEQ Figure \* ARABIC </w:instrText>
      </w:r>
      <w:r w:rsidRPr="005459E6">
        <w:rPr>
          <w:rFonts w:ascii="Times New Roman" w:hAnsi="Times New Roman" w:cs="Times New Roman"/>
        </w:rPr>
        <w:fldChar w:fldCharType="separate"/>
      </w:r>
      <w:r w:rsidR="006C645B">
        <w:rPr>
          <w:rFonts w:ascii="Times New Roman" w:hAnsi="Times New Roman" w:cs="Times New Roman"/>
          <w:noProof/>
        </w:rPr>
        <w:t>1</w:t>
      </w:r>
      <w:r w:rsidRPr="005459E6">
        <w:rPr>
          <w:rFonts w:ascii="Times New Roman" w:hAnsi="Times New Roman" w:cs="Times New Roman"/>
          <w:noProof/>
        </w:rPr>
        <w:fldChar w:fldCharType="end"/>
      </w:r>
      <w:r w:rsidRPr="005459E6">
        <w:rPr>
          <w:rFonts w:ascii="Times New Roman" w:hAnsi="Times New Roman" w:cs="Times New Roman"/>
        </w:rPr>
        <w:t>: Application of A.I. and IoMT in Healthcare</w:t>
      </w:r>
      <w:bookmarkEnd w:id="43"/>
      <w:bookmarkEnd w:id="44"/>
      <w:bookmarkEnd w:id="45"/>
    </w:p>
    <w:p w14:paraId="4A294982" w14:textId="77777777" w:rsidR="00B42ABB" w:rsidRPr="005459E6" w:rsidRDefault="00B42ABB" w:rsidP="00B42ABB">
      <w:pPr>
        <w:spacing w:line="360" w:lineRule="auto"/>
        <w:jc w:val="both"/>
        <w:rPr>
          <w:rFonts w:ascii="Times New Roman" w:hAnsi="Times New Roman" w:cs="Times New Roman"/>
        </w:rPr>
      </w:pPr>
    </w:p>
    <w:p w14:paraId="2DDEC459"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46" w:name="_Toc87349484"/>
      <w:bookmarkStart w:id="47" w:name="_Toc87349597"/>
      <w:bookmarkStart w:id="48" w:name="_Toc87349704"/>
      <w:bookmarkStart w:id="49" w:name="_Toc88307698"/>
      <w:bookmarkStart w:id="50" w:name="_Toc88315254"/>
      <w:bookmarkStart w:id="51" w:name="_Toc104746483"/>
      <w:bookmarkStart w:id="52" w:name="_Toc104827764"/>
      <w:bookmarkStart w:id="53" w:name="_Toc107248274"/>
      <w:r w:rsidRPr="005459E6">
        <w:rPr>
          <w:rFonts w:ascii="Times New Roman" w:hAnsi="Times New Roman" w:cs="Times New Roman"/>
          <w:color w:val="auto"/>
          <w:sz w:val="22"/>
          <w:szCs w:val="22"/>
        </w:rPr>
        <w:t>State-of-the-Art in Health</w:t>
      </w:r>
      <w:bookmarkEnd w:id="46"/>
      <w:bookmarkEnd w:id="47"/>
      <w:bookmarkEnd w:id="48"/>
      <w:bookmarkEnd w:id="49"/>
      <w:bookmarkEnd w:id="50"/>
      <w:r w:rsidRPr="005459E6">
        <w:rPr>
          <w:rFonts w:ascii="Times New Roman" w:hAnsi="Times New Roman" w:cs="Times New Roman"/>
          <w:color w:val="auto"/>
          <w:sz w:val="22"/>
          <w:szCs w:val="22"/>
        </w:rPr>
        <w:t xml:space="preserve"> Services</w:t>
      </w:r>
      <w:bookmarkEnd w:id="51"/>
      <w:bookmarkEnd w:id="52"/>
      <w:bookmarkEnd w:id="53"/>
      <w:r w:rsidRPr="005459E6">
        <w:rPr>
          <w:rFonts w:ascii="Times New Roman" w:hAnsi="Times New Roman" w:cs="Times New Roman"/>
          <w:color w:val="auto"/>
          <w:sz w:val="22"/>
          <w:szCs w:val="22"/>
        </w:rPr>
        <w:tab/>
      </w:r>
    </w:p>
    <w:p w14:paraId="561F6631" w14:textId="77777777" w:rsidR="00B42ABB" w:rsidRPr="005459E6" w:rsidRDefault="00B42ABB" w:rsidP="00B42ABB">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Brain-Computer Interface (BCI)</w:t>
      </w:r>
      <w:r w:rsidRPr="005459E6">
        <w:rPr>
          <w:rFonts w:ascii="Times New Roman" w:hAnsi="Times New Roman" w:cs="Times New Roman"/>
          <w:color w:val="auto"/>
        </w:rPr>
        <w:tab/>
      </w:r>
    </w:p>
    <w:p w14:paraId="0DA05A2B"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 BCI (brain-computer interface) is a type of technological interface that allows the brain to send and receive signals from an external device. Although brain-computer interfaces are also known as brain-machine interfaces, the abbreviation BCI stands for brain-computer interface. BCI is a type of device that collects and interprets brain signals before transmitting them to a linked machine that responds with orders based on the signals received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{"citationItems":[{"id":"ITEM-1","itemData":{"DOI":"10.1016/j.mayocp.2011.12.008","abstract":"Brain-computer interfaces (BCIs) acquire brain signals, analyze them, and translate them into commands that are relayed to output devices that carry out desired actions. BCIs do not use normal neuromuscular output pathways. The main goal of BCI is to replace or restore useful function to people disabled by neuromuscular disorders such as amyotrophic lateral sclerosis, cerebral palsy, stroke, or spinal cord injury. From initial demonstrations of electroencephalography-based spelling and single-neuron-based device control, researchers have gone on to use electroencephalographic, intracortical, electrocorticographic, and other brain signals for increasingly complex control of cursors, robotic arms, prostheses, wheelchairs, and other devices. Brain-computer interfaces may also prove useful for rehabilitation after stroke and for other disorders. In the future, they might augment the performance of surgeons or other medical professionals. Brain-computer interface technology is the focus of a rapidly growing research and development enterprise that is greatly exciting scientists, engineers, clinicians, and the public in general. Its future achievements will depend on advances in 3 crucial areas. Brain-computer interfaces need signal-acquisition hardware that is convenient, portable, safe, and able to function in all environments. Brain-computer interface systems need to be validated in long-term studies of real-world use by people with severe disabilities, and effective and viable models for their widespread dissemination must be implemented. Finally, the day-to-day and moment-to-moment reliability of BCI performance must be improved so that it approaches the reliability of natural muscle-based function.","author":[{"dropping-particle":"","family":"Shih","given":"Jean","non-dropping-particle":"","parse-names":false,"suffix":""},{"dropping-particle":"","family":"Krusienski","given":"Dean","non-dropping-particle":"","parse-names":false,"suffix":""},{"dropping-particle":"","family":"Wolpaw","given":"Jonathan","non-dropping-particle":"","parse-names":false,"suffix":""}],"container-title":"Mayo Clinic proceedings. Mayo Clinic","id":"ITEM-1","issued":{"date-parts":[["2012","3","1"]]},"page":"268-279","title":"Brain-Computer Interfaces in Medicine","type":"article-journal","volume":"87"},"uris":["http://www.mendeley.com/documents/?uuid=b08be5a2-a76d-4e86-9423-551606884e4e"]}],"mendeley":{"formattedCitation":"(Shih et al., 2012)","plainTextFormattedCitation":"(Shih et al., 2012)","previouslyFormattedCitation":"(Shih et al.,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(Shih et al., 2012)</w:t>
      </w:r>
      <w:r w:rsidRPr="005459E6">
        <w:rPr>
          <w:rFonts w:ascii="Times New Roman" w:hAnsi="Times New Roman" w:cs="Times New Roman"/>
        </w:rPr>
        <w:fldChar w:fldCharType="end"/>
      </w:r>
      <w:r w:rsidRPr="005459E6">
        <w:rPr>
          <w:rFonts w:ascii="Times New Roman" w:hAnsi="Times New Roman" w:cs="Times New Roman"/>
        </w:rPr>
        <w:t xml:space="preserve">. According to a BCI definition, it establishes "a direct communication link between the brain and an external device," with the existence of a two-way relationship (a bidirectional interface). </w:t>
      </w:r>
    </w:p>
    <w:p w14:paraId="5BAFDA78"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A BCI delivering brain activity to a computer and the computer converting brain activity into motor commands is one direction. Biochemical and electrical signals carry out this work.  Neurons are the cells that make up our brains and appear to be active whenever we think, move, feel, or recall something. Electroencephalography (EEG) technology allows us to identify these signals and evaluate what they represent. During this process, the communication can also take place in the opposite direction, with the computer sending data directly to the BCI user's brain. In contrast to passive BCI, which is non-invasive, active BCI involves a direct brain connection. Signals from the human brain can be read by EEG and sent to amplifiers. After that, a BCI computer program interprets the amplified impulses and utilizes them to operate a device.</w:t>
      </w:r>
    </w:p>
    <w:p w14:paraId="045D05F0" w14:textId="77777777" w:rsidR="00B42ABB" w:rsidRPr="005459E6" w:rsidRDefault="00B42ABB" w:rsidP="00B42ABB">
      <w:pPr>
        <w:spacing w:line="360" w:lineRule="auto"/>
        <w:jc w:val="both"/>
        <w:rPr>
          <w:rFonts w:ascii="Times New Roman" w:hAnsi="Times New Roman" w:cs="Times New Roman"/>
        </w:rPr>
      </w:pPr>
    </w:p>
    <w:p w14:paraId="7FB98194" w14:textId="77777777" w:rsidR="00B42ABB" w:rsidRPr="005459E6" w:rsidRDefault="00B42ABB" w:rsidP="00B42ABB">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Electroencephalography (EEG)</w:t>
      </w:r>
      <w:r w:rsidRPr="005459E6">
        <w:rPr>
          <w:rFonts w:ascii="Times New Roman" w:hAnsi="Times New Roman" w:cs="Times New Roman"/>
          <w:color w:val="auto"/>
        </w:rPr>
        <w:tab/>
      </w:r>
    </w:p>
    <w:p w14:paraId="0AAD1037"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EEG refers to "electroencephalography," which is an electrophysiological method that records the electrical activity of the brain, ​​as mentioned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URL":"https://www.emotiv.com/neuroscience-guide/","accessed":{"date-parts":[["2021","3","15"]]},"author":[{"dropping-particle":"","family":"Emotiv","given":"","non-dropping-particle":"","parse-names":false,"suffix":""}],"id":"ITEM-1","issued":{"date-parts":[["2021"]]},"title":"The Introductory Guide to Neuroscience","type":"webpage"},"uris":["http://www.mendeley.com/documents/?uuid=c87ff22c-8d64-4a71-a8c4-f8636f5fa72a"]}],"mendeley":{"formattedCitation":"(Emotiv, 2021)","manualFormatting":"Emotiv's official website (2021)","plainTextFormattedCitation":"(Emotiv, 2021)","previouslyFormattedCitation":"(Emotiv,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Emotiv's official website (2021)</w:t>
      </w:r>
      <w:r w:rsidRPr="005459E6">
        <w:rPr>
          <w:rFonts w:ascii="Times New Roman" w:hAnsi="Times New Roman" w:cs="Times New Roman"/>
        </w:rPr>
        <w:fldChar w:fldCharType="end"/>
      </w:r>
      <w:r w:rsidRPr="005459E6">
        <w:rPr>
          <w:rFonts w:ascii="Times New Roman" w:hAnsi="Times New Roman" w:cs="Times New Roman"/>
        </w:rPr>
        <w:t>. EEG records changes in the electrical activity produced by the brain. Ionic current within and between some brain cells called neurons causes voltage variations. The electrical activity of the brain is measured with an EEG examination. EEG scans are performed by putting EEG sensors on your scalp, which are little metal discs also known as EEG electrodes. The electrical activity in your brain is picked up and recorded by these electrodes. The gathered EEG signals are amplified, digitized, and then stored and processed on a computer or mobile device. Mobile electroencephalography (mobile EEG) is a next-generation neuroscientific tool that is relatively inexpensive, non-invasive, and portable for studying real-time brain activity. Mobile EEG makes use of cutting-edge hardware, as well as the proven benefits of classical EEG and current breakthroughs in signal processing.</w:t>
      </w:r>
    </w:p>
    <w:p w14:paraId="2C53D4CA"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EEG data analysis is a powerful tool for studying cognitive processes: it may help researchers make a diagnosis, understand the brain processes that underpin human behavior, and individuals increase their productivity and well-being. Brainwaves are formed by billions of cells in your brain, producing very few electrical signals that generate non-linear patterns. During an EEG test, an EEG machine analyzes the electrical activity in the cerebral cortex, the brain's outer layer. EEG sensors are placed on a participant's head, and the electrodes detect the subject's brainwaves non-invasively. Within a single second, EEG sensors can capture hundreds of snapshots of the electrical activity generated in the brain. The data is processed by sending the recorded brainwaves to amplifiers, then to a computer or the cloud. On a computer, the amplified signals, which resemble wavy lines, can be recorded.</w:t>
      </w:r>
    </w:p>
    <w:p w14:paraId="271715D0" w14:textId="77777777" w:rsidR="00B42ABB" w:rsidRPr="005459E6" w:rsidRDefault="00B42ABB" w:rsidP="00B42ABB">
      <w:pPr>
        <w:pStyle w:val="Titolo4"/>
        <w:spacing w:line="360" w:lineRule="auto"/>
        <w:jc w:val="both"/>
        <w:rPr>
          <w:rFonts w:ascii="Times New Roman" w:hAnsi="Times New Roman" w:cs="Times New Roman"/>
          <w:color w:val="auto"/>
        </w:rPr>
      </w:pPr>
    </w:p>
    <w:p w14:paraId="3BAC8A87" w14:textId="77777777" w:rsidR="00B42ABB" w:rsidRPr="005459E6" w:rsidRDefault="00B42ABB" w:rsidP="00B42ABB">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Machine Learning (ML)</w:t>
      </w:r>
      <w:r w:rsidRPr="005459E6">
        <w:rPr>
          <w:rFonts w:ascii="Times New Roman" w:hAnsi="Times New Roman" w:cs="Times New Roman"/>
          <w:color w:val="auto"/>
        </w:rPr>
        <w:tab/>
      </w:r>
    </w:p>
    <w:p w14:paraId="654B3F32"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As per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{"citationItems":[{"id":"ITEM-1","itemData":{"DOI":"10.3389/fpsyg.2019.02970","ISSN":"16641078","abstract":"Recent controversies about the level of replicability of behavioral research analyzed using statistical inference have cast interest in developing more efficient techniques for analyzing the results of psychological experiments. Here we claim that complementing the analytical workflow of psychological experiments with Machine Learning-based analysis will both maximize accuracy and minimize replicability issues. As compared to statistical inference, ML analysis of experimental data is model agnostic and primarily focused on prediction rather than inference. We also highlight some potential pitfalls resulting from adoption of Machine Learning based experiment analysis. If not properly used it can lead to over-optimistic accuracy estimates similarly observed using statistical inference. Remedies to such pitfalls are also presented such and building model based on cross validation and the use of ensemble models. ML models are typically regarded as black boxes and we will discuss strategies aimed at rendering more transparent the predictions.","author":[{"dropping-particle":"","family":"Orrù","given":"Graziella","non-dropping-particle":"","parse-names":false,"suffix":""},{"dropping-particle":"","family":"Monaro","given":"Merylin","non-dropping-particle":"","parse-names":false,"suffix":""},{"dropping-particle":"","family":"Conversano","given":"Ciro","non-dropping-particle":"","parse-names":false,"suffix":""},{"dropping-particle":"","family":"Gemignani","given":"Angelo","non-dropping-particle":"","parse-names":false,"suffix":""},{"dropping-particle":"","family":"Sartori","given":"Giuseppe","non-dropping-particle":"","parse-names":false,"suffix":""}],"container-title":"Frontiers in Psychology","id":"ITEM-1","issue":"January","issued":{"date-parts":[["2020"]]},"page":"1-10","title":"Machine learning in psychometrics and psychological research","type":"article-journal","volume":"10"},"uris":["http://www.mendeley.com/documents/?uuid=05b33421-2e20-4ed9-a685-f53992165be5"]}],"mendeley":{"formattedCitation":"(Orrù et al., 2020)","manualFormatting":"Orrù et al. (2020)","plainTextFormattedCitation":"(Orrù et al., 2020)","previouslyFormattedCitation":"(Orrù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Orrù et al. (2020)</w:t>
      </w:r>
      <w:r w:rsidRPr="005459E6">
        <w:rPr>
          <w:rFonts w:ascii="Times New Roman" w:hAnsi="Times New Roman" w:cs="Times New Roman"/>
        </w:rPr>
        <w:fldChar w:fldCharType="end"/>
      </w:r>
      <w:r w:rsidRPr="005459E6">
        <w:rPr>
          <w:rFonts w:ascii="Times New Roman" w:hAnsi="Times New Roman" w:cs="Times New Roman"/>
        </w:rPr>
        <w:t>, recent controversies about the replicability of behavioral research have elicited greater interest in developing efficient techniques to conduct psychological experiments. On the same lines, the use of ML could help in achieving at least the following objectives:</w:t>
      </w:r>
    </w:p>
    <w:p w14:paraId="12C45F6C" w14:textId="77777777" w:rsidR="00B42ABB" w:rsidRPr="005459E6" w:rsidRDefault="00B42ABB" w:rsidP="00B42ABB">
      <w:pPr>
        <w:spacing w:line="360" w:lineRule="auto"/>
        <w:jc w:val="both"/>
        <w:rPr>
          <w:rFonts w:ascii="Times New Roman" w:hAnsi="Times New Roman" w:cs="Times New Roman"/>
          <w:i/>
          <w:iCs/>
        </w:rPr>
      </w:pPr>
      <w:r w:rsidRPr="005459E6">
        <w:rPr>
          <w:rFonts w:ascii="Times New Roman" w:hAnsi="Times New Roman" w:cs="Times New Roman"/>
          <w:i/>
          <w:iCs/>
        </w:rPr>
        <w:t>– Developing models which can generalize/replicate to a fresh set of a dataset.</w:t>
      </w:r>
    </w:p>
    <w:p w14:paraId="128D6830" w14:textId="77777777" w:rsidR="00B42ABB" w:rsidRPr="005459E6" w:rsidRDefault="00B42ABB" w:rsidP="00B42ABB">
      <w:pPr>
        <w:spacing w:line="360" w:lineRule="auto"/>
        <w:jc w:val="both"/>
        <w:rPr>
          <w:rFonts w:ascii="Times New Roman" w:hAnsi="Times New Roman" w:cs="Times New Roman"/>
          <w:i/>
          <w:iCs/>
        </w:rPr>
      </w:pPr>
      <w:r w:rsidRPr="005459E6">
        <w:rPr>
          <w:rFonts w:ascii="Times New Roman" w:hAnsi="Times New Roman" w:cs="Times New Roman"/>
          <w:i/>
          <w:iCs/>
        </w:rPr>
        <w:t>– Developing models focused on prediction also at the single-subject level.</w:t>
      </w:r>
    </w:p>
    <w:p w14:paraId="55E2A485" w14:textId="77777777" w:rsidR="00B42ABB" w:rsidRPr="005459E6" w:rsidRDefault="00B42ABB" w:rsidP="00B42ABB">
      <w:pPr>
        <w:spacing w:line="360" w:lineRule="auto"/>
        <w:jc w:val="both"/>
        <w:rPr>
          <w:rFonts w:ascii="Times New Roman" w:hAnsi="Times New Roman" w:cs="Times New Roman"/>
        </w:rPr>
      </w:pPr>
    </w:p>
    <w:p w14:paraId="09C9E5E2" w14:textId="69ED5EFF"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fldChar w:fldCharType="begin" w:fldLock="1"/>
      </w:r>
      <w:r w:rsidRPr="005459E6">
        <w:rPr>
          <w:rFonts w:ascii="Times New Roman" w:hAnsi="Times New Roman" w:cs="Times New Roman"/>
        </w:rPr>
        <w:instrText>ADDIN CSL_CITATION {"citationItems":[{"id":"ITEM-1","itemData":{"DOI":"10.3390/app10155135","ISSN":"20763417","abstract":"Human healthcare is one of the most important topics for society. It tries to find the correct effective and robust disease detection as soon as possible to patients receipt the appropriate cares. Because this detection is often a difficult task, it becomes necessary medicine field searches support from other fields such as statistics and computer science. These disciplines are facing the challenge of exploring new techniques, going beyond the traditional ones. The large number of techniques that are emerging makes it necessary to provide a comprehensive overview that avoids very particular aspects. To this end, we propose a systematic review dealing with the Machine Learning applied to the diagnosis of human diseases. This review focuses on modern techniques related to the development of Machine Learning applied to diagnosis of human diseases in the medical field, in order to discover interesting patterns, making non-trivial predictions and useful in decision-making. In this way, this work can help researchers to discover and, if necessary, determine the applicability of the machine learning techniques in their particular specialties. We provide some examples of the algorithms used in medicine, analysing some trends that are focused on the goal searched, the algorithm used, and the area of applications. We detail the advantages and disadvantages of each technique to help choose the most appropriate in each real-life situation, as several authors have reported. The authors searched Scopus, Journal Citation Reports (JCR), Google Scholar, and MedLine databases from the last decades (from 1980s approximately) up to the present, with English language restrictions, for studies according to the objectives mentioned above. Based on a protocol for data extraction defined and evaluated by all authors using PRISMA methodology, 141 papers were included in this advanced review.","author":[{"dropping-particle":"","family":"Caballé","given":"Nuria C.","non-dropping-particle":"","parse-names":false,"suffix":""},{"dropping-particle":"","family":"Castillo-Sequera","given":"José L.","non-dropping-particle":"","parse-names":false,"suffix":""},{"dropping-particle":"","family":"Gómez-Pulido","given":"Juan A.","non-dropping-particle":"","parse-names":false,"suffix":""},{"dropping-particle":"","family":"Gómez-Pulido","given":"José M.","non-dropping-particle":"","parse-names":false,"suffix":""},{"dropping-particle":"","family":"Polo-Luque","given":"María L.","non-dropping-particle":"","parse-names":false,"suffix":""}],"container-title":"Applied Sciences (Switzerland)","id":"ITEM-1","issue":"15","issued":{"date-parts":[["2020"]]},"page":"1-28","title":"Machine learning applied to diagnosis of human diseases: A systematic review","type":"article-journal","volume":"10"},"uris":["http://www.mendeley.com/documents/?uuid=c8ecbae2-58bc-446a-8e7c-3fc531cebb9e"]}],"mendeley":{"formattedCitation":"(Caballé et al., 2020)","manualFormatting":"Caballé et al. (2020)","plainTextFormattedCitation":"(Caballé et al., 2020)","previouslyFormattedCitation":"(Caballé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Caballé et al. (2020)</w:t>
      </w:r>
      <w:r w:rsidRPr="005459E6">
        <w:rPr>
          <w:rFonts w:ascii="Times New Roman" w:hAnsi="Times New Roman" w:cs="Times New Roman"/>
        </w:rPr>
        <w:fldChar w:fldCharType="end"/>
      </w:r>
      <w:r w:rsidRPr="005459E6">
        <w:rPr>
          <w:rFonts w:ascii="Times New Roman" w:hAnsi="Times New Roman" w:cs="Times New Roman"/>
        </w:rPr>
        <w:t xml:space="preserve"> confirm that intelligent data analysis is the most prominent outcome of Machine Learning. Algorithms learn from historical data and can be utilized to draw value using predictive capabilities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{"citationItems":[{"id":"ITEM-1","itemData":{"DOI":"10.1109/ABLAZE.2015.7154917","ISBN":"978-93-5311-910-2","abstract":"Today's world is more conscious about the health. Even though the medical field is evolving with the improved facilities, the death rate is increasing day by day. Heart disease is one such cause for increasing death rate. Medical industry contains large amount of hidden information of many patients. This hidden information can be used to take important decisions by applying data mining techniques. Data mining acts as a solution for many healthcare problems and it is helpful in predicting heart disease in early stages. Naïve Bayes algorithm is one such data mining technique which helps in the prediction of heart disease in patients. Cleveland dataset is used to analyze few parameters of the patients from the previous records such as age, chest pain, sex, blood pressure, ECG reading etc. A machine learning model which helps in predicting the heart disease is built.","author":[{"dropping-particle":"","family":"Arpitha","given":"M. S.","non-dropping-particle":"","parse-names":false,"suffix":""},{"dropping-particle":"","family":"Mithun","given":"K. A.","non-dropping-particle":"","parse-names":false,"suffix":""},{"dropping-particle":"","family":"Rakesh","given":"S.","non-dropping-particle":"","parse-names":false,"suffix":""},{"dropping-particle":"","family":"Singh","given":"A.","non-dropping-particle":"","parse-names":false,"suffix":""},{"dropping-particle":"","family":"Yadav","given":"A.","non-dropping-particle":"","parse-names":false,"suffix":""}],"container-title":"International Journal of Advanced Research in Computer Science","id":"ITEM-1","issue":"3","issued":{"date-parts":[["2018"]]},"page":"10-14","title":"Better Healthcare using Machine Learning","type":"article-journal","volume":"9"},"uris":["http://www.mendeley.com/documents/?uuid=0306ec49-1121-4083-a3e5-0156ee45c924"]}],"mendeley":{"formattedCitation":"(Arpitha et al., 2018)","plainTextFormattedCitation":"(Arpitha et al., 2018)","previouslyFormattedCitation":"(Arpitha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(Arpitha et al., 2018)</w:t>
      </w:r>
      <w:r w:rsidRPr="005459E6">
        <w:rPr>
          <w:rFonts w:ascii="Times New Roman" w:hAnsi="Times New Roman" w:cs="Times New Roman"/>
        </w:rPr>
        <w:fldChar w:fldCharType="end"/>
      </w:r>
      <w:r w:rsidRPr="005459E6">
        <w:rPr>
          <w:rFonts w:ascii="Times New Roman" w:hAnsi="Times New Roman" w:cs="Times New Roman"/>
        </w:rPr>
        <w:t>. However, the ability to draw inferences mainly depends on the quality of data rather than the processing and execution of Machine Learning models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{"citationItems":[{"id":"ITEM-1","itemData":{"DOI":"10.1007/978-3-319-69775-8_9","ISBN":"9783319697741","ISSN":"16113349","abstract":"From medical charts to national census, healthcare has traditionally operated under a paper-based paradigm. However, the past decade has marked a long and arduous transformation bringing healthcare into the digital age. Ranging from electronic health records, to digitized imaging and laboratory reports, to public health datasets, today, healthcare now generates an incredible amount of digital information. Such a wealth of data presents an exciting opportunity for integrated machine learning solutions to address problems across multiple facets of healthcare practice and administration. Unfortunately, the ability to derive accurate and informative insights requires more than the ability to execute machine learning models. Rather, a deeper understanding of the data on which the models are run is imperative for their success. While a significant effort has been undertaken to develop models able to process the volume of data obtained during the analysis of millions of digitalized patient records, it is important to remember that volume represents only one aspect of the data. In fact, drawing on data from an increasingly diverse set of sources, healthcare data presents an incredibly complex set of attributes that must be accounted for throughout the machine learning pipeline. This chapter focuses on highlighting such challenges, and is broken down into three distinct components, each representing a phase of the pipeline. We begin with attributes of the data accounted for during preprocessing, then move to considerations during model building, and end with challenges to the interpretation of model output. For each component, we present a discussion around data as it relates to the healthcare domain and offer insight into the challenges each may impose on the efficiency of machine learning techniques.","author":[{"dropping-particle":"","family":"Feldman","given":"Keith","non-dropping-particle":"","parse-names":false,"suffix":""},{"dropping-particle":"","family":"Faust","given":"Louis","non-dropping-particle":"","parse-names":false,"suffix":""},{"dropping-particle":"","family":"Wu","given":"Xian","non-dropping-particle":"","parse-names":false,"suffix":""},{"dropping-particle":"","family":"Huang","given":"Chao","non-dropping-particle":"","parse-names":false,"suffix":""},{"dropping-particle":"V.","family":"Chawla","given":"Nitesh","non-dropping-particle":"","parse-names":false,"suffix":""}],"container-title":"Lecture Notes in Computer Science (including subseries Lecture Notes in Artificial Intelligence and Lecture Notes in Bioinformatics)","id":"ITEM-1","issued":{"date-parts":[["2017"]]},"page":"150-169","title":"Beyond volume: The impact of complex healthcare data on the machine learning pipeline","type":"article-journal","volume":"10344 LNAI"},"uris":["http://www.mendeley.com/documents/?uuid=3c76adea-7edf-435f-a531-42a73b2d3749"]}],"mendeley":{"formattedCitation":"(Feldman et al., 2017)","manualFormatting":"Feldman et al. 2017)","plainTextFormattedCitation":"(Feldman et al., 2017)","previouslyFormattedCitation":"(Feldman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Feldman et al. 2017)</w:t>
      </w:r>
      <w:r w:rsidRPr="005459E6">
        <w:rPr>
          <w:rFonts w:ascii="Times New Roman" w:hAnsi="Times New Roman" w:cs="Times New Roman"/>
        </w:rPr>
        <w:fldChar w:fldCharType="end"/>
      </w:r>
      <w:r w:rsidRPr="005459E6">
        <w:rPr>
          <w:rFonts w:ascii="Times New Roman" w:hAnsi="Times New Roman" w:cs="Times New Roman"/>
        </w:rPr>
        <w:t>.</w:t>
      </w:r>
      <w:r w:rsidR="00154680" w:rsidRPr="005459E6">
        <w:rPr>
          <w:rFonts w:ascii="Times New Roman" w:hAnsi="Times New Roman" w:cs="Times New Roman"/>
        </w:rPr>
        <w:t xml:space="preserve"> </w:t>
      </w:r>
      <w:r w:rsidRPr="005459E6">
        <w:rPr>
          <w:rFonts w:ascii="Times New Roman" w:hAnsi="Times New Roman" w:cs="Times New Roman"/>
        </w:rPr>
        <w:t xml:space="preserve">The increasing availability of massive, publicly accessible, multimodal datasets and the rapid growth in computer capacity provide new opportunities for psychology and neuroscience researchers to ask innovative questions and address old topics in creative ways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{"citationItems":[{"id":"ITEM-1","itemData":{"ISSN":"1053-8119","author":[{"dropping-particle":"","family":"Laird","given":"Angela R","non-dropping-particle":"","parse-names":false,"suffix":""}],"container-title":"NeuroImage","id":"ITEM-1","issued":{"date-parts":[["2021"]]},"page":"118579","publisher":"Elsevier","title":"Large, open datasets for human connectomics research: Considerations for reproducible and responsible data use","type":"article-journal","volume":"244"},"uris":["http://www.mendeley.com/documents/?uuid=9b1a9607-2d18-4649-a298-a45f131d7307"]}],"mendeley":{"formattedCitation":"(Laird, 2021)","plainTextFormattedCitation":"(Laird, 2021)","previouslyFormattedCitation":"(Laird,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(Laird, 2021)</w:t>
      </w:r>
      <w:r w:rsidRPr="005459E6">
        <w:rPr>
          <w:rFonts w:ascii="Times New Roman" w:hAnsi="Times New Roman" w:cs="Times New Roman"/>
        </w:rPr>
        <w:fldChar w:fldCharType="end"/>
      </w:r>
      <w:r w:rsidRPr="005459E6">
        <w:rPr>
          <w:rFonts w:ascii="Times New Roman" w:hAnsi="Times New Roman" w:cs="Times New Roman"/>
        </w:rPr>
        <w:t xml:space="preserve">. Machine learning approaches are particularly well-suited to studies of personal qualities, situation-specific elements, and sociocultural environments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{"citationItems":[{"id":"ITEM-1","itemData":{"DOI":"10.1017/9781316995808","abstract":"\"The scientific discipline of clinical psychology has witnessed paradigm changes in the prevailing conceptualization of psychopathology and in the rigor of experimental methods to test psychosocial treatments. In parallel, neuroscience approaches to mental illness have become increasingly prominent and technologies to measure psychological constructs over time and across contexts are becoming ubiquitous in psychological research. Altogether, these changes have pushed clinical scientists to incorporate novel research methodologies and analytic approaches. Modern studies of clinical phenomena are often theoretically integrative and assess constructs across levels of measurement, ranging from the molecular to the behavioral. These shifts are fundamental, and necessitate changes in the way modern clinical psychologists design studies, collect data, and draw scientific conclusions. This book is intended to serve as a guide for the next generation of clinical psychologists who will benefit from greater training in statistics, study design, developmental psychopathology, and multi-method approaches\"--","author":[{"dropping-particle":"","family":"Coutanche","given":"Marc N.","non-dropping-particle":"","parse-names":false,"suffix":""},{"dropping-particle":"","family":"Hallion","given":"Lauren S.","non-dropping-particle":"","parse-names":false,"suffix":""}],"container-title":"The Cambridge Handbook of Research Methods in Clinical Psychology","id":"ITEM-1","issued":{"date-parts":[["2020"]]},"page":"1-52","title":"The Cambridge Handbook of Research Methods in Clinical Psychology","type":"article-journal"},"uris":["http://www.mendeley.com/documents/?uuid=6ac3a962-95fd-489d-9ac6-a33693eedd9a"]}],"mendeley":{"formattedCitation":"(Coutanche &amp; Hallion, 2020)","plainTextFormattedCitation":"(Coutanche &amp; Hallion, 2020)","previouslyFormattedCitation":"(Coutanche &amp; Hallion,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(Coutanche &amp; Hallion, 2020)</w:t>
      </w:r>
      <w:r w:rsidRPr="005459E6">
        <w:rPr>
          <w:rFonts w:ascii="Times New Roman" w:hAnsi="Times New Roman" w:cs="Times New Roman"/>
        </w:rPr>
        <w:fldChar w:fldCharType="end"/>
      </w:r>
      <w:r w:rsidRPr="005459E6">
        <w:rPr>
          <w:rFonts w:ascii="Times New Roman" w:hAnsi="Times New Roman" w:cs="Times New Roman"/>
        </w:rPr>
        <w:t xml:space="preserve">. A data-driven Machine Learning (ML) based treatment protocol can be used to treat people (at a large scale), design applications (with lower costs), and develop interfaces (for greater access). Recent studies have been touching upon augmenting psychotherapy with AI, where clinical psychologists believe that it could improve care as well as increase access to it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{"citationItems":[{"id":"ITEM-1","itemData":{"DOI":"10.1038/s41746-020-0285-8","ISSN":"23986352","abstract":"Accurate transcription of audio recordings in psychotherapy would improve therapy effectiveness, clinician training, and safety monitoring. Although automatic speech recognition software is commercially available, its accuracy in mental health settings has not been well described. It is unclear which metrics and thresholds are appropriate for different clinical use cases, which may range from population descriptions to individual safety monitoring. Here we show that automatic speech recognition is feasible in psychotherapy, but further improvements in accuracy are needed before widespread use. Our HIPAA-compliant automatic speech recognition system demonstrated a transcription word error rate of 25%. For depression-related utterances, sensitivity was 80% and positive predictive value was 83%. For clinician-identified harm-related sentences, the word error rate was 34%. These results suggest that automatic speech recognition may support understanding of language patterns and subgroup variation in existing treatments but may not be ready for individual-level safety surveillance.","author":[{"dropping-particle":"","family":"Miner","given":"Adam S.","non-dropping-particle":"","parse-names":false,"suffix":""},{"dropping-particle":"","family":"Haque","given":"Albert","non-dropping-particle":"","parse-names":false,"suffix":""},{"dropping-particle":"","family":"Fries","given":"Jason A.","non-dropping-particle":"","parse-names":false,"suffix":""},{"dropping-particle":"","family":"Fleming","given":"Scott L.","non-dropping-particle":"","parse-names":false,"suffix":""},{"dropping-particle":"","family":"Wilfley","given":"Denise E.","non-dropping-particle":"","parse-names":false,"suffix":""},{"dropping-particle":"","family":"Terence Wilson","given":"G.","non-dropping-particle":"","parse-names":false,"suffix":""},{"dropping-particle":"","family":"Milstein","given":"Arnold","non-dropping-particle":"","parse-names":false,"suffix":""},{"dropping-particle":"","family":"Jurafsky","given":"Dan","non-dropping-particle":"","parse-names":false,"suffix":""},{"dropping-particle":"","family":"Arnow","given":"Bruce A.","non-dropping-particle":"","parse-names":false,"suffix":""},{"dropping-particle":"","family":"Stewart Agras","given":"W.","non-dropping-particle":"","parse-names":false,"suffix":""},{"dropping-particle":"","family":"Fei-Fei","given":"Li","non-dropping-particle":"","parse-names":false,"suffix":""},{"dropping-particle":"","family":"Shah","given":"Nigam H.","non-dropping-particle":"","parse-names":false,"suffix":""}],"container-title":"npj Digital Medicine","id":"ITEM-1","issue":"1","issued":{"date-parts":[["2020"]]},"title":"Assessing the accuracy of automatic speech recognition for psychotherapy","type":"article-journal","volume":"3"},"uris":["http://www.mendeley.com/documents/?uuid=813858e8-d151-425a-82ae-fc30392a83ea"]}],"mendeley":{"formattedCitation":"(Miner et al., 2020)","plainTextFormattedCitation":"(Miner et al., 2020)","previouslyFormattedCitation":"(Miner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(Miner et al., 2020)</w:t>
      </w:r>
      <w:r w:rsidRPr="005459E6">
        <w:rPr>
          <w:rFonts w:ascii="Times New Roman" w:hAnsi="Times New Roman" w:cs="Times New Roman"/>
        </w:rPr>
        <w:fldChar w:fldCharType="end"/>
      </w:r>
      <w:r w:rsidRPr="005459E6">
        <w:rPr>
          <w:rFonts w:ascii="Times New Roman" w:hAnsi="Times New Roman" w:cs="Times New Roman"/>
        </w:rPr>
        <w:t xml:space="preserve">. </w:t>
      </w:r>
      <w:r w:rsidR="00154680" w:rsidRPr="005459E6">
        <w:rPr>
          <w:rFonts w:ascii="Times New Roman" w:hAnsi="Times New Roman" w:cs="Times New Roman"/>
        </w:rPr>
        <w:t xml:space="preserve"> </w:t>
      </w:r>
      <w:r w:rsidRPr="005459E6">
        <w:rPr>
          <w:rFonts w:ascii="Times New Roman" w:hAnsi="Times New Roman" w:cs="Times New Roman"/>
        </w:rPr>
        <w:t xml:space="preserve">In the recent past, to address the need for greater access to patients and increase the effectiveness of mental health treatment, internet-delivered psychotherapy programs have achieved achieve clinical outcomes comparable to face-to-face therapy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{"citationItems":[{"id":"ITEM-1","itemData":{"abstract":"To address the need for more access to, and increase the effectiveness of, mental health treatment, internet-delivered psychotherapy programs such as iCBT are shown to achieve clinical outcomes comparable to face-to-face therapy. While offering ubiquitous access to healthcare, a key concern of digital therapy programs is to sustain users' engagement with the treatment to attain desired benefits. Research has demonstrated that including a trained 'human supporter' to the digital mental health ecosystem can provide useful guidance and motivation to its users, and lead to more effective outcomes than unsupported interventions. Within this context, we describe early research that makes use of machine learning (ML) approaches to better understand how the behaviors of these human supporters may benefit the mental health outcomes of clients; and how such effects could be maximized. We discuss new opportunities for augmenting human support through personalization, and the related ethical challenges.","author":[{"dropping-particle":"","family":"Chikersal","given":"Prerna","non-dropping-particle":"","parse-names":false,"suffix":""},{"dropping-particle":"","family":"Doherty","given":"Gavin","non-dropping-particle":"","parse-names":false,"suffix":""},{"dropping-particle":"","family":"Thieme","given":"Anja","non-dropping-particle":"","parse-names":false,"suffix":""}],"id":"ITEM-1","issued":{"date-parts":[["0"]]},"title":"Towards Using AI to Augment Human Support in Digital Mental Healthcare","type":"article-journal"},"uris":["http://www.mendeley.com/documents/?uuid=0f6f291e-3942-4865-ad3f-c279cbf39aaf"]}],"mendeley":{"formattedCitation":"(Chikersal et al., n.d.)","plainTextFormattedCitation":"(Chikersal et al., n.d.)","previouslyFormattedCitation":"(Chikersal et al., n.d.)"},"properties":{"noteIndex":0},"schema":"https://github.com/citation-style-language/schema/raw/master/csl-citation.json"}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(Chikersal et al., n.d.)</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{"citationItems":[{"id":"ITEM-1","itemData":{"DOI":"10.2196/26811","ISSN":"23687959","abstract":"The demand outstripping supply of mental health resources during the COVID-19 pandemic presents opportunities for digital technology tools to fill this new gap and, in the process, demonstrate capabilities to increase their effectiveness and efficiency. However, technology-enabled services have faced challenges in being sustainably implemented despite showing promising outcomes in efficacy trials since the early 2000s. The ongoing failure of these implementations has been addressed in reconceptualized models and frameworks, along with various efforts to branch out among disparate developers and clinical researchers to provide them with a key for furthering evaluative research. However, the limitations of traditional research methods in dealing with the complexities of mental health care warrant a diversified approach. The crux of the challenges of digital mental health implementation is the efficacy and evaluation of existing studies. Web-based interventions are increasingly used during the pandemic, allowing for affordable access to psychological therapies. However, a lagging infrastructure and skill base has limited the application of digital solutions in mental health care. Methodologies need to be converged owing to the rapid development of digital technologies that have outpaced the evaluation of rigorous digital mental health interventions and strategies to prevent mental illness. The functions and implications of human-computer interaction require a better understanding to overcome engagement barriers, especially with predictive technologies. Explainable artificial intelligence is being incorporated into digital mental health implementation to obtain positive and responsible outcomes. Investment in digital platforms and associated apps for real-time screening, tracking, and treatment offer the promise of cost-effectiveness in vulnerable populations. Although machine learning has been limited by study conduct and reporting methods, the increasing use of unstructured data has strengthened its potential. Early evidence suggests that the advantages outweigh the disadvantages of incrementing such technology. The limitations of an evidence-based approach require better integration of decision support tools to guide policymakers with digital mental health implementation. There is a complex range of issues with effectiveness, equity, access, and ethics (eg, privacy, confidentiality, fairness, transparency, reproducibility, and accountability), which warr…","author":[{"dropping-particle":"","family":"Balcombe","given":"Luke","non-dropping-particle":"","parse-names":false,"suffix":""},{"dropping-particle":"","family":"Leo","given":"Diego","non-dropping-particle":"De","parse-names":false,"suffix":""}],"container-title":"JMIR Mental Health","id":"ITEM-1","issue":"3","issued":{"date-parts":[["2021"]]},"title":"Digital mental health challenges and the horizon ahead for solutions","type":"article-journal","volume":"8"},"uris":["http://www.mendeley.com/documents/?uuid=4422a401-baa8-47cc-963e-1e8a903e06d3"]}],"mendeley":{"formattedCitation":"(Balcombe &amp; De Leo, 2021)","manualFormatting":"Balcombe &amp; De Leo (2021)","plainTextFormattedCitation":"(Balcombe &amp; De Leo, 2021)","previouslyFormattedCitation":"(Balcombe &amp; De Leo,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Balcombe &amp; De Leo (2021)</w:t>
      </w:r>
      <w:r w:rsidRPr="005459E6">
        <w:rPr>
          <w:rFonts w:ascii="Times New Roman" w:hAnsi="Times New Roman" w:cs="Times New Roman"/>
        </w:rPr>
        <w:fldChar w:fldCharType="end"/>
      </w:r>
      <w:r w:rsidRPr="005459E6">
        <w:rPr>
          <w:rFonts w:ascii="Times New Roman" w:hAnsi="Times New Roman" w:cs="Times New Roman"/>
        </w:rPr>
        <w:t xml:space="preserve"> has demonstrated that including a trained ‘human supporter’ in the digital mental health ecosystem can provide useful guidance and motivation to its users and lead to more effective outcomes than unsupported interventions. </w:t>
      </w:r>
      <w:r w:rsidR="00154680" w:rsidRPr="005459E6">
        <w:rPr>
          <w:rFonts w:ascii="Times New Roman" w:hAnsi="Times New Roman" w:cs="Times New Roman"/>
        </w:rPr>
        <w:t xml:space="preserve"> </w:t>
      </w:r>
      <w:r w:rsidRPr="005459E6">
        <w:rPr>
          <w:rFonts w:ascii="Times New Roman" w:hAnsi="Times New Roman" w:cs="Times New Roman"/>
        </w:rPr>
        <w:t>Within this context, we describe early research that makes use of machine learning (ML) approaches to understand better how the behaviors of these human supporters may benefit the mental health outcomes of patients; and how such effects could be maximized. In the given study, Machine Learning was used to –</w:t>
      </w:r>
    </w:p>
    <w:p w14:paraId="2184B3E5" w14:textId="77777777" w:rsidR="00B42ABB" w:rsidRPr="005459E6" w:rsidRDefault="00B42ABB" w:rsidP="00B42ABB">
      <w:pPr>
        <w:numPr>
          <w:ilvl w:val="0"/>
          <w:numId w:val="15"/>
        </w:numPr>
        <w:spacing w:line="360" w:lineRule="auto"/>
        <w:jc w:val="both"/>
        <w:rPr>
          <w:rFonts w:ascii="Times New Roman" w:hAnsi="Times New Roman" w:cs="Times New Roman"/>
        </w:rPr>
      </w:pPr>
      <w:r w:rsidRPr="005459E6">
        <w:rPr>
          <w:rFonts w:ascii="Times New Roman" w:hAnsi="Times New Roman" w:cs="Times New Roman"/>
        </w:rPr>
        <w:t>Identify patterns of emotional states for personalized therapy</w:t>
      </w:r>
    </w:p>
    <w:p w14:paraId="4D3B8482" w14:textId="6C54AEA5" w:rsidR="00B42ABB" w:rsidRPr="005459E6" w:rsidRDefault="00B42ABB" w:rsidP="00B42ABB">
      <w:pPr>
        <w:numPr>
          <w:ilvl w:val="0"/>
          <w:numId w:val="15"/>
        </w:numPr>
        <w:spacing w:line="360" w:lineRule="auto"/>
        <w:jc w:val="both"/>
        <w:rPr>
          <w:rFonts w:ascii="Times New Roman" w:hAnsi="Times New Roman" w:cs="Times New Roman"/>
        </w:rPr>
      </w:pPr>
      <w:r w:rsidRPr="005459E6">
        <w:rPr>
          <w:rFonts w:ascii="Times New Roman" w:hAnsi="Times New Roman" w:cs="Times New Roman"/>
        </w:rPr>
        <w:t>Conduct predictive modelling based on past trends of data</w:t>
      </w:r>
    </w:p>
    <w:p w14:paraId="3C691D42" w14:textId="25569A5C" w:rsidR="00B42ABB" w:rsidRPr="005459E6" w:rsidRDefault="00B42ABB" w:rsidP="00154680">
      <w:pPr>
        <w:spacing w:line="360" w:lineRule="auto"/>
        <w:jc w:val="both"/>
        <w:rPr>
          <w:rFonts w:ascii="Times New Roman" w:hAnsi="Times New Roman" w:cs="Times New Roman"/>
        </w:rPr>
      </w:pPr>
      <w:bookmarkStart w:id="54" w:name="_Hlk88314425"/>
      <w:r w:rsidRPr="005459E6">
        <w:rPr>
          <w:rFonts w:ascii="Times New Roman" w:hAnsi="Times New Roman" w:cs="Times New Roman"/>
        </w:rPr>
        <w:t xml:space="preserve">Digital health interventions have been repeatedly emphasized as one strategy to respond to increasing levels of mental health disorders. The rapid development of digital technologies (such as smartphones and wearables) has given rise to the possibility of predictive prevention. In simpler words, it can offer the personalization of preventive treatments using data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{"citationItems":[{"id":"ITEM-1","itemData":{"DOI":"10.1089/pop.2015.0171","ISSN":"1942-7905","abstract":"The objective of this study was to evaluate the impact on health care utilization and expenditure trends over time of a personalized preventive medicine program delivering individualized care focused on lifestyle behavior modification, disease prevention, and compliance with quality-related metrics. MD-Value in Prevention (MDVIP) is a network of affiliated primary care physicians who utilize a model of health care delivery based on an augmented physician-patient relationship and focused on personalized preventive health care. Multivariate modeling was used to control for demographics, socioeconomics, supply of health care services, and health status among 10,186 MDVIP members and randomly selected, matched nonmembers. Health care utilization and expenditure trends were tracked from the pre period prior to member enrollment for a period of up to 3 years post enrollment. MDVIP members experienced reduced utilization of emergency room and urgent care services compared to nonmembers. Program savings ranges indicated that, over time, increasing percentages of members achieved cost savings compared to nonmembers. Older age groups were more likely to realize savings in the early years with preventive activities indicating condition management, and younger age groups were most likely to achieve savings by the third year after enrollment. These results indicate that a primary care model based on an enhanced physician-patient relationship and focused on quality and personalized preventive care within a time frame of 3 years can achieve positive health care expenditure outcomes and improved health management.","author":[{"dropping-particle":"","family":"Musich","given":"Shirley","non-dropping-particle":"","parse-names":false,"suffix":""},{"dropping-particle":"","family":"Wang","given":"Shaohung","non-dropping-particle":"","parse-names":false,"suffix":""},{"dropping-particle":"","family":"Hawkins","given":"Kevin","non-dropping-particle":"","parse-names":false,"suffix":""},{"dropping-particle":"","family":"Klemes","given":"Andrea","non-dropping-particle":"","parse-names":false,"suffix":""}],"container-title":"Population health management","edition":"2016/02/12","id":"ITEM-1","issue":"6","issued":{"date-parts":[["2016","12"]]},"language":"eng","page":"389-397","publisher":"Mary Ann Liebert, Inc.","title":"The Impact of Personalized Preventive Care on Health Care Quality, Utilization, and Expenditures","type":"article-journal","volume":"19"},"uris":["http://www.mendeley.com/documents/?uuid=305fd6a7-d6e5-4012-a8aa-e3958397c92c"]}],"mendeley":{"formattedCitation":"(Musich et al., 2016)","plainTextFormattedCitation":"(Musich et al., 2016)","previouslyFormattedCitation":"(Musich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(Musich et al., 2016)</w:t>
      </w:r>
      <w:r w:rsidRPr="005459E6">
        <w:rPr>
          <w:rFonts w:ascii="Times New Roman" w:hAnsi="Times New Roman" w:cs="Times New Roman"/>
        </w:rPr>
        <w:fldChar w:fldCharType="end"/>
      </w:r>
      <w:r w:rsidRPr="005459E6">
        <w:rPr>
          <w:rFonts w:ascii="Times New Roman" w:hAnsi="Times New Roman" w:cs="Times New Roman"/>
        </w:rPr>
        <w:t xml:space="preserve">. Digital technology's pervasiveness provides an opportunity to facilitate expanded access to mental health therapies for adolescents. As defined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{"citationItems":[{"id":"ITEM-1","itemData":{"ISSN":"1057-9249","author":[{"dropping-particle":"","family":"Hodges","given":"Laura J","non-dropping-particle":"","parse-names":false,"suffix":""},{"dropping-particle":"","family":"Walker","given":"Jane","non-dropping-particle":"","parse-names":false,"suffix":""},{"dropping-particle":"","family":"Kleiboer","given":"Annet M","non-dropping-particle":"","parse-names":false,"suffix":""},{"dropping-particle":"","family":"Ramirez","given":"Amanda J","non-dropping-particle":"","parse-names":false,"suffix":""},{"dropping-particle":"","family":"Richardson","given":"Alison","non-dropping-particle":"","parse-names":false,"suffix":""},{"dropping-particle":"","family":"Velikova","given":"Galina","non-dropping-particle":"","parse-names":false,"suffix":""},{"dropping-particle":"","family":"Sharpe","given":"Michael","non-dropping-particle":"","parse-names":false,"suffix":""}],"container-title":"Psycho‐oncology","id":"ITEM-1","issue":"5","issued":{"date-parts":[["2011"]]},"page":"470-478","publisher":"Wiley Online Library","title":"What is a psychological intervention? A metareview and practical proposal","type":"article-journal","volume":"20"},"uris":["http://www.mendeley.com/documents/?uuid=d6b26420-0539-409f-8814-3924da82081a"]}],"mendeley":{"formattedCitation":"(Hodges et al., 2011)","manualFormatting":"Hodges et al. (2011)","plainTextFormattedCitation":"(Hodges et al., 2011)","previouslyFormattedCitation":"(Hodges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Hodges et al. (2011)</w:t>
      </w:r>
      <w:r w:rsidRPr="005459E6">
        <w:rPr>
          <w:rFonts w:ascii="Times New Roman" w:hAnsi="Times New Roman" w:cs="Times New Roman"/>
        </w:rPr>
        <w:fldChar w:fldCharType="end"/>
      </w:r>
      <w:r w:rsidRPr="005459E6">
        <w:rPr>
          <w:rFonts w:ascii="Times New Roman" w:hAnsi="Times New Roman" w:cs="Times New Roman"/>
        </w:rPr>
        <w:t xml:space="preserve">, psychological interventions are activities or groups of activities intended at changing behaviors, feelings, and emotional states. </w:t>
      </w:r>
      <w:bookmarkEnd w:id="54"/>
      <w:r w:rsidRPr="005459E6">
        <w:rPr>
          <w:rFonts w:ascii="Times New Roman" w:hAnsi="Times New Roman" w:cs="Times New Roman"/>
        </w:rPr>
        <w:t xml:space="preserve">Improving mental wellness outcomes is a protective factor against the beginning of a mental illness, supports disease recovery and chronic disease management, and is linked to improved use of health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{"citationItems":[{"id":"ITEM-1","itemData":{"DOI":"10.1186/1472-6963-10-26","ISSN":"14726963","PMID":"20102609","abstract":"Background. A new evidence base is emerging, which focuses on well-being. This makes it possible for health services to orientate around promoting well-being as well as treating illness, and so to make a reality of the long-standing rhetoric that health is more than the absence of illness. The aim of this paper is to support the re-orientation of health services around promoting well-being. Mental health services are used as an example to illustrate the new knowledge skills which will be needed by health professionals. Discussion. New forms of evidence give a triangulated understanding about the promotion of well-being in mental health services. The academic discipline of positive psychology is developing evidence-based interventions to improve well-being. This complements the results emerging from synthesising narratives about recovery from mental illness, which provide ecologically valid insights into the processes by which people experiencing mental illness can develop a purposeful and meaningful life. The implications for health professionals are explored. In relation to working with individuals, more emphasis on the person's own goals and strengths will be needed, with integration of interventions which promote well-being into routine clinical practice. In addition, a more societally-focussed role for professionals is envisaged, in which a central part of the job is to influence local and national policies and practices that impact on well-being. Summary. If health services are to give primacy to increasing well-being, rather than to treating illness, then health workers need new approaches to working with individuals. For mental health services, this will involve the incorporation of emerging knowledge from recovery and from positive psychology into education and training for all mental health professionals, and changes to some long-established working practices. © 2010 Slade.","author":[{"dropping-particle":"","family":"Slade","given":"Mike","non-dropping-particle":"","parse-names":false,"suffix":""}],"container-title":"BMC Health Services Research","id":"ITEM-1","issued":{"date-parts":[["2010"]]},"title":"Mental illness and well-being: The central importance of positive psychology and recovery approaches","type":"article-journal","volume":"10"},"uris":["http://www.mendeley.com/documents/?uuid=06ad38fe-01bc-4edf-9747-3eac01975f3c"]},{"id":"ITEM-2","itemData":{"DOI":"10.3389/fpsyg.2021.648678","ISSN":"16641078","abstract":"Replicating or distilling information from psychological interventions reported in the scientific literature is hindered by inadequate reporting, despite the existence of various methodologies to guide study reporting and intervention development. This article provides an in-depth explanation of the scientific development process for a mental health intervention, and by doing so illustrates how intervention development methodologies can be used to improve development reporting standards of interventions. Intervention development was guided by the Intervention Mapping approach and the Theoretical Domains Framework. It relied on an extensive literature review, input from a multi-disciplinary group of stakeholders and the learnings from projects on similar psychological interventions. The developed programme, called the “Be Well Plan”, focuses on self-exploration to determine key motivators, resources and challenges to improve mental health outcomes. The programme contains an online assessment to build awareness about one’s mental health status. In combination with the exploration of different evidence-based mental health activities from various therapeutic backgrounds, the programme teaches individuals to create a personalised mental health and wellbeing plan. The use of best-practice intervention development frameworks and evidence-based behavioural change techniques aims to ensure optimal intervention impact, while reporting on the development process provides researchers and other stakeholders with an ability to scientifically interrogate and replicate similar psychological interventions.","author":[{"dropping-particle":"","family":"Agteren","given":"Joep","non-dropping-particle":"van","parse-names":false,"suffix":""},{"dropping-particle":"","family":"Iasiello","given":"Matthew","non-dropping-particle":"","parse-names":false,"suffix":""},{"dropping-particle":"","family":"Ali","given":"Kathina","non-dropping-particle":"","parse-names":false,"suffix":""},{"dropping-particle":"","family":"Fassnacht","given":"Daniel B.","non-dropping-particle":"","parse-names":false,"suffix":""},{"dropping-particle":"","family":"Furber","given":"Gareth","non-dropping-particle":"","parse-names":false,"suffix":""},{"dropping-particle":"","family":"Woodyatt","given":"Lydia","non-dropping-particle":"","parse-names":false,"suffix":""},{"dropping-particle":"","family":"Howard","given":"Alexis","non-dropping-particle":"","parse-names":false,"suffix":""},{"dropping-particle":"","family":"Kyrios","given":"Michael","non-dropping-particle":"","parse-names":false,"suffix":""}],"container-title":"Frontiers in Psychology","id":"ITEM-2","issue":"October","issued":{"date-parts":[["2021"]]},"title":"Using the Intervention Mapping Approach to Develop a Mental Health Intervention: A Case Study on Improving the Reporting Standards for Developing Psychological Interventions","type":"article-journal","volume":"12"},"uris":["http://www.mendeley.com/documents/?uuid=9f5785ee-5219-4c2c-9b70-81f84f2cdaa1"]}],"mendeley":{"formattedCitation":"(Slade, 2010; van Agteren et al., 2021)","plainTextFormattedCitation":"(Slade, 2010; van Agteren et al., 2021)","previouslyFormattedCitation":"(Slade, 2010; van Agteren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(Slade, 2010; van Agteren et al., 2021)</w:t>
      </w:r>
      <w:r w:rsidRPr="005459E6">
        <w:rPr>
          <w:rFonts w:ascii="Times New Roman" w:hAnsi="Times New Roman" w:cs="Times New Roman"/>
        </w:rPr>
        <w:fldChar w:fldCharType="end"/>
      </w:r>
      <w:r w:rsidR="00154680" w:rsidRPr="005459E6">
        <w:rPr>
          <w:rFonts w:ascii="Times New Roman" w:hAnsi="Times New Roman" w:cs="Times New Roman"/>
        </w:rPr>
        <w:t>.</w:t>
      </w:r>
    </w:p>
    <w:p w14:paraId="2794525B" w14:textId="77777777" w:rsidR="00B42ABB" w:rsidRPr="005459E6" w:rsidRDefault="00B42ABB" w:rsidP="00B42ABB">
      <w:pPr>
        <w:pStyle w:val="Titolo2"/>
        <w:spacing w:line="360" w:lineRule="auto"/>
        <w:jc w:val="both"/>
        <w:rPr>
          <w:rFonts w:ascii="Times New Roman" w:hAnsi="Times New Roman" w:cs="Times New Roman"/>
          <w:color w:val="auto"/>
          <w:sz w:val="22"/>
          <w:szCs w:val="22"/>
        </w:rPr>
      </w:pPr>
      <w:bookmarkStart w:id="55" w:name="_Toc104746484"/>
      <w:bookmarkStart w:id="56" w:name="_Toc104827765"/>
      <w:bookmarkStart w:id="57" w:name="_Toc107248275"/>
      <w:r w:rsidRPr="005459E6">
        <w:rPr>
          <w:rFonts w:ascii="Times New Roman" w:hAnsi="Times New Roman" w:cs="Times New Roman"/>
          <w:color w:val="auto"/>
          <w:sz w:val="22"/>
          <w:szCs w:val="22"/>
        </w:rPr>
        <w:lastRenderedPageBreak/>
        <w:t>QUANTIFIED SELF</w:t>
      </w:r>
      <w:bookmarkEnd w:id="55"/>
      <w:bookmarkEnd w:id="56"/>
      <w:bookmarkEnd w:id="57"/>
    </w:p>
    <w:p w14:paraId="00283DB0" w14:textId="0590B468"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In healthcare, self-tracking - also known as '</w:t>
      </w:r>
      <w:r w:rsidR="00FA004D">
        <w:rPr>
          <w:rFonts w:ascii="Times New Roman" w:hAnsi="Times New Roman" w:cs="Times New Roman"/>
        </w:rPr>
        <w:t>Q</w:t>
      </w:r>
      <w:r w:rsidRPr="005459E6">
        <w:rPr>
          <w:rFonts w:ascii="Times New Roman" w:hAnsi="Times New Roman" w:cs="Times New Roman"/>
        </w:rPr>
        <w:t xml:space="preserve">uantified self' is becoming a known practice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{"citationItems":[{"id":"ITEM-1","itemData":{"author":[{"dropping-particle":"","family":"Lupton","given":"D","non-dropping-particle":"","parse-names":false,"suffix":""}],"id":"ITEM-1","issued":{"date-parts":[["2016"]]},"title":"The Quantified Self (Cambridge: Polity)","type":"article-journal"},"uris":["http://www.mendeley.com/documents/?uuid=67d96aa0-a505-4b45-8eca-029eb2f7faff"]}],"mendeley":{"formattedCitation":"(Lupton, 2016)","plainTextFormattedCitation":"(Lupton, 2016)","previouslyFormattedCitation":"(Lupton,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(Lupton, 2016)</w:t>
      </w:r>
      <w:r w:rsidRPr="005459E6">
        <w:rPr>
          <w:rFonts w:ascii="Times New Roman" w:hAnsi="Times New Roman" w:cs="Times New Roman"/>
        </w:rPr>
        <w:fldChar w:fldCharType="end"/>
      </w:r>
      <w:r w:rsidRPr="005459E6">
        <w:rPr>
          <w:rFonts w:ascii="Times New Roman" w:hAnsi="Times New Roman" w:cs="Times New Roman"/>
        </w:rPr>
        <w:t xml:space="preserve">. Several people are embracing self-quantification where they can receive ‘self-knowledge via numbers' in the hope of improving their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{"citationItems":[{"id":"ITEM-1","itemData":{"DOI":"10.1177/2055207616689509","ISSN":"2055-2076","abstract":"Recent years have witnessed an intensive growth of systems of measurement and an increasing integration of data processes into various spheres of everyday life. From smartphone apps that measure our activity and sleep, to digital devices that monitor our health and performance at the workplace, the culture of measurement is currently on the rise. Encouraged by movements such as the Quantified Self, whose motto is ‘self knowledge through numbers’, a growing number of people across the globe are embracing practices of self-quantification and tracking in the spirit of improving their wellbeing and productivity or charting their fitness progress. In this article, I examine the biopolitical aspects of the Quantified Self practices, exploring some of the ideologies and rationalities underlying self-tracking culture. I argue that such practices represent an instantiation of a ‘biopolitics of the self’ whereby the body is made amenable to management and monitoring techniques that often echo the ethos of neolibera...","author":[{"dropping-particle":"","family":"Ajana","given":"Btihaj","non-dropping-particle":"","parse-names":false,"suffix":""}],"container-title":"Digital Health","id":"ITEM-1","issued":{"date-parts":[["2017"]]},"page":"205520761668950","title":"Digital health and the biopolitics of the Quantified Self","type":"article-journal","volume":"3"},"uris":["http://www.mendeley.com/documents/?uuid=2c57db98-e07b-4c3b-a110-0d2e4b556bfa"]}],"mendeley":{"formattedCitation":"(Ajana, 2017)","plainTextFormattedCitation":"(Ajana, 2017)","previouslyFormattedCitation":"(Ajana,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(Ajana, 2017)</w:t>
      </w:r>
      <w:r w:rsidRPr="005459E6">
        <w:rPr>
          <w:rFonts w:ascii="Times New Roman" w:hAnsi="Times New Roman" w:cs="Times New Roman"/>
        </w:rPr>
        <w:fldChar w:fldCharType="end"/>
      </w:r>
      <w:r w:rsidRPr="005459E6">
        <w:rPr>
          <w:rFonts w:ascii="Times New Roman" w:hAnsi="Times New Roman" w:cs="Times New Roman"/>
        </w:rPr>
        <w:t>.</w:t>
      </w:r>
    </w:p>
    <w:p w14:paraId="22D32723" w14:textId="598BBAD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​​Pursuant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{"citationItems":[{"id":"ITEM-1","itemData":{"DOI":"10.1177/2055207618779714","ISSN":"2055-2076","abstract":"Objective: Self-tracking technologies have created high hopes, even hype, for aiding people to govern their own health risks and promote optimal wellness. High expectations do not, however, necessarily materialize due to connective gaps between personal experiences and self-tracking data. This study examines situations when self-trackers face difficulties in engaging with, and reflecting on, their data with the aim of identifying the specificities and consequences of such connective gaps in self-tracking contexts.; Methods: The study is based on empirical analyses of interviews of inexperienced, experienced and extreme self-trackers (in total 27), who participated in a pilot study aiming at promoting health and wellness.; Results: The study shows that people using self-tracking devices actively search for constant connectivity to their everyday experiences and particularly health and wellness through personal data but often become disappointed. The results suggest that in connective gaps the personal data remains invisible or inaccurate, generating feelings of confusion and doubt in the users of the self-tracking devices. These are alarming symptoms that may lead to indifference when disconnectivity becomes solidified and data ends up becoming dead, providing nothing useful for the users of self-tracking technologies.; Conclusions: High expectations which are put on wearables to advance health and wellness may remain unmaterialised due to connective gaps. This is problematic if individuals are increasingly expected to be active in personal data collection and interpretation regarding their own health and wellness.; ","author":[{"dropping-particle":"","family":"Yli-Kauhaluoma","given":"Sari","non-dropping-particle":"","parse-names":false,"suffix":""},{"dropping-particle":"","family":"Pantzar","given":"Mika","non-dropping-particle":"","parse-names":false,"suffix":""}],"container-title":"Digital Health","id":"ITEM-1","issue":"Unioninkatu 40","issued":{"date-parts":[["2018"]]},"page":"205520761877971","title":"Seeking connectivity to everyday health and wellness experiences: Specificities and consequences of connective gaps in self-tracking data","type":"article-journal","volume":"4"},"uris":["http://www.mendeley.com/documents/?uuid=80b6fb05-cbb9-4fc8-9737-e5c6167e62c5"]}],"mendeley":{"formattedCitation":"(Yli-Kauhaluoma &amp; Pantzar, 2018)","manualFormatting":"Yli-Kauhaluoma &amp; Pantzar (2018)","plainTextFormattedCitation":"(Yli-Kauhaluoma &amp; Pantzar, 2018)","previouslyFormattedCitation":"(Yli-Kauhaluoma &amp; Pantzar,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Yli-Kauhaluoma &amp; Pantzar (2018)</w:t>
      </w:r>
      <w:r w:rsidRPr="005459E6">
        <w:rPr>
          <w:rFonts w:ascii="Times New Roman" w:hAnsi="Times New Roman" w:cs="Times New Roman"/>
        </w:rPr>
        <w:fldChar w:fldCharType="end"/>
      </w:r>
      <w:r w:rsidRPr="005459E6">
        <w:rPr>
          <w:rFonts w:ascii="Times New Roman" w:hAnsi="Times New Roman" w:cs="Times New Roman"/>
        </w:rPr>
        <w:t xml:space="preserve">, self-tracking technologies have generated high expectations, if not outright hype, for assisting people in managing their health risks and promoting optimal wellness. Due to connecting gaps between personal experiences and self-tracking data, high expectations may not always materialize. This is a concern if people are supposed to be more involved in personal data collecting and analysis for their health and well-being. People who track routinely might become more knowledgeable about their health and, as a result, adapt their health management approach based on their experiences with tracking, asking fewer questions to their clinicians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{"citationItems":[{"id":"ITEM-1","itemData":{"ISSN":"1942597X","PMID":"29854136","abstract":"Despite a growing interest in self-tracking of one's health, what factors lead to self-tracking routinely (i.e., collecting data at regular intervals), and the effects of this behavior, remain largely understudied. Using data from the Pew Survey on Tracking for Health, we examined the patterns of self-tracking activity to understand reasons for this behavior and its impact on health management practices. We tested multiple logistic regression models to assess the influence of different predicting variables, and to find whether routine self-tracking leads to positive change to one's approaches to health management. Our results suggest that recent visits to emergency care and the type(s) of tracking tools used are significant predictors of routine self-tracking activities. Further, the results suggest that routine self-tracking, as opposed to occasional, event-triggered tracking, is more likely to result in positive changes to health management approaches. Our findings also highlight barriers to and opportunities for designing useful and usable tools to facilitate self-tracking and empower patients to become more proactive in managing their own health.","author":[{"dropping-particle":"","family":"Figueiredo","given":"Mayara","non-dropping-particle":"","parse-names":false,"suffix":""},{"dropping-particle":"","family":"Caldeira","given":"Clara","non-dropping-particle":"","parse-names":false,"suffix":""},{"dropping-particle":"","family":"Chen","given":"Yunan","non-dropping-particle":"","parse-names":false,"suffix":""},{"dropping-particle":"","family":"Zheng","given":"Kai","non-dropping-particle":"","parse-names":false,"suffix":""}],"container-title":"AMIA ... Annual Symposium proceedings. AMIA Symposium","id":"ITEM-1","issued":{"date-parts":[["2017"]]},"page":"706-714","title":"Routine self-tracking of health: reasons, facilitating factors, and the potential impact on health management practices","type":"article-journal","volume":"2017"},"uris":["http://www.mendeley.com/documents/?uuid=4fca9baa-dbff-4514-b520-ffa3e21d3bc7"]}],"mendeley":{"formattedCitation":"(Figueiredo et al., 2017)","plainTextFormattedCitation":"(Figueiredo et al., 2017)","previouslyFormattedCitation":"(Figueiredo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(Figueiredo et al., 2017)</w:t>
      </w:r>
      <w:r w:rsidRPr="005459E6">
        <w:rPr>
          <w:rFonts w:ascii="Times New Roman" w:hAnsi="Times New Roman" w:cs="Times New Roman"/>
        </w:rPr>
        <w:fldChar w:fldCharType="end"/>
      </w:r>
      <w:r w:rsidRPr="005459E6">
        <w:rPr>
          <w:rFonts w:ascii="Times New Roman" w:hAnsi="Times New Roman" w:cs="Times New Roman"/>
        </w:rPr>
        <w:t xml:space="preserve">. As noted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{"citationItems":[{"id":"ITEM-1","itemData":{"DOI":"10.1007/s13347-016-0215-5","ISSN":"22105441","abstract":"Self-tracking devices point to a future in which individuals will be more involved in the management of their health and will generate data that will benefit clinical decision making and research. They have thus attracted enthusiasm from medical and public health professionals as key players in the move toward participatory and personalized healthcare. Critics, however, have begun to articulate a number of broader societal and ethical concerns regarding self-tracking, foregrounding their disciplining, and disempowering effects. This paper has two aims: first, to analyze some of the key promises and concerns that inform this polarized debate. I argue that far from being solely about health outcomes, this debate is very much about fundamental values that are at stake in the move toward personalized healthcare, namely, the values of autonomy, solidarity, and authenticity. The second aim is to provide a framework within which an alternative approach to self-tracking for health can be developed. I suggest that a practice-based approach, which studies how values are enacted in specific practices, can open the way for a new set of theoretical questions. In the last part of the paper, I sketch out how this can work by describing various enactments of autonomy, solidarity, and authenticity among self-trackers in the Quantified Self community. These examples show that shifting attention to practices can render visible alternative and sometimes unexpected enactments of values. Insofar as these may challenge both the promises and concerns in the debate on self-tracking for health, they can lay the groundwork for new conceptual interventions in future research.","author":[{"dropping-particle":"","family":"Sharon","given":"Tamar","non-dropping-particle":"","parse-names":false,"suffix":""}],"container-title":"Philosophy and Technology","id":"ITEM-1","issue":"1","issued":{"date-parts":[["2017"]]},"page":"93-121","publisher":"Philosophy &amp; Technology","title":"Self-Tracking for Health and the Quantified Self: Re-Articulating Autonomy, Solidarity, and Authenticity in an Age of Personalized Healthcare","type":"article-journal","volume":"30"},"uris":["http://www.mendeley.com/documents/?uuid=59062900-956a-44e5-b9b6-664b9a4aa94f"]}],"mendeley":{"formattedCitation":"(Sharon, 2017)","manualFormatting":"Sharon (2017)","plainTextFormattedCitation":"(Sharon, 2017)","previouslyFormattedCitation":"(Sharon,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Sharon (2017)</w:t>
      </w:r>
      <w:r w:rsidRPr="005459E6">
        <w:rPr>
          <w:rFonts w:ascii="Times New Roman" w:hAnsi="Times New Roman" w:cs="Times New Roman"/>
        </w:rPr>
        <w:fldChar w:fldCharType="end"/>
      </w:r>
      <w:r w:rsidRPr="005459E6">
        <w:rPr>
          <w:rFonts w:ascii="Times New Roman" w:hAnsi="Times New Roman" w:cs="Times New Roman"/>
        </w:rPr>
        <w:t>, the capability of self-tracking would translate into the management of patient health and facilitate effective clinical decision-making.</w:t>
      </w:r>
    </w:p>
    <w:p w14:paraId="199124EA"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58" w:name="_Toc87349487"/>
      <w:bookmarkStart w:id="59" w:name="_Toc87349600"/>
      <w:bookmarkStart w:id="60" w:name="_Toc87349707"/>
      <w:bookmarkStart w:id="61" w:name="_Toc88307702"/>
      <w:bookmarkStart w:id="62" w:name="_Toc88315258"/>
      <w:bookmarkStart w:id="63" w:name="_Toc104746485"/>
      <w:bookmarkStart w:id="64" w:name="_Toc104827766"/>
      <w:bookmarkStart w:id="65" w:name="_Toc107248276"/>
      <w:r w:rsidRPr="005459E6">
        <w:rPr>
          <w:rFonts w:ascii="Times New Roman" w:hAnsi="Times New Roman" w:cs="Times New Roman"/>
          <w:color w:val="auto"/>
          <w:sz w:val="22"/>
          <w:szCs w:val="22"/>
        </w:rPr>
        <w:t>Smart Nudg</w:t>
      </w:r>
      <w:bookmarkEnd w:id="58"/>
      <w:bookmarkEnd w:id="59"/>
      <w:bookmarkEnd w:id="60"/>
      <w:bookmarkEnd w:id="61"/>
      <w:bookmarkEnd w:id="62"/>
      <w:r w:rsidRPr="005459E6">
        <w:rPr>
          <w:rFonts w:ascii="Times New Roman" w:hAnsi="Times New Roman" w:cs="Times New Roman"/>
          <w:color w:val="auto"/>
          <w:sz w:val="22"/>
          <w:szCs w:val="22"/>
        </w:rPr>
        <w:t>ing</w:t>
      </w:r>
      <w:bookmarkEnd w:id="63"/>
      <w:bookmarkEnd w:id="64"/>
      <w:bookmarkEnd w:id="65"/>
    </w:p>
    <w:p w14:paraId="285D2742" w14:textId="7EC4B26D"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While introducing Nudge,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{"citationItems":[{"id":"ITEM-1","itemData":{"ISBN":"014311526X","author":[{"dropping-particle":"","family":"Thaler","given":"Richard H","non-dropping-particle":"","parse-names":false,"suffix":""},{"dropping-particle":"","family":"Sunstein","given":"Cass R","non-dropping-particle":"","parse-names":false,"suffix":""}],"id":"ITEM-1","issued":{"date-parts":[["2009"]]},"publisher":"Penguin","title":"Nudge: Improving decisions about health, wealth, and happiness","type":"book"},"uris":["http://www.mendeley.com/documents/?uuid=43dae2a0-0931-4f79-a5db-26607af9ef55"]}],"mendeley":{"formattedCitation":"(Thaler &amp; Sunstein, 2009)","manualFormatting":"Thaler &amp; Sunstein (2009)","plainTextFormattedCitation":"(Thaler &amp; Sunstein, 2009)","previouslyFormattedCitation":"(Thaler &amp; Sunstein, 2009)"},"properties":{"noteIndex":0},"schema":"https://github.com/citation-style-language/schema/raw/master/csl-citation.json"}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Thaler &amp; Sunstein (2009)</w:t>
      </w:r>
      <w:r w:rsidRPr="005459E6">
        <w:rPr>
          <w:rFonts w:ascii="Times New Roman" w:hAnsi="Times New Roman" w:cs="Times New Roman"/>
        </w:rPr>
        <w:fldChar w:fldCharType="end"/>
      </w:r>
      <w:r w:rsidRPr="005459E6">
        <w:rPr>
          <w:rFonts w:ascii="Times New Roman" w:hAnsi="Times New Roman" w:cs="Times New Roman"/>
        </w:rPr>
        <w:t xml:space="preserve"> suggested that an intervention toward the cognitive boundaries could systematically modify individual-level behaviors. When Nudge appears to be people's declared self-interests, such an intervention does not have to deal with the negativity of traditional enforcement. The behavioral sciences have developed the nudge approach to behavior change that challenges the traditional use of regulation in public health policies to address modifiable individual-level behaviors. Nudging interventions are characterized as </w:t>
      </w:r>
      <w:r w:rsidR="00DC33A0">
        <w:rPr>
          <w:rFonts w:ascii="Times New Roman" w:hAnsi="Times New Roman" w:cs="Times New Roman"/>
        </w:rPr>
        <w:t>‘</w:t>
      </w:r>
      <w:r w:rsidRPr="005459E6">
        <w:rPr>
          <w:rFonts w:ascii="Times New Roman" w:hAnsi="Times New Roman" w:cs="Times New Roman"/>
        </w:rPr>
        <w:t>a rearrangement of a decision context that softly encourages a specific choice</w:t>
      </w:r>
      <w:r w:rsidR="00DC33A0">
        <w:rPr>
          <w:rFonts w:ascii="Times New Roman" w:hAnsi="Times New Roman" w:cs="Times New Roman"/>
        </w:rPr>
        <w:t>’</w:t>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{"citationItems":[{"id":"ITEM-1","itemData":{"DOI":"10.1111/spc3.12297","ISSN":"17519004","abstract":"Nudging interventions are broadly defined as a rearrangement of a choice context that gently suggests a specific choice. Their increasing popularity has attracted attention and discussion from researchers, policy makers, and practitioners alike. After some applications to domains such as health, environmental issues, and retirement savings, the next step in nudging is to understand the psychological boundary conditions when applied to varied domains of daily life. It is yet unclear for example to what extent nudging interventions can be transparent without losing effectiveness, or how permanent the effects are. These unresolved questions may have contributed to heated political and scientific discussions, on for example the ethics of using nudges in the public health domain, due to the missing scientific evidence. Indeed, this popularity may have led to forget how nudging harnesses insights from decades of research in psychology to change people's behavior. The aim of this paper is to shift the focus back to the psychological premises nudges were built upon. It summarizes several outstanding questions that future research in the psychology of nudging should address. Advancing research in nudging will help to improve our understanding of applied nudging interventions and provide clarity to debates such as ethical appropriateness, effectiveness, and public approval.","author":[{"dropping-particle":"","family":"Marchiori","given":"David R.","non-dropping-particle":"","parse-names":false,"suffix":""},{"dropping-particle":"","family":"Adriaanse","given":"Marieke A.","non-dropping-particle":"","parse-names":false,"suffix":""},{"dropping-particle":"","family":"Ridder","given":"Denise T.D.","non-dropping-particle":"De","parse-names":false,"suffix":""}],"container-title":"Social and Personality Psychology Compass","id":"ITEM-1","issue":"1","issued":{"date-parts":[["2017"]]},"page":"1-13","title":"Unresolved questions in nudging research: Putting the psychology back in nudging","type":"article-journal","volume":"11"},"uris":["http://www.mendeley.com/documents/?uuid=d981be98-5b5a-4753-9c15-007ad61f81f5"]}],"mendeley":{"formattedCitation":"(Marchiori et al., 2017)","plainTextFormattedCitation":"(Marchiori et al., 2017)","previouslyFormattedCitation":"(Marchiori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(Marchiori et al., 2017)</w:t>
      </w:r>
      <w:r w:rsidRPr="005459E6">
        <w:rPr>
          <w:rFonts w:ascii="Times New Roman" w:hAnsi="Times New Roman" w:cs="Times New Roman"/>
        </w:rPr>
        <w:fldChar w:fldCharType="end"/>
      </w:r>
      <w:r w:rsidRPr="005459E6">
        <w:rPr>
          <w:rFonts w:ascii="Times New Roman" w:hAnsi="Times New Roman" w:cs="Times New Roman"/>
        </w:rPr>
        <w:t xml:space="preserve">, as well as </w:t>
      </w:r>
      <w:r w:rsidR="00F42435" w:rsidRPr="005459E6">
        <w:rPr>
          <w:rFonts w:ascii="Times New Roman" w:hAnsi="Times New Roman" w:cs="Times New Roman"/>
        </w:rPr>
        <w:t>‘</w:t>
      </w:r>
      <w:r w:rsidRPr="005459E6">
        <w:rPr>
          <w:rFonts w:ascii="Times New Roman" w:hAnsi="Times New Roman" w:cs="Times New Roman"/>
        </w:rPr>
        <w:t xml:space="preserve">physical modifications in the choice architecture that </w:t>
      </w:r>
      <w:r w:rsidR="00F42435" w:rsidRPr="005459E6">
        <w:rPr>
          <w:rFonts w:ascii="Times New Roman" w:hAnsi="Times New Roman" w:cs="Times New Roman"/>
        </w:rPr>
        <w:t>predictably influence people's choices</w:t>
      </w:r>
      <w:r w:rsidRPr="005459E6">
        <w:rPr>
          <w:rFonts w:ascii="Times New Roman" w:hAnsi="Times New Roman" w:cs="Times New Roman"/>
        </w:rPr>
        <w:t>.</w:t>
      </w:r>
      <w:r w:rsidR="00F42435" w:rsidRPr="005459E6">
        <w:rPr>
          <w:rFonts w:ascii="Times New Roman" w:hAnsi="Times New Roman" w:cs="Times New Roman"/>
        </w:rPr>
        <w:t>’</w:t>
      </w:r>
      <w:r w:rsidRPr="005459E6">
        <w:rPr>
          <w:rFonts w:ascii="Times New Roman" w:hAnsi="Times New Roman" w:cs="Times New Roman"/>
        </w:rPr>
        <w:t xml:space="preserve"> </w:t>
      </w:r>
    </w:p>
    <w:p w14:paraId="2C51B762" w14:textId="14C50238" w:rsidR="00895B54"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Policymakers have investigated ways to employ nudges to take advantage of people's systematic cognitive biases inspired by behavioral economics. Such interventions play into cognitive biases by altering the choice architecture for humans - that is, changing how options are presented to individuals - so that people's cognitive biases drive them to act in their own best interests, the best interests of societies, or both. People who are automatically registered as organ donors with the option to opt</w:t>
      </w:r>
      <w:r w:rsidR="00F42435" w:rsidRPr="005459E6">
        <w:rPr>
          <w:rFonts w:ascii="Times New Roman" w:hAnsi="Times New Roman" w:cs="Times New Roman"/>
        </w:rPr>
        <w:t>-</w:t>
      </w:r>
      <w:r w:rsidRPr="005459E6">
        <w:rPr>
          <w:rFonts w:ascii="Times New Roman" w:hAnsi="Times New Roman" w:cs="Times New Roman"/>
        </w:rPr>
        <w:t xml:space="preserve">out are an example of a popular nudge that exploits the status quo bias. This results in a far greater giving rate than a system in which donors must actively choose to participate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{"citationItems":[{"id":"ITEM-1","itemData":{"DOI":"10.2105/AJPH.2015.302820","ISSN":"15410048","PMID":"26378823","abstract":"Major depressive disorder-colloquially called \"depression\"-is a primary global cause of disability. Current preventive interventions, such as problem-solving therapy, are effective but also expensive. \"Nudges\" are easy and cheap interventions for altering behavior. We have explored how nudging can reduce three behavioral risk factors of depression: low levels of physical activity, inappropriate coping mechanisms, and inadequate maintenance of social ties. These nudges use cognitive biases associated with these behavioral risks, such as valuing the present more than the future, following the herd or the norm, making different choices in light of equivalent conditions, and deciding on the basis of salience or attachment to status quo.","author":[{"dropping-particle":"","family":"Woodend","given":"Ashleigh","non-dropping-particle":"","parse-names":false,"suffix":""},{"dropping-particle":"","family":"Schölmerich","given":"Vera","non-dropping-particle":"","parse-names":false,"suffix":""},{"dropping-particle":"","family":"Denktas","given":"Semiha","non-dropping-particle":"","parse-names":false,"suffix":""}],"container-title":"American Journal of Public Health","id":"ITEM-1","issue":"11","issued":{"date-parts":[["2015"]]},"page":"2318-2321","title":"\"Nudges\" to prevent behavioral risk factors associated with major depressive disorder","type":"article-journal","volume":"105"},"uris":["http://www.mendeley.com/documents/?uuid=b378c260-f116-4d02-9a17-98bbb7b23af6"]}],"mendeley":{"formattedCitation":"(Woodend et al., 2015)","plainTextFormattedCitation":"(Woodend et al., 2015)","previouslyFormattedCitation":"(Woodend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(Woodend et al., 2015)</w:t>
      </w:r>
      <w:r w:rsidRPr="005459E6">
        <w:rPr>
          <w:rFonts w:ascii="Times New Roman" w:hAnsi="Times New Roman" w:cs="Times New Roman"/>
        </w:rPr>
        <w:fldChar w:fldCharType="end"/>
      </w:r>
      <w:r w:rsidRPr="005459E6">
        <w:rPr>
          <w:rFonts w:ascii="Times New Roman" w:hAnsi="Times New Roman" w:cs="Times New Roman"/>
        </w:rPr>
        <w:t>.</w:t>
      </w:r>
      <w:r w:rsidR="00021350" w:rsidRPr="005459E6">
        <w:rPr>
          <w:rFonts w:ascii="Times New Roman" w:hAnsi="Times New Roman" w:cs="Times New Roman"/>
        </w:rPr>
        <w:t xml:space="preserve">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{"citationItems":[{"id":"ITEM-1","itemData":{"DOI":"10.1111/spc3.12019","ISSN":"17519004","abstract":"We review selected literature that examines how biases in decision making can be utilized to encourage individual health behavior, such as vaccination, and promote policy decisions, such as resource allocation. These studies use simple interventions to nudge people towards more optimal health decisions without restricting decision-makers' freedom of choice. Examples include framing effects, defaults, implementation intentions, position effects, social norm, incentives, and emotions. We suggest that nudges are an effective way to promote healthy behavior. © 2012 Blackwell Publishing Ltd.","author":[{"dropping-particle":"","family":"Li","given":"Meng","non-dropping-particle":"","parse-names":false,"suffix":""},{"dropping-particle":"","family":"Chapman","given":"Gretchen B.","non-dropping-particle":"","parse-names":false,"suffix":""}],"container-title":"Social and Personality Psychology Compass","id":"ITEM-1","issue":"3","issued":{"date-parts":[["2013"]]},"page":"187-198","title":"Nudge to Health: Harnessing Decision Research to Promote Health Behavior","type":"article-journal","volume":"7"},"uris":["http://www.mendeley.com/documents/?uuid=17b3ef4a-88ce-47a1-b0b5-36f39984951c"]}],"mendeley":{"formattedCitation":"(M. Li &amp; Chapman, 2013)","manualFormatting":"Li &amp; Chapman (2013)","plainTextFormattedCitation":"(M. Li &amp; Chapman, 2013)","previouslyFormattedCitation":"(M. Li &amp; Chapman,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Li &amp; Chapman (2013)</w:t>
      </w:r>
      <w:r w:rsidRPr="005459E6">
        <w:rPr>
          <w:rFonts w:ascii="Times New Roman" w:hAnsi="Times New Roman" w:cs="Times New Roman"/>
        </w:rPr>
        <w:fldChar w:fldCharType="end"/>
      </w:r>
      <w:r w:rsidRPr="005459E6">
        <w:rPr>
          <w:rFonts w:ascii="Times New Roman" w:hAnsi="Times New Roman" w:cs="Times New Roman"/>
        </w:rPr>
        <w:t xml:space="preserve"> investigate how decision-making biases can be exploited to promote individual health behavior and how simple interventions can be used to nudge people toward optimal health decisions without limiting decision-makers freedom of choice. Further,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{"citationItems":[{"id":"ITEM-1","itemData":{"DOI":"10.1017/pds.2021.426","ISSN":"2732527X","abstract":"In the last decades, mental health disorders have been a growing source of the global burden of disease. Thousands of mental health apps are available nowadays addressing this problem, but studies show that the effectiveness of these apps is jeopardized by the low user engagement. This study investigates the most potentially effective gamification and nudging techniques in design for improving engagement in mental health apps for young people, by carrying out app-reviews for top installed mental health apps on Google play store and connecting it with engagement data, in addition to conducting expert-interviews with professionals from gamification and design background. From the findings, techniques that participated in improving retention rates included using app character for creating app narrative and user interaction, in addition to adopting a non-forcible language. While to improve app daily duration of use, simplification nudge, and stating the recommended minutes of use found to be useful. Personalization and social interaction techniques were potentially effective for improving the frequency of app daily use. For the young age group, using juicy feedback and high-quality gamification were recommended","author":[{"dropping-particle":"","family":"Auf","given":"Hassan","non-dropping-particle":"","parse-names":false,"suffix":""},{"dropping-particle":"","family":"Dagman","given":"Jessica","non-dropping-particle":"","parse-names":false,"suffix":""},{"dropping-particle":"","family":"Renström","given":"Sara","non-dropping-particle":"","parse-names":false,"suffix":""},{"dropping-particle":"","family":"Chaplin","given":"John","non-dropping-particle":"","parse-names":false,"suffix":""}],"container-title":"Proceedings of the Design Society","id":"ITEM-1","issue":"AUGUST","issued":{"date-parts":[["2021"]]},"page":"1647-1656","title":"Gamification and Nudging Techniques for Improving User Engagement in Mental Health and Well-Being Apps","type":"article-journal","volume":"1"},"uris":["http://www.mendeley.com/documents/?uuid=a4104b21-e8f0-472e-8f62-f861547b0e93"]}],"mendeley":{"formattedCitation":"(Auf et al., 2021)","manualFormatting":"Auf et al. (2021)","plainTextFormattedCitation":"(Auf et al., 2021)","previouslyFormattedCitation":"(Auf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Auf et al. (2021)</w:t>
      </w:r>
      <w:r w:rsidRPr="005459E6">
        <w:rPr>
          <w:rFonts w:ascii="Times New Roman" w:hAnsi="Times New Roman" w:cs="Times New Roman"/>
        </w:rPr>
        <w:fldChar w:fldCharType="end"/>
      </w:r>
      <w:r w:rsidRPr="005459E6">
        <w:rPr>
          <w:rFonts w:ascii="Times New Roman" w:hAnsi="Times New Roman" w:cs="Times New Roman"/>
        </w:rPr>
        <w:t xml:space="preserve"> have also used nudging techniques for improving User Engagement in Mental Health and Individual Well-Being using technologies.</w:t>
      </w:r>
    </w:p>
    <w:p w14:paraId="7C386993"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66" w:name="_Toc104746486"/>
      <w:bookmarkStart w:id="67" w:name="_Toc104827767"/>
      <w:bookmarkStart w:id="68" w:name="_Toc107248277"/>
      <w:r w:rsidRPr="005459E6">
        <w:rPr>
          <w:rFonts w:ascii="Times New Roman" w:hAnsi="Times New Roman" w:cs="Times New Roman"/>
          <w:color w:val="auto"/>
          <w:sz w:val="22"/>
          <w:szCs w:val="22"/>
        </w:rPr>
        <w:lastRenderedPageBreak/>
        <w:t>Impact of Self-Quantification</w:t>
      </w:r>
      <w:bookmarkEnd w:id="66"/>
      <w:bookmarkEnd w:id="67"/>
      <w:bookmarkEnd w:id="68"/>
    </w:p>
    <w:p w14:paraId="1B372FFB"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 systematic review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{"citationItems":[{"id":"ITEM-1","itemData":{"DOI":"10.2196/25171","ISSN":"14388871","abstract":"Background: Self-tracking technologies are widely used in people's daily lives and health care. Academic research on self-tracking and the quantified self has also accumulated rapidly in recent years. Surprisingly, there is a paucity of research that reviews, classifies, and synthesizes the state of the art with respect to self-tracking and the quantified self. Objective: Our objective was to identify the state of the art of self-tracking and the quantified self in terms of health and well-being. Methods: We have undertaken a systematic literature review on self-tracking and the quantified self in promoting health and well-being. After a rigorous literature search, followed by inclusions, exclusions, and the application of article quality assessment protocols, 67 empirical studies qualified for the review. Results: Our results demonstrate that prior research has focused on 3 stakeholders with respect to self-tracking and the quantified self, namely end users, patients and people with illnesses, and health care professionals and caregivers. We used these stakeholder groups to cluster the research themes of the reviewed studies. We identified 11 research themes. There are 6 themes under the end-user cluster: User motivation and goal setting, usage and effects of self-tracking, continuance intention and long-term usage, management of personal data, rejection and discontinuance, and user characteristics. The patient and people with illnesses cluster contains three themes: Usage experience of patients and people with illnesses, management of patient-generated data, and advantages and disadvantages in the clinical context. The health care professional and caregiver cluster contains two themes: Collaboration among patients, health care professionals, and caregivers, and changes in the roles of patients and professionals. Moreover, we classified the future research suggestions given in the literature into 5 directions in terms of research designs and research topics. Finally, based on our reflections on the observations from the review, we suggest four future research directions: (1) users' cognitions and emotions related to processing and interpreting the information produced by tracking devices and apps; (2) the dark side of self-tracking (eg, its adverse psychosocial consequences); (3) self-tracking as a societal phenomenon; and (4) systemic impacts of self-tracking on health care and the actors involved. Conclusions: This systematic literature review contri…","author":[{"dropping-particle":"","family":"Feng","given":"Shan","non-dropping-particle":"","parse-names":false,"suffix":""},{"dropping-particle":"","family":"Mäntymäki","given":"Matti","non-dropping-particle":"","parse-names":false,"suffix":""},{"dropping-particle":"","family":"Dhir","given":"Amandeep","non-dropping-particle":"","parse-names":false,"suffix":""},{"dropping-particle":"","family":"Salmela","given":"Hannu","non-dropping-particle":"","parse-names":false,"suffix":""}],"container-title":"Journal of Medical Internet Research","id":"ITEM-1","issue":"9","issued":{"date-parts":[["2021"]]},"page":"1-21","title":"How self-tracking and the quantified self promote health and well-being: Systematic review","type":"article-journal","volume":"23"},"uris":["http://www.mendeley.com/documents/?uuid=a38f5e8e-7285-4bbe-bfd4-7ac401bf3e6e"]}],"mendeley":{"formattedCitation":"(Feng et al., 2021)","manualFormatting":"Feng et al. (2021)","plainTextFormattedCitation":"(Feng et al., 2021)","previouslyFormattedCitation":"(Feng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Feng et al. (2021)</w:t>
      </w:r>
      <w:r w:rsidRPr="005459E6">
        <w:rPr>
          <w:rFonts w:ascii="Times New Roman" w:hAnsi="Times New Roman" w:cs="Times New Roman"/>
        </w:rPr>
        <w:fldChar w:fldCharType="end"/>
      </w:r>
      <w:r w:rsidRPr="005459E6">
        <w:rPr>
          <w:rFonts w:ascii="Times New Roman" w:hAnsi="Times New Roman" w:cs="Times New Roman"/>
        </w:rPr>
        <w:t xml:space="preserve"> of the self-tracking process suggested that in many use cases, the individual reaps the potential benefits of the self-tracking through a sustained engagement in the process and use of these technologies. This finding indicates that, in comparison with event-driven tracking, routine tracking might better support patients’ self-efficacy and better assist them to improve their self-management skills. Both self-efficacy and self-management skills are associated with improved health outcomes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{"citationItems":[{"id":"ITEM-1","itemData":{"ISSN":"0005-7967","author":[{"dropping-particle":"","family":"O'Leary","given":"Ann","non-dropping-particle":"","parse-names":false,"suffix":""}],"container-title":"Behaviour research and therapy","id":"ITEM-1","issue":"4","issued":{"date-parts":[["1985"]]},"page":"437-451","publisher":"Elsevier","title":"Self-efficacy and health","type":"article-journal","volume":"23"},"uris":["http://www.mendeley.com/documents/?uuid=2a38b4c9-06bc-4e54-8282-9a8561f12564"]},{"id":"ITEM-2","itemData":{"ISSN":"1099-8128","author":[{"dropping-particle":"","family":"Lorig","given":"Kate R","non-dropping-particle":"","parse-names":false,"suffix":""},{"dropping-particle":"","family":"Sobel","given":"David S","non-dropping-particle":"","parse-names":false,"suffix":""},{"dropping-particle":"","family":"Ritter","given":"Philip L","non-dropping-particle":"","parse-names":false,"suffix":""},{"dropping-particle":"","family":"Laurent","given":"Diana","non-dropping-particle":"","parse-names":false,"suffix":""},{"dropping-particle":"","family":"Hobbs","given":"Mary","non-dropping-particle":"","parse-names":false,"suffix":""}],"container-title":"Effective clinical practice: ECP","id":"ITEM-2","issue":"6","issued":{"date-parts":[["2001"]]},"page":"256-262","title":"Effect of a self-management program on patients with chronic disease.","type":"article-journal","volume":"4"},"uris":["http://www.mendeley.com/documents/?uuid=f16232ba-862d-405f-9465-5e224ac4aa1a"]}],"mendeley":{"formattedCitation":"(Lorig et al., 2001; O’Leary, 1985)","plainTextFormattedCitation":"(Lorig et al., 2001; O’Leary, 1985)","previouslyFormattedCitation":"(Lorig et al., 2001; O’Leary, 1985)"},"properties":{"noteIndex":0},"schema":"https://github.com/citation-style-language/schema/raw/master/csl-citation.json"}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(Lorig et al., 2001; O’Leary, 1985)</w:t>
      </w:r>
      <w:r w:rsidRPr="005459E6">
        <w:rPr>
          <w:rFonts w:ascii="Times New Roman" w:hAnsi="Times New Roman" w:cs="Times New Roman"/>
        </w:rPr>
        <w:fldChar w:fldCharType="end"/>
      </w:r>
      <w:r w:rsidRPr="005459E6">
        <w:rPr>
          <w:rFonts w:ascii="Times New Roman" w:hAnsi="Times New Roman" w:cs="Times New Roman"/>
        </w:rPr>
        <w:t xml:space="preserv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{"citationItems":[{"id":"ITEM-1","itemData":{"ISSN":"1942597X","PMID":"29854136","abstract":"Despite a growing interest in self-tracking of one's health, what factors lead to self-tracking routinely (i.e., collecting data at regular intervals), and the effects of this behavior, remain largely understudied. Using data from the Pew Survey on Tracking for Health, we examined the patterns of self-tracking activity to understand reasons for this behavior and its impact on health management practices. We tested multiple logistic regression models to assess the influence of different predicting variables, and to find whether routine self-tracking leads to positive change to one's approaches to health management. Our results suggest that recent visits to emergency care and the type(s) of tracking tools used are significant predictors of routine self-tracking activities. Further, the results suggest that routine self-tracking, as opposed to occasional, event-triggered tracking, is more likely to result in positive changes to health management approaches. Our findings also highlight barriers to and opportunities for designing useful and usable tools to facilitate self-tracking and empower patients to become more proactive in managing their own health.","author":[{"dropping-particle":"","family":"Figueiredo","given":"Mayara","non-dropping-particle":"","parse-names":false,"suffix":""},{"dropping-particle":"","family":"Caldeira","given":"Clara","non-dropping-particle":"","parse-names":false,"suffix":""},{"dropping-particle":"","family":"Chen","given":"Yunan","non-dropping-particle":"","parse-names":false,"suffix":""},{"dropping-particle":"","family":"Zheng","given":"Kai","non-dropping-particle":"","parse-names":false,"suffix":""}],"container-title":"AMIA ... Annual Symposium proceedings. AMIA Symposium","id":"ITEM-1","issued":{"date-parts":[["2017"]]},"page":"706-714","title":"Routine self-tracking of health: reasons, facilitating factors, and the potential impact on health management practices","type":"article-journal","volume":"2017"},"uris":["http://www.mendeley.com/documents/?uuid=4fca9baa-dbff-4514-b520-ffa3e21d3bc7"]}],"mendeley":{"formattedCitation":"(Figueiredo et al., 2017)","manualFormatting":"Figueiredo et al. (2017)","plainTextFormattedCitation":"(Figueiredo et al., 2017)","previouslyFormattedCitation":"(Figueiredo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Figueiredo et al. (2017)</w:t>
      </w:r>
      <w:r w:rsidRPr="005459E6">
        <w:rPr>
          <w:rFonts w:ascii="Times New Roman" w:hAnsi="Times New Roman" w:cs="Times New Roman"/>
        </w:rPr>
        <w:fldChar w:fldCharType="end"/>
      </w:r>
      <w:r w:rsidRPr="005459E6">
        <w:rPr>
          <w:rFonts w:ascii="Times New Roman" w:hAnsi="Times New Roman" w:cs="Times New Roman"/>
        </w:rPr>
        <w:t xml:space="preserve">, routine self-tracking, as opposed to occasional, event-triggered tracking, is more likely to result in positive changes to health management approaches.  </w:t>
      </w:r>
    </w:p>
    <w:p w14:paraId="2F38622A" w14:textId="49452774"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{"citationItems":[{"id":"ITEM-1","itemData":{"DOI":"10.1371/journal.pone.0201166","ISBN":"1111111111","ISSN":"19326203","PMID":"30048546","abstract":"Despite the growing adoption of the mobile health (mHealth) applications (apps), few studies address concerns with low retention rates. This study aimed to investigate how the usage patterns of mHealth app functions affect user retention. We collected individual usage logs for 1,439 users of single tethered personal health record app, which spanned an 18-months period from August 2011 to January 2013. The user logs contained timestamps whenever an individual uses each function, which enables us to identify the usage patterns based on the intensity of using a particular function in the app. We then estimated how these patterns were related to 1) the app usage over time (using the random effect model) and 2) the probability of stopping the use of the application (using the Cox proportional hazard model). The analyses suggested that the users utilize the app most at the time of the adoption and gradually reduce their usage over time. The average duration of use after starting the app was 25.62 weeks (SD: 18.41). The degree of the usage reduction, however, decreases as the self-monitoring function is more frequently used (coefficient = 0.002, P = 0.013); none of the other functions has this effect. Moreover, engaging with the self-monitoring function frequently (coefficient = −0.18, P = 0.003) and regularly (coefficient = 0.10, P = 0.001) significantly also reduces the probability of abandoning the application. Specifically, the estimated survival rate indicates that, after 40 weeks since the adoption, the probability of the regular users of self-monitoring to stay in use was about 80% while that of non-user was about 60%. This study provides the empirical evidence that sustained use of mHealth app is closely linked to the regular usage on self-monitoring function. The implications can be extended to the education of users and physicians to produce better outcomes as well as application development for effective user interfaces.","author":[{"dropping-particle":"","family":"Lee","given":"Kyunghee","non-dropping-particle":"","parse-names":false,"suffix":""},{"dropping-particle":"","family":"Kwon","given":"Hyeyon","non-dropping-particle":"","parse-names":false,"suffix":""},{"dropping-particle":"","family":"Lee","given":"Byungtae","non-dropping-particle":"","parse-names":false,"suffix":""},{"dropping-particle":"","family":"Lee","given":"Guna","non-dropping-particle":"","parse-names":false,"suffix":""},{"dropping-particle":"","family":"Lee","given":"Jae Ho","non-dropping-particle":"","parse-names":false,"suffix":""},{"dropping-particle":"","family":"Park","given":"Yu Rang","non-dropping-particle":"","parse-names":false,"suffix":""},{"dropping-particle":"","family":"Shin","given":"Soo Yong","non-dropping-particle":"","parse-names":false,"suffix":""}],"container-title":"PLoS ONE","id":"ITEM-1","issue":"7","issued":{"date-parts":[["2018"]]},"page":"1-12","title":"Effect of self-monitoring on long-term patient engagement with mobile health applications","type":"article-journal","volume":"13"},"uris":["http://www.mendeley.com/documents/?uuid=723f4081-0d7a-491f-9a71-07f4d62efb37"]}],"mendeley":{"formattedCitation":"(K. Lee et al., 2018)","manualFormatting":"Lee et al. (2018)","plainTextFormattedCitation":"(K. Lee et al., 2018)","previouslyFormattedCitation":"(K. Lee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Lee et al. (2018)</w:t>
      </w:r>
      <w:r w:rsidRPr="005459E6">
        <w:rPr>
          <w:rFonts w:ascii="Times New Roman" w:hAnsi="Times New Roman" w:cs="Times New Roman"/>
        </w:rPr>
        <w:fldChar w:fldCharType="end"/>
      </w:r>
      <w:r w:rsidRPr="005459E6">
        <w:rPr>
          <w:rFonts w:ascii="Times New Roman" w:hAnsi="Times New Roman" w:cs="Times New Roman"/>
        </w:rPr>
        <w:t xml:space="preserve"> give a theoretical underpinning and empirical evidence of how people get committed to the self-monitoring mechanism, in which they are driven to track, record, and update their health information to be accurately informed about the repercussions of their actions. It could also contribute to better clinical outcomes and healthier habits. As a result, the prospective benefits push them to use the technology for extended periods. Datafication, digitization, and automation of processes in healthcare are realizing a dynamic state of data for analysis. While such available data can be used to analyze a variety of healthcare issues, there is little discussion about how such data empowers individuals and their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{"citationItems":[{"id":"ITEM-1","itemData":{"DOI":"10.1016/j.jbusres.2020.10.030","ISSN":"01482963","abstract":"Digital transformation in healthcare is of increasing relevance for both scholars and practitioners in the field. Our article attempts to assess the research question how multiple stakeholders implement digital technologies for management and business purposes. To answer this question, we perform a systematic literature review about the state of the art of digital transformation in healthcare. Our findings show that prior research falls into five clusters: operational efficiency by healthcare providers; patient-centered approaches; organizational factors and managerial implications; workforce practices; and socio-economic aspects. These clusters are linked together into a model showing how these various forms of technology implementation lead to operational efficiencies for services providers. Various directions for future research and management implications are offered.","author":[{"dropping-particle":"","family":"Kraus","given":"Sascha","non-dropping-particle":"","parse-names":false,"suffix":""},{"dropping-particle":"","family":"Schiavone","given":"Francesco","non-dropping-particle":"","parse-names":false,"suffix":""},{"dropping-particle":"","family":"Pluzhnikova","given":"Anna","non-dropping-particle":"","parse-names":false,"suffix":""},{"dropping-particle":"","family":"Invernizzi","given":"Anna Chiara","non-dropping-particle":"","parse-names":false,"suffix":""}],"container-title":"Journal of Business Research","id":"ITEM-1","issued":{"date-parts":[["2021"]]},"page":"557-567","publisher":"Elsevier Inc.","title":"Digital transformation in healthcare: Analyzing the current state-of-research","type":"article-journal","volume":"123"},"uris":["http://www.mendeley.com/documents/?uuid=bcaa951c-f7e1-41fb-8479-2c865c3866ed"]}],"mendeley":{"formattedCitation":"(Kraus et al., 2021)","manualFormatting":"(Kraus et al., 2021)","plainTextFormattedCitation":"(Kraus et al., 2021)","previouslyFormattedCitation":"(Kraus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(Kraus et al., 2021)</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{"citationItems":[{"id":"ITEM-1","itemData":{"DOI":"10.1080/01442872.2020.1723517","ISSN":"14701006","abstract":"The processes of datafication, digitization and automation of healthcare and medicine are making new types and data available for analysis, and at greater volume. While the newly available data is often hailed as a solution to various problems in healthcare, there is only little discussion about who the use of such data empowers and who bears the costs. The use of healthcare data for “nudging”–e.g. to get patients to adopt healthier lifestyles–is a case in point: While such interventions are presumed to be cheap and effective, I argue that their value is a priori unclear. Both because of its assumed value-freeness, and because of its focus on individual behaviour, nudging draws attention away from the societal, political and economic factors that shape human practice. I conclude with a call upon policy makers to facilitate the use of healthcare data to build better institutions and to address social determinants of health before they seek to “fix” individual behaviour through nudging.","author":[{"dropping-particle":"","family":"Prainsack","given":"Barbara","non-dropping-particle":"","parse-names":false,"suffix":""}],"container-title":"Policy Studies","id":"ITEM-1","issue":"5","issued":{"date-parts":[["2020"]]},"page":"547-562","publisher":"Taylor &amp; Francis","title":"The value of healthcare data: to nudge, or not?","type":"article-journal","volume":"41"},"uris":["http://www.mendeley.com/documents/?uuid=1b2a8b08-1359-45da-92a3-25411eff7603"]}],"mendeley":{"formattedCitation":"(Prainsack, 2020)","manualFormatting":"Prainsack (2020)","plainTextFormattedCitation":"(Prainsack, 2020)","previouslyFormattedCitation":"(Prainsack,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Prainsack (2020)</w:t>
      </w:r>
      <w:r w:rsidRPr="005459E6">
        <w:rPr>
          <w:rFonts w:ascii="Times New Roman" w:hAnsi="Times New Roman" w:cs="Times New Roman"/>
        </w:rPr>
        <w:fldChar w:fldCharType="end"/>
      </w:r>
      <w:r w:rsidRPr="005459E6">
        <w:rPr>
          <w:rFonts w:ascii="Times New Roman" w:hAnsi="Times New Roman" w:cs="Times New Roman"/>
        </w:rPr>
        <w:t xml:space="preserve"> believes that such healthcare data can be used for "nudging" to persuade patients to adopt healthier lifestyles, whereas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{"citationItems":[{"id":"ITEM-1","itemData":{"DOI":"10.1111/puar.12564","ISSN":"15406210","abstract":"Many of the most significant challenges in health care—such as smoking, overeating, and poor adherence to evidence-based guidelines—will only be resolved if we can influence behavior. The traditional policy tools used when thinking about influencing behavior include legislation, regulation, and information provision. Recently, policy analysts have shown interest in policies that “nudge” people in particular directions, drawing on advances in understanding that behavior is strongly influenced in largely automatic ways by the context within which it is placed. This article considers the theoretical basis for why nudges might work and reviews the evidence in health behavior change. The evidence is structured according to the Mindspace framework for behavior change. The conclusion is that insights from behavioral economics offer powerful policy tools for influencing behavior in health care. This article provides public administration practitioners with an accessible summary of this literature, putting these insights into practical use.","author":[{"dropping-particle":"","family":"Vlaev","given":"Ivo","non-dropping-particle":"","parse-names":false,"suffix":""},{"dropping-particle":"","family":"King","given":"Dominic","non-dropping-particle":"","parse-names":false,"suffix":""},{"dropping-particle":"","family":"Dolan","given":"Paul","non-dropping-particle":"","parse-names":false,"suffix":""},{"dropping-particle":"","family":"Darzi","given":"Ara","non-dropping-particle":"","parse-names":false,"suffix":""}],"container-title":"Public Administration Review","id":"ITEM-1","issue":"4","issued":{"date-parts":[["2016"]]},"page":"550-561","title":"The Theory and Practice of “Nudging”: Changing Health Behaviors","type":"article-journal","volume":"76"},"uris":["http://www.mendeley.com/documents/?uuid=6e245404-4e05-4ba7-82dd-5fd4d2b049b9"]}],"mendeley":{"formattedCitation":"(Vlaev et al., 2016)","manualFormatting":"Vlaev et al. (2016)","plainTextFormattedCitation":"(Vlaev et al., 2016)","previouslyFormattedCitation":"(Vlaev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Vlaev et al. (2016)</w:t>
      </w:r>
      <w:r w:rsidRPr="005459E6">
        <w:rPr>
          <w:rFonts w:ascii="Times New Roman" w:hAnsi="Times New Roman" w:cs="Times New Roman"/>
        </w:rPr>
        <w:fldChar w:fldCharType="end"/>
      </w:r>
      <w:r w:rsidRPr="005459E6">
        <w:rPr>
          <w:rFonts w:ascii="Times New Roman" w:hAnsi="Times New Roman" w:cs="Times New Roman"/>
        </w:rPr>
        <w:t xml:space="preserve"> reconfirm its possibility based on cognitive neuroscience. As experimented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{"citationItems":[{"id":"ITEM-1","itemData":{"DOI":"https://doi.org/10.1002/cne.920180503","ISSN":"0092-7015","author":[{"dropping-particle":"","family":"Yerkes","given":"Robert M","non-dropping-particle":"","parse-names":false,"suffix":""},{"dropping-particle":"","family":"Dodson","given":"John D","non-dropping-particle":"","parse-names":false,"suffix":""}],"container-title":"Journal of Comparative Neurology and Psychology","id":"ITEM-1","issue":"5","issued":{"date-parts":[["1908","11","1"]]},"note":"https://doi.org/10.1002/cne.920180503","page":"459-482","publisher":"John Wiley &amp; Sons, Ltd","title":"The relation of strength of stimulus to rapidity of habit-formation","type":"article-journal","volume":"18"},"uris":["http://www.mendeley.com/documents/?uuid=a25f20cd-4579-4203-ba03-a6247f927e00"]}],"mendeley":{"formattedCitation":"(Yerkes &amp; Dodson, 1908)","manualFormatting":"Yerkes &amp; Dodson (1908)","plainTextFormattedCitation":"(Yerkes &amp; Dodson, 1908)","previouslyFormattedCitation":"(Yerkes &amp; Dodson, 1908)"},"properties":{"noteIndex":0},"schema":"https://github.com/citation-style-language/schema/raw/master/csl-citation.json"}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Yerkes &amp; Dodson (1908)</w:t>
      </w:r>
      <w:r w:rsidRPr="005459E6">
        <w:rPr>
          <w:rFonts w:ascii="Times New Roman" w:hAnsi="Times New Roman" w:cs="Times New Roman"/>
        </w:rPr>
        <w:fldChar w:fldCharType="end"/>
      </w:r>
      <w:r w:rsidRPr="005459E6">
        <w:rPr>
          <w:rFonts w:ascii="Times New Roman" w:hAnsi="Times New Roman" w:cs="Times New Roman"/>
        </w:rPr>
        <w:t xml:space="preserve">, this also aligns with the relation of strength of stimulus for habit formations. Studies have demonstrated that the feedback received prompts to improve chronic disease self-management most consistently and are among the least controversial types of nudges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{"citationItems":[{"id":"ITEM-1","itemData":{"DOI":"10.1016/j.healthpol.2019.09.008","ISSN":"18726054","PMID":"31676042","abstract":"In this systematic literature review, we identify evidence on the effectiveness of nudges in improving the self-management of adults with chronic diseases and derive policy recommendations. We included empirical studies of any design published up to April 12th, 2018. We synthesized the results of the studies narratively by comparing statistical significance and direction of different nudge types’ effects on primary study outcomes. Lastly, we categorized the nudges according to their degree of manipulation and transparency. We identified 26 studies, where 13 were of high or moderate quality. The most commonly tested nudges were reminders, planning prompts, small financial incentives, and feedback. Overall, 8 of 9 studies with a high or moderate quality ranking, focused on self-management outcomes, i.e., physical activity, attendance, self-monitoring, and medication adherence, found that nudges had significant positive effects. However, only 1 of 4 studies of high or moderate quality, analyzing disease control outcomes (e.g., glycemic control), found that nudges had a significant positive effect for one intervention arm. In summary, this review demonstrates that nudges can improve chronic disease self-management, but there is hardly any evidence to date that these interventions lead to improved disease control. Reminders, feedback, and planning prompts appear to improve chronic disease self-management most consistently and are among the least controversial types of nudges. Accordingly, they can generally be recommended to policymakers.","author":[{"dropping-particle":"","family":"Möllenkamp","given":"Meilin","non-dropping-particle":"","parse-names":false,"suffix":""},{"dropping-particle":"","family":"Zeppernick","given":"Maike","non-dropping-particle":"","parse-names":false,"suffix":""},{"dropping-particle":"","family":"Schreyögg","given":"Jonas","non-dropping-particle":"","parse-names":false,"suffix":""}],"container-title":"Health Policy","id":"ITEM-1","issue":"12","issued":{"date-parts":[["2019"]]},"page":"1199-1209","publisher":"Elsevier Ireland Ltd","title":"The effectiveness of nudges in improving the self-management of patients with chronic diseases: A systematic literature review","type":"article-journal","volume":"123"},"uris":["http://www.mendeley.com/documents/?uuid=ae38d0c9-1f83-48be-ae91-355fdfdced11"]}],"mendeley":{"formattedCitation":"(Möllenkamp et al., 2019)","plainTextFormattedCitation":"(Möllenkamp et al., 2019)","previouslyFormattedCitation":"(Möllenkamp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(Möllenkamp et al., 2019)</w:t>
      </w:r>
      <w:r w:rsidRPr="005459E6">
        <w:rPr>
          <w:rFonts w:ascii="Times New Roman" w:hAnsi="Times New Roman" w:cs="Times New Roman"/>
        </w:rPr>
        <w:fldChar w:fldCharType="end"/>
      </w:r>
      <w:r w:rsidRPr="005459E6">
        <w:rPr>
          <w:rFonts w:ascii="Times New Roman" w:hAnsi="Times New Roman" w:cs="Times New Roman"/>
        </w:rPr>
        <w:t>.</w:t>
      </w:r>
    </w:p>
    <w:p w14:paraId="2669FEB5" w14:textId="77777777" w:rsidR="00457043"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Self-tracking technologies - such as smartwatches or healthbands - offer people an opportunity to monitor, evaluate, and interpret personal data to achieve well-being. It also provides them a chance to not only check their personal performance but also to more properly execute relevant advice to improve their well-being. </w:t>
      </w:r>
      <w:r w:rsidR="00457043" w:rsidRPr="005459E6">
        <w:rPr>
          <w:rFonts w:ascii="Times New Roman" w:hAnsi="Times New Roman" w:cs="Times New Roman"/>
        </w:rPr>
        <w:t xml:space="preserve"> </w:t>
      </w:r>
      <w:r w:rsidRPr="005459E6">
        <w:rPr>
          <w:rFonts w:ascii="Times New Roman" w:hAnsi="Times New Roman" w:cs="Times New Roman"/>
        </w:rPr>
        <w:t xml:space="preserve">One of the main characteristics of self-tracking,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{"citationItems":[{"id":"ITEM-1","itemData":{"DOI":"10.3389/fdgth.2021.676742","ISSN":"2673-253X (Electronic)","PMID":"34713146","abstract":"Self-tracking technologies aim to offer a better understanding of ourselves through  data, create self-awareness, and facilitate healthy behavior change. Despite such promising objectives, very little is known about whether the implicit beliefs users may have about the changeability of their own behavior influence the way they experience self-tracking. These implicit beliefs about the permanence of the abilities are called mindsets; someone with a fixed mindset typically perceives human qualities (e.g., intelligence) as fixed, while someone with a growth mindset perceives them as amenable to change and improvement through learning. This paper investigates the concept of mindset in the context of self-tracking and uses online survey data from individuals wearing a self-tracking device (n = 290) to explore the ways in which users with different mindsets experience self-tracking. A combination of qualitative and quantitative approaches indicates that implicit beliefs about the changeability of behavior influence the extent to which users are self-determined toward self-tracking use. Moreover, differences were found in how users perceive and respond to failure, and how self-judgmental vs. self-compassionate they are toward their own mistakes. Overall, considering that how users respond to the self-tracking data is one of the core dimensions of self-tracking, our results suggest that mindset is one of the important determinants in shaping the self-tracking experience. This paper concludes by presenting design considerations and directions for future research.","author":[{"dropping-particle":"","family":"Hancı","given":"Elçin","non-dropping-particle":"","parse-names":false,"suffix":""},{"dropping-particle":"","family":"Ruijten","given":"Peter A M","non-dropping-particle":"","parse-names":false,"suffix":""},{"dropping-particle":"","family":"Lacroix","given":"Joyca","non-dropping-particle":"","parse-names":false,"suffix":""},{"dropping-particle":"","family":"IJsselsteijn","given":"Wijnand A","non-dropping-particle":"","parse-names":false,"suffix":""}],"container-title":"Frontiers in digital health","id":"ITEM-1","issued":{"date-parts":[["2021"]]},"language":"eng","page":"676742","title":"The Impact of Mindset on Self-Tracking Experience.","type":"article-journal","volume":"3"},"uris":["http://www.mendeley.com/documents/?uuid=14f926ee-d5b3-42ba-986b-147e79467b09"]}],"mendeley":{"formattedCitation":"(Hancı et al., 2021)","manualFormatting":"Hancı et al. (2021)","plainTextFormattedCitation":"(Hancı et al., 2021)","previouslyFormattedCitation":"(Hancı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Hancı et al. (2021)</w:t>
      </w:r>
      <w:r w:rsidRPr="005459E6">
        <w:rPr>
          <w:rFonts w:ascii="Times New Roman" w:hAnsi="Times New Roman" w:cs="Times New Roman"/>
        </w:rPr>
        <w:fldChar w:fldCharType="end"/>
      </w:r>
      <w:r w:rsidRPr="005459E6">
        <w:rPr>
          <w:rFonts w:ascii="Times New Roman" w:hAnsi="Times New Roman" w:cs="Times New Roman"/>
        </w:rPr>
        <w:t>, is how users respond to self-tracking data. The findings also show that mentality is a significant factor in defining the self-tracking experience.</w:t>
      </w:r>
      <w:r w:rsidR="00021350" w:rsidRPr="005459E6">
        <w:rPr>
          <w:rFonts w:ascii="Times New Roman" w:hAnsi="Times New Roman" w:cs="Times New Roman"/>
        </w:rPr>
        <w:t xml:space="preserve"> </w:t>
      </w:r>
      <w:r w:rsidRPr="005459E6">
        <w:rPr>
          <w:rFonts w:ascii="Times New Roman" w:hAnsi="Times New Roman" w:cs="Times New Roman"/>
        </w:rPr>
        <w:t xml:space="preserve">Although self-tracking favorably influences customer perceptions of personalization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1025-3866","author":[{"dropping-particle":"","family":"Pantzar","given":"Mika","non-dropping-particle":"","parse-names":false,"suffix":""},{"dropping-particle":"","family":"Ruckenstein","given":"Minna","non-dropping-particle":"","parse-names":false,"suffix":""}],"container-title":"Consumption Markets &amp; Culture","id":"ITEM-1","issue":"1","issued":{"date-parts":[["2015"]]},"page":"92-109","publisher":"Taylor &amp; Francis","title":"The heart of everyday analytics: emotional, material and practical extensions in self-tracking market","type":"article-journal","volume":"18"},"uris":["http://www.mendeley.com/documents/?uuid=faec025a-5961-474b-98ba-9c51adc6fe47"]}],"mendeley":{"formattedCitation":"(Pantzar &amp; Ruckenstein, 2015)","plainTextFormattedCitation":"(Pantzar &amp; Ruckenstein, 2015)","previouslyFormattedCitation":"(Pantzar &amp; Ruckenstein,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(Pantzar &amp; Ruckenstein, 2015)</w:t>
      </w:r>
      <w:r w:rsidRPr="005459E6">
        <w:rPr>
          <w:rFonts w:ascii="Times New Roman" w:hAnsi="Times New Roman" w:cs="Times New Roman"/>
        </w:rPr>
        <w:fldChar w:fldCharType="end"/>
      </w:r>
      <w:r w:rsidRPr="005459E6">
        <w:rPr>
          <w:rFonts w:ascii="Times New Roman" w:hAnsi="Times New Roman" w:cs="Times New Roman"/>
        </w:rPr>
        <w:t xml:space="preserve">, the data-driven and quantifiable features of self-tracking can sometimes lead to excessive self-monitoring, which can increase the pressure on the user to perform to specific health standards, leading to feelings of inadequacy and inability to enjoy the exercise activities itself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{"citationItems":[{"id":"ITEM-1","itemData":{"DOI":"10.1177/0539018420959522","ISSN":"14617412","abstract":"Self-tracking is becoming a prominent and ubiquitous feature in contemporary practices of health and wellness management. Over the last few years, we have witnessed a rapid development in digital tracking devices, apps and platforms, together with the emergence of health movements such as the Quantified Self. As the world is becoming increasingly ruled by metrics and data, we are becoming ever more reliant on technologies of tracking and measurement to manage and evaluate various spheres of our lives including work, leisure, performance, and health. In this article, I begin by briefly outlining some of the key theoretical approaches that have been informing the scholarly debates on the rise of self-tracking. I then move on to discuss at length the findings of an international survey study I conducted with users of self-tracking technologies to discuss the ways in which they perceive and experience these practices, and the various rationales behind their adoption of self-tracking in the first place. The article also addresses participants’ attitudes towards issues of privacy and data sharing and protection. These attitudes seem to be dominated by a lack of concern regarding the use and sharing of self-tracking data with third parties. Some of the overarching sentiments vis-à-vis these issues can be roughly categorized according to feelings of ‘trust’ towards companies and how they handle data, a sense of ‘resignation’ in the face of what is perceived as an all-encompassing and ubiquitous data use, feelings of ‘self-insignificance’ which translates into the belief that one’s data is of no value to others, and the familiar expression of ‘the innocent have nothing to hide’. Overall, this article highlights the benefits and risks of self-tracking practices as experienced and articulated by the participants, while providing a critical reflection on the rise of personal metrics and the culture of measurement and quantification.","author":[{"dropping-particle":"","family":"Ajana","given":"Btihaj","non-dropping-particle":"","parse-names":false,"suffix":""}],"container-title":"Social Science Information","id":"ITEM-1","issue":"4","issued":{"date-parts":[["2020"]]},"page":"654-678","title":"Personal metrics: Users’ experiences and perceptions of self-tracking practices and data","type":"article-journal","volume":"59"},"uris":["http://www.mendeley.com/documents/?uuid=d108aeee-1e81-4a8c-a00d-a4415fa08a1c"]}],"mendeley":{"formattedCitation":"(Ajana, 2020)","plainTextFormattedCitation":"(Ajana, 2020)","previouslyFormattedCitation":"(Ajana,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(Ajana, 2020)</w:t>
      </w:r>
      <w:r w:rsidRPr="005459E6">
        <w:rPr>
          <w:rFonts w:ascii="Times New Roman" w:hAnsi="Times New Roman" w:cs="Times New Roman"/>
        </w:rPr>
        <w:fldChar w:fldCharType="end"/>
      </w:r>
      <w:r w:rsidRPr="005459E6">
        <w:rPr>
          <w:rFonts w:ascii="Times New Roman" w:hAnsi="Times New Roman" w:cs="Times New Roman"/>
        </w:rPr>
        <w:t xml:space="preserve">. At the same time, several studies have observed the improvement of self-efficacy in relation to self-quantification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{"citationItems":[{"id":"ITEM-1","itemData":{"DOI":"10.1016/j.heliyon.2021.e07794","ISSN":"24058440","abstract":"The commercial market for wearable health technology is growing but the value these technologies provide for consumers is debatable, as many technologies lack formal validation and are being abandoned at a high rate. The enabling of self-efficacy mechanisms in the design of health technologies, through the factors identified by self-determination theory and the Technology Acceptance Model, could increase the uptake and continued use of these devices. The aim of this research was to investigate how and why people use wearable health technology, and to evaluate their experiences from the perspective of perceptions of autonomy, safety, information security, information accuracy and willingness for continued use. Forty-eight sport enthusiasts or athletes, age range 18–65 and over, completed an online survey with 46 questions. A statistical analysis that included a Mann-Whitney U Test and a Person's Correlation analysis indicated that participants who were confident in their use of a health technology showed satisfaction with previous uses and a sense of autonomy leading to an overall positive experience. Issues around data and personal information security were identified, aligning with extant literature. Findings suggest that: (i) past experience play a role in people's perception of self-efficacy, (ii) the tracking of activities enables of autonomy and confidence, (iii) autonomy influences personal willingness to use health technologies, (iv) strong interest in personal health technologies motivates sustained engagement, and that (v) reliability and validity of data impacts on confidence in health technologies. A conceptual model is proposed for consideration when designing and evaluating health technologies, based on the factors supporting self-efficacy and trust in health technologies. Further research is required to develop this model with the aim of informing designers and developers about how to translate these factors into design features for the development of more effective personal health technology.","author":[{"dropping-particle":"","family":"Chamorro-Koc","given":"Marianella","non-dropping-particle":"","parse-names":false,"suffix":""},{"dropping-particle":"","family":"Peake","given":"Jonathan","non-dropping-particle":"","parse-names":false,"suffix":""},{"dropping-particle":"","family":"Meek","given":"Adam","non-dropping-particle":"","parse-names":false,"suffix":""},{"dropping-particle":"","family":"Manimont","given":"Guljira","non-dropping-particle":"","parse-names":false,"suffix":""}],"container-title":"Heliyon","id":"ITEM-1","issue":"8","issued":{"date-parts":[["2021"]]},"page":"e07794","publisher":"Elsevier Ltd","title":"Self-efficacy and trust in consumers' use of health-technologies devices for sports","type":"article-journal","volume":"7"},"uris":["http://www.mendeley.com/documents/?uuid=c2b8543a-20bb-41d9-bb1c-9a58e08f0c96"]},{"id":"ITEM-2","itemData":{"author":[{"dropping-particle":"","family":"Sturts","given":"Adam","non-dropping-particle":"","parse-names":false,"suffix":""},{"dropping-particle":"","family":"Gupta","given":"Adarsh","non-dropping-particle":"","parse-names":false,"suffix":""}],"id":"ITEM-2","issued":{"date-parts":[["2018"]]},"title":"Wearable Fitness Tracking Improves Self-Efficacy for Exercise","type":"article-journal"},"uris":["http://www.mendeley.com/documents/?uuid=b4c40055-a782-470f-854d-bfedb9d4b760"]}],"mendeley":{"formattedCitation":"(Chamorro-Koc et al., 2021; Sturts &amp; Gupta, 2018)","plainTextFormattedCitation":"(Chamorro-Koc et al., 2021; Sturts &amp; Gupta, 2018)","previouslyFormattedCitation":"(Chamorro-Koc et al., 2021; Sturts &amp; Gupta,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(Chamorro-Koc et al., 2021; Sturts &amp; Gupta, 2018)</w:t>
      </w:r>
      <w:r w:rsidRPr="005459E6">
        <w:rPr>
          <w:rFonts w:ascii="Times New Roman" w:hAnsi="Times New Roman" w:cs="Times New Roman"/>
        </w:rPr>
        <w:fldChar w:fldCharType="end"/>
      </w:r>
      <w:r w:rsidRPr="005459E6">
        <w:rPr>
          <w:rFonts w:ascii="Times New Roman" w:hAnsi="Times New Roman" w:cs="Times New Roman"/>
        </w:rPr>
        <w:t xml:space="preserve">. </w:t>
      </w:r>
    </w:p>
    <w:p w14:paraId="15454BC1" w14:textId="4221D15F"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Self-tracking gadgets have been observed to elicit enthusiasm, which is then predominantly translated into increased comfort. This is the point at which cognitive decisions about how to use technology fade into the background, and self-evident routines become virtually automatic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{"citationItems":[{"id":"ITEM-1","itemData":{"DOI":"10.1177/2055207618779714","ISSN":"2055-2076","abstract":"Objective: Self-tracking technologies have created high hopes, even hype, for aiding people to govern their own health risks and promote optimal wellness. High expectations do not, however, necessarily materialize due to connective gaps between personal experiences and self-tracking data. This study examines situations when self-trackers face difficulties in engaging with, and reflecting on, their data with the aim of identifying the specificities and consequences of such connective gaps in self-tracking contexts.; Methods: The study is based on empirical analyses of interviews of inexperienced, experienced and extreme self-trackers (in total 27), who participated in a pilot study aiming at promoting health and wellness.; Results: The study shows that people using self-tracking devices actively search for constant connectivity to their everyday experiences and particularly health and wellness through personal data but often become disappointed. The results suggest that in connective gaps the personal data remains invisible or inaccurate, generating feelings of confusion and doubt in the users of the self-tracking devices. These are alarming symptoms that may lead to indifference when disconnectivity becomes solidified and data ends up becoming dead, providing nothing useful for the users of self-tracking technologies.; Conclusions: High expectations which are put on wearables to advance health and wellness may remain unmaterialised due to connective gaps. This is problematic if individuals are increasingly expected to be active in personal data collection and interpretation regarding their own health and wellness.; ","author":[{"dropping-particle":"","family":"Yli-Kauhaluoma","given":"Sari","non-dropping-particle":"","parse-names":false,"suffix":""},{"dropping-particle":"","family":"Pantzar","given":"Mika","non-dropping-particle":"","parse-names":false,"suffix":""}],"container-title":"Digital Health","id":"ITEM-1","issue":"Unioninkatu 40","issued":{"date-parts":[["2018"]]},"page":"205520761877971","title":"Seeking connectivity to everyday health and wellness experiences: Specificities and consequences of connective gaps in self-tracking data","type":"article-journal","volume":"4"},"uris":["http://www.mendeley.com/documents/?uuid=073a0c1e-805c-4a89-9bad-14ab14cb8088"]}],"mendeley":{"formattedCitation":"(Yli-Kauhaluoma &amp; Pantzar, 2018)","plainTextFormattedCitation":"(Yli-Kauhaluoma &amp; Pantzar, 2018)","previouslyFormattedCitation":"(Yli-Kauhaluoma &amp; Pantzar,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(Yli-Kauhaluoma &amp; Pantzar, 2018)</w:t>
      </w:r>
      <w:r w:rsidRPr="005459E6">
        <w:rPr>
          <w:rFonts w:ascii="Times New Roman" w:hAnsi="Times New Roman" w:cs="Times New Roman"/>
        </w:rPr>
        <w:fldChar w:fldCharType="end"/>
      </w:r>
      <w:r w:rsidRPr="005459E6">
        <w:rPr>
          <w:rFonts w:ascii="Times New Roman" w:hAnsi="Times New Roman" w:cs="Times New Roman"/>
        </w:rPr>
        <w:t xml:space="preserve">. Routine tracking is also more likely when electronic self-tracking tools, such as smartphone apps are used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{"citationItems":[{"id":"ITEM-1","itemData":{"ISSN":"1942597X","PMID":"29854136","abstract":"Despite a growing interest in self-tracking of one's health, what factors lead to self-tracking routinely (i.e., collecting data at regular intervals), and the effects of this behavior, remain largely understudied. Using data from the Pew Survey on Tracking for Health, we examined the patterns of self-tracking activity to understand reasons for this behavior and its impact on health management practices. We tested multiple logistic regression models to assess the influence of different predicting variables, and to find whether routine self-tracking leads to positive change to one's approaches to health management. Our results suggest that recent visits to emergency care and the type(s) of tracking tools used are significant predictors of routine self-tracking activities. Further, the results suggest that routine self-tracking, as opposed to occasional, event-triggered tracking, is more likely to result in positive changes to health management approaches. Our findings also highlight barriers to and opportunities for designing useful and usable tools to facilitate self-tracking and empower patients to become more proactive in managing their own health.","author":[{"dropping-particle":"","family":"Figueiredo","given":"Mayara","non-dropping-particle":"","parse-names":false,"suffix":""},{"dropping-particle":"","family":"Caldeira","given":"Clara","non-dropping-particle":"","parse-names":false,"suffix":""},{"dropping-particle":"","family":"Chen","given":"Yunan","non-dropping-particle":"","parse-names":false,"suffix":""},{"dropping-particle":"","family":"Zheng","given":"Kai","non-dropping-particle":"","parse-names":false,"suffix":""}],"container-title":"AMIA ... Annual Symposium proceedings. AMIA Symposium","id":"ITEM-1","issued":{"date-parts":[["2017"]]},"page":"706-714","title":"Routine self-tracking of health: reasons, facilitating factors, and the potential impact on health management practices","type":"article-journal","volume":"2017"},"uris":["http://www.mendeley.com/documents/?uuid=4fca9baa-dbff-4514-b520-ffa3e21d3bc7"]}],"mendeley":{"formattedCitation":"(Figueiredo et al., 2017)","plainTextFormattedCitation":"(Figueiredo et al., 2017)","previouslyFormattedCitation":"(Figueiredo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(Figueiredo et al., 2017)</w:t>
      </w:r>
      <w:r w:rsidRPr="005459E6">
        <w:rPr>
          <w:rFonts w:ascii="Times New Roman" w:hAnsi="Times New Roman" w:cs="Times New Roman"/>
        </w:rPr>
        <w:fldChar w:fldCharType="end"/>
      </w:r>
      <w:r w:rsidRPr="005459E6">
        <w:rPr>
          <w:rFonts w:ascii="Times New Roman" w:hAnsi="Times New Roman" w:cs="Times New Roman"/>
        </w:rPr>
        <w:t xml:space="preserve">. There is also a critical view,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{"citationItems":[{"id":"ITEM-1","itemData":{"DOI":"10.1177/0963662519888757","ISSN":"13616609","PMID":"31778095","abstract":"This article explores the production and type of knowledge acquired in the course of specific digital self-tracking activities that resemble research and are common among followers of the Quantified Self movement. On the basis of interviews with self-trackers, it is shown that this knowledge can be characterised as a verified and practical self-knowledge, and that science in the form of scientific sources, methods and quality criteria plays a key role in its production. It is argued that this self-related knowledge can be conceptualised as self-expertise, and its production as personal science. The article then discusses the implications for the science-society relationship. In contrast to self-tracking data, so far self-knowledge has hardly caused any resonance in science, although science currently appears open to the insights from single subject (N-of-1) research. As a new mode of public engagement with science, personal science instead mainly leads to an individual self-expertisation.","author":[{"dropping-particle":"","family":"Heyen","given":"Nils B.","non-dropping-particle":"","parse-names":false,"suffix":""}],"container-title":"Public Understanding of Science","id":"ITEM-1","issue":"2","issued":{"date-parts":[["2020"]]},"page":"124-138","title":"From self-tracking to self-expertise: The production of self-related knowledge by doing personal science","type":"article-journal","volume":"29"},"uris":["http://www.mendeley.com/documents/?uuid=ccb34180-a555-4107-8516-4cf9216b942e"]}],"mendeley":{"formattedCitation":"(Heyen, 2020)","manualFormatting":"Heyen (2020)","plainTextFormattedCitation":"(Heyen, 2020)","previouslyFormattedCitation":"(Heyen,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Heyen (2020)</w:t>
      </w:r>
      <w:r w:rsidRPr="005459E6">
        <w:rPr>
          <w:rFonts w:ascii="Times New Roman" w:hAnsi="Times New Roman" w:cs="Times New Roman"/>
        </w:rPr>
        <w:fldChar w:fldCharType="end"/>
      </w:r>
      <w:r w:rsidRPr="005459E6">
        <w:rPr>
          <w:rFonts w:ascii="Times New Roman" w:hAnsi="Times New Roman" w:cs="Times New Roman"/>
        </w:rPr>
        <w:t xml:space="preserve">, that self-tracking is the new surveillance excess. However, research with a strong empirical foundation shows that digital self-tracking is a significantly more complicated and varied phenomenon. Simultaneously, a closer examination of the literature on self-tracking behavior finds a dearth of studies on the antecedents of the drivers of fitness tracking technology use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{"citationItems":[{"id":"ITEM-1","itemData":{"DOI":"10.1080/0144929X.2020.1801840","ISSN":"13623001","abstract":"Advances in technologies (e.g. smartphones, wearables) have resulted in the concept of ‘self-tracking’, and the use of self-tracking technologies in physical activity (i.e. fitness tracking) is on the rise. For example, many people track and monitor their fitness-related metrics (e.g. steps walked, distance ran, and calories burned) to change their behaviours or keep themselves active. Despite the widespread application of self-tracking in fitness, relatively little is known about its drivers and outcomes. To address this gap, the current paper provides an overview of the literature (empirical papers) on self-tracking with a focus on the drivers and outcomes of fitness tracking behaviour and offers four important contributions. First, it identifies 19 drivers of fitness tracking technology usage. Second, it discusses four main outcomes of fitness tracking behaviour. Third, by drawing on the existing studies conducted across various fitness tracking technologies (e.g. fitness trackers, apps) and user groups (e.g. patients, seniors, and females), it provides valuable insights that can be generalisable to other settings (e.g. other types of users and fitness tracking products). Finally, the current paper provides important practical implications and addresses avenues for future research.","author":[{"dropping-particle":"","family":"Jin","given":"Daoyan","non-dropping-particle":"","parse-names":false,"suffix":""},{"dropping-particle":"","family":"Halvari","given":"Hallgeir","non-dropping-particle":"","parse-names":false,"suffix":""},{"dropping-particle":"","family":"Maehle","given":"Natalia","non-dropping-particle":"","parse-names":false,"suffix":""},{"dropping-particle":"","family":"Olafsen","given":"Anja H.","non-dropping-particle":"","parse-names":false,"suffix":""}],"container-title":"Behaviour and Information Technology","id":"ITEM-1","issue":"0","issued":{"date-parts":[["2020"]]},"page":"1-20","publisher":"Taylor &amp; Francis","title":"Self-tracking behaviour in physical activity: a systematic review of drivers and outcomes of fitness tracking","type":"article-journal","volume":"0"},"uris":["http://www.mendeley.com/documents/?uuid=ca52e128-4978-4371-b559-906d0467c0b1"]}],"mendeley":{"formattedCitation":"(Jin et al., 2020a)","plainTextFormattedCitation":"(Jin et al., 2020a)","previouslyFormattedCitation":"(Jin et al., 2020a)"},"properties":{"noteIndex":0},"schema":"https://github.com/citation-style-language/schema/raw/master/csl-citation.json"}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(Jin et al., 2020a)</w:t>
      </w:r>
      <w:r w:rsidRPr="005459E6">
        <w:rPr>
          <w:rFonts w:ascii="Times New Roman" w:hAnsi="Times New Roman" w:cs="Times New Roman"/>
        </w:rPr>
        <w:fldChar w:fldCharType="end"/>
      </w:r>
      <w:r w:rsidRPr="005459E6">
        <w:rPr>
          <w:rFonts w:ascii="Times New Roman" w:hAnsi="Times New Roman" w:cs="Times New Roman"/>
        </w:rPr>
        <w:t xml:space="preserve">. </w:t>
      </w:r>
    </w:p>
    <w:p w14:paraId="1E77F1D9"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 conceptual model in </w:t>
      </w:r>
      <w:r w:rsidRPr="005459E6">
        <w:rPr>
          <w:rFonts w:ascii="Times New Roman" w:hAnsi="Times New Roman" w:cs="Times New Roman"/>
          <w:b/>
          <w:bCs/>
        </w:rPr>
        <w:t>Figure 2</w:t>
      </w:r>
      <w:r w:rsidRPr="005459E6">
        <w:rPr>
          <w:rFonts w:ascii="Times New Roman" w:hAnsi="Times New Roman" w:cs="Times New Roman"/>
        </w:rPr>
        <w:t xml:space="preserve"> investigates whether self-tracking technologies improve advice compliance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{"citationItems":[{"id":"ITEM-1","itemData":{"DOI":"10.1177/1094670520904424","ISSN":"15527379","abstract":"Self-tracking technologies (STTs) in the form of smart devices and mobile applications enable consumers to monitor, analyze, and interpret personal performance data on health and physical or financial well-being. As a result of self-tracking, consumers are not only expected to check their personal performance more actively but also to implement service professionals’ advice to improve their well-being more accurately. Despite the growing popularity of STTs, empirical evidence on the extent to which STT use enhances advice compliance remains scant. A field experiment with 538 participants in a health-care setting suggests that STT use does not increase advice compliance per se. Rather, the effectiveness of STTs depends on consumers’ self-efficacy. For consumers low in self-efficacy, STT use can even undermine advice compliance. A lab experiment with 831 participants replicates and generalizes the findings to a nonmedical professional service (i.e., fitness training). As assessments of self-efficacy might be difficult in practice, service providers in health care can use consumers’ body mass index as an easy-to-measure proxy to predict STT effectiveness. Finally, the lab experiment also identifies perceived empowerment and personalization as psychological mechanisms mediating the influence of STT use on advice compliance.","author":[{"dropping-particle":"","family":"Wittkowski","given":"Kristina","non-dropping-particle":"","parse-names":false,"suffix":""},{"dropping-particle":"","family":"Klein","given":"Jan F.","non-dropping-particle":"","parse-names":false,"suffix":""},{"dropping-particle":"","family":"Falk","given":"Tomas","non-dropping-particle":"","parse-names":false,"suffix":""},{"dropping-particle":"","family":"Schepers","given":"Jeroen J.L.","non-dropping-particle":"","parse-names":false,"suffix":""},{"dropping-particle":"","family":"Aspara","given":"Jaakko","non-dropping-particle":"","parse-names":false,"suffix":""},{"dropping-particle":"","family":"Bergner","given":"Kai N.","non-dropping-particle":"","parse-names":false,"suffix":""}],"container-title":"Journal of Service Research","id":"ITEM-1","issue":"3","issued":{"date-parts":[["2020"]]},"page":"281-298","title":"What Gets Measured Gets Done: Can Self-Tracking Technologies Enhance Advice Compliance?","type":"article-journal","volume":"23"},"uris":["http://www.mendeley.com/documents/?uuid=745984c0-3ad3-4607-917a-1ed1983d9d74"]}],"mendeley":{"formattedCitation":"(Wittkowski et al., 2020)","plainTextFormattedCitation":"(Wittkowski et al., 2020)","previouslyFormattedCitation":"(Wittkowski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(Wittkowski et al., 2020)</w:t>
      </w:r>
      <w:r w:rsidRPr="005459E6">
        <w:rPr>
          <w:rFonts w:ascii="Times New Roman" w:hAnsi="Times New Roman" w:cs="Times New Roman"/>
        </w:rPr>
        <w:fldChar w:fldCharType="end"/>
      </w:r>
      <w:r w:rsidRPr="005459E6">
        <w:rPr>
          <w:rFonts w:ascii="Times New Roman" w:hAnsi="Times New Roman" w:cs="Times New Roman"/>
        </w:rPr>
        <w:t>. In fact, the estimation of self-efficacy may be complicated; healthcare practitioners can utilize consumers' BMI as an easy-to-measure proxy to forecast the effectiveness of self-tracking technology, as illustrated below.</w:t>
      </w:r>
    </w:p>
    <w:p w14:paraId="7A85D74A"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D167748" wp14:editId="51EABEDA">
            <wp:extent cx="5237018" cy="1687484"/>
            <wp:effectExtent l="0" t="0" r="1905"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48245" cy="1691102"/>
                    </a:xfrm>
                    <a:prstGeom prst="rect">
                      <a:avLst/>
                    </a:prstGeom>
                  </pic:spPr>
                </pic:pic>
              </a:graphicData>
            </a:graphic>
          </wp:inline>
        </w:drawing>
      </w:r>
    </w:p>
    <w:p w14:paraId="7BA11A54" w14:textId="019017A2" w:rsidR="00B42ABB" w:rsidRPr="005459E6" w:rsidRDefault="00B42ABB" w:rsidP="00B42ABB">
      <w:pPr>
        <w:pStyle w:val="Didascalia"/>
        <w:spacing w:line="360" w:lineRule="auto"/>
        <w:jc w:val="both"/>
        <w:rPr>
          <w:rFonts w:ascii="Times New Roman" w:hAnsi="Times New Roman" w:cs="Times New Roman"/>
          <w:i w:val="0"/>
          <w:iCs w:val="0"/>
          <w:color w:val="auto"/>
          <w:sz w:val="22"/>
          <w:szCs w:val="22"/>
        </w:rPr>
      </w:pPr>
      <w:bookmarkStart w:id="69" w:name="_Toc96343295"/>
      <w:bookmarkStart w:id="70" w:name="_Toc99915971"/>
      <w:bookmarkStart w:id="71" w:name="_Toc104968788"/>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Effectiveness of self-tracking technologies</w:t>
      </w:r>
      <w:bookmarkEnd w:id="69"/>
      <w:bookmarkEnd w:id="70"/>
      <w:bookmarkEnd w:id="71"/>
    </w:p>
    <w:p w14:paraId="289DBEA0"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From both a practical and academic standpoint, self-tracking has been seen as one of the significant developments that could shape services. Based on this context,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{"citationItems":[{"id":"ITEM-1","itemData":{"DOI":"10.1177/1094670520904424","ISSN":"15527379","abstract":"Self-tracking technologies (STTs) in the form of smart devices and mobile applications enable consumers to monitor, analyze, and interpret personal performance data on health and physical or financial well-being. As a result of self-tracking, consumers are not only expected to check their personal performance more actively but also to implement service professionals’ advice to improve their well-being more accurately. Despite the growing popularity of STTs, empirical evidence on the extent to which STT use enhances advice compliance remains scant. A field experiment with 538 participants in a health-care setting suggests that STT use does not increase advice compliance per se. Rather, the effectiveness of STTs depends on consumers’ self-efficacy. For consumers low in self-efficacy, STT use can even undermine advice compliance. A lab experiment with 831 participants replicates and generalizes the findings to a nonmedical professional service (i.e., fitness training). As assessments of self-efficacy might be difficult in practice, service providers in health care can use consumers’ body mass index as an easy-to-measure proxy to predict STT effectiveness. Finally, the lab experiment also identifies perceived empowerment and personalization as psychological mechanisms mediating the influence of STT use on advice compliance.","author":[{"dropping-particle":"","family":"Wittkowski","given":"Kristina","non-dropping-particle":"","parse-names":false,"suffix":""},{"dropping-particle":"","family":"Klein","given":"Jan F.","non-dropping-particle":"","parse-names":false,"suffix":""},{"dropping-particle":"","family":"Falk","given":"Tomas","non-dropping-particle":"","parse-names":false,"suffix":""},{"dropping-particle":"","family":"Schepers","given":"Jeroen J.L.","non-dropping-particle":"","parse-names":false,"suffix":""},{"dropping-particle":"","family":"Aspara","given":"Jaakko","non-dropping-particle":"","parse-names":false,"suffix":""},{"dropping-particle":"","family":"Bergner","given":"Kai N.","non-dropping-particle":"","parse-names":false,"suffix":""}],"container-title":"Journal of Service Research","id":"ITEM-1","issue":"3","issued":{"date-parts":[["2020"]]},"page":"281-298","title":"What Gets Measured Gets Done: Can Self-Tracking Technologies Enhance Advice Compliance?","type":"article-journal","volume":"23"},"uris":["http://www.mendeley.com/documents/?uuid=745984c0-3ad3-4607-917a-1ed1983d9d74"]}],"mendeley":{"formattedCitation":"(Wittkowski et al., 2020)","manualFormatting":"Wittkowski et al. (2020)","plainTextFormattedCitation":"(Wittkowski et al., 2020)","previouslyFormattedCitation":"(Wittkowski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Wittkowski et al. (2020)</w:t>
      </w:r>
      <w:r w:rsidRPr="005459E6">
        <w:rPr>
          <w:rFonts w:ascii="Times New Roman" w:hAnsi="Times New Roman" w:cs="Times New Roman"/>
        </w:rPr>
        <w:fldChar w:fldCharType="end"/>
      </w:r>
      <w:r w:rsidRPr="005459E6">
        <w:rPr>
          <w:rFonts w:ascii="Times New Roman" w:hAnsi="Times New Roman" w:cs="Times New Roman"/>
        </w:rPr>
        <w:t xml:space="preserve"> found that service providers can use self-tracking devices to improve client compliance with expert advice and, as a result, their well-being. It also confirmed that self-tracking devices' perceived empowerment and personalization (as psychological mechanisms moderating the influence) on the usage of advice compliance.</w:t>
      </w:r>
    </w:p>
    <w:p w14:paraId="50A2FB51" w14:textId="77777777" w:rsidR="00457043"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revolutionary emergence of smartphones, along with today's ubiquitous internet connection, has altered the face of healthcare delivery. All the new technological capabilities have created a world that offers new opportunities to learn about oneself and develop a deep, fact-based comprehension of self-related facts. Patients are progressively becoming self-reliant and empowered actors in the healthcare system.  </w:t>
      </w:r>
    </w:p>
    <w:p w14:paraId="46A6C97B" w14:textId="4B5D2D63"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They diligently record a variety of factors that may be important to their doctors, such as physical activities, physique, well-being, nutrition, medicine, diagnostics, symptoms, environment, addictions, and so 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Gimpel","given":"Henner","non-dropping-particle":"","parse-names":false,"suffix":""},{"dropping-particle":"","family":"Nißen","given":"Marcia","non-dropping-particle":"","parse-names":false,"suffix":""},{"dropping-particle":"","family":"Görlitz","given":"Roland A.","non-dropping-particle":"","parse-names":false,"suffix":""}],"id":"ITEM-1","issued":{"date-parts":[["2017"]]},"page":"1-16","title":"QUANTIFYING THE QUANTIFIED SELF: A STUDY ON THE MOTIVATION OF PATIENTS TO TRACK THEIR OWN HEALTH","type":"article-journal"},"uris":["http://www.mendeley.com/documents/?uuid=01759d08-13ff-4008-b73b-5d7189dc7334"]}],"mendeley":{"formattedCitation":"(Gimpel et al., 2017)","plainTextFormattedCitation":"(Gimpel et al., 2017)","previouslyFormattedCitation":"(Gimpel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(Gimpel et al., 2017)</w:t>
      </w:r>
      <w:r w:rsidRPr="005459E6">
        <w:rPr>
          <w:rFonts w:ascii="Times New Roman" w:hAnsi="Times New Roman" w:cs="Times New Roman"/>
        </w:rPr>
        <w:fldChar w:fldCharType="end"/>
      </w:r>
      <w:r w:rsidRPr="005459E6">
        <w:rPr>
          <w:rFonts w:ascii="Times New Roman" w:hAnsi="Times New Roman" w:cs="Times New Roman"/>
        </w:rPr>
        <w:t xml:space="preserve">. </w:t>
      </w:r>
    </w:p>
    <w:p w14:paraId="48CA38E3" w14:textId="1E0C939F" w:rsidR="00C00634"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link between fitness tracking and task motivation has been proven in prior studies, which found that fitness tracking increases users' incentive to engage in physical activity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{"citationItems":[{"id":"ITEM-1","itemData":{"ISSN":"1359-1053","author":[{"dropping-particle":"","family":"Butryn","given":"Meghan L","non-dropping-particle":"","parse-names":false,"suffix":""},{"dropping-particle":"","family":"Arigo","given":"Danielle","non-dropping-particle":"","parse-names":false,"suffix":""},{"dropping-particle":"","family":"Raggio","given":"Greer A","non-dropping-particle":"","parse-names":false,"suffix":""},{"dropping-particle":"","family":"Colasanti","given":"Marie","non-dropping-particle":"","parse-names":false,"suffix":""},{"dropping-particle":"","family":"Forman","given":"Evan M","non-dropping-particle":"","parse-names":false,"suffix":""}],"container-title":"Journal of health psychology","id":"ITEM-1","issue":"8","issued":{"date-parts":[["2016"]]},"page":"1548-1555","publisher":"SAGE Publications Sage UK: London, England","title":"Enhancing physical activity promotion in midlife women with technology-based self-monitoring and social connectivity: a pilot study","type":"article-journal","volume":"21"},"uris":["http://www.mendeley.com/documents/?uuid=db4ad3b2-09c4-4879-b294-d16b2475821a"]},{"id":"ITEM-2","itemData":{"author":[{"dropping-particle":"","family":"Consolvo","given":"Sunny","non-dropping-particle":"","parse-names":false,"suffix":""},{"dropping-particle":"","family":"Everitt","given":"Katherine","non-dropping-particle":"","parse-names":false,"suffix":""},{"dropping-particle":"","family":"Smith","given":"Ian","non-dropping-particle":"","parse-names":false,"suffix":""},{"dropping-particle":"","family":"Landay","given":"James A","non-dropping-particle":"","parse-names":false,"suffix":""}],"container-title":"Proceedings of the SIGCHI conference on Human Factors in computing systems","id":"ITEM-2","issued":{"date-parts":[["2006"]]},"page":"457-466","title":"Design requirements for technologies that encourage physical activity","type":"paper-conference"},"uris":["http://www.mendeley.com/documents/?uuid=b8888607-2486-49af-be95-29ffdf11adad"]},{"id":"ITEM-3","itemData":{"author":[{"dropping-particle":"","family":"Fritz","given":"Thomas","non-dropping-particle":"","parse-names":false,"suffix":""},{"dropping-particle":"","family":"Huang","given":"Elaine M","non-dropping-particle":"","parse-names":false,"suffix":""},{"dropping-particle":"","family":"Murphy","given":"Gail C","non-dropping-particle":"","parse-names":false,"suffix":""},{"dropping-particle":"","family":"Zimmermann","given":"Thomas","non-dropping-particle":"","parse-names":false,"suffix":""}],"container-title":"Proceedings of the SIGCHI conference on human factors in computing systems","id":"ITEM-3","issued":{"date-parts":[["2014"]]},"page":"487-496","title":"Persuasive technology in the real world: a study of long-term use of activity sensing devices for fitness","type":"paper-conference"},"uris":["http://www.mendeley.com/documents/?uuid=8a952831-16c6-4080-a5e8-85778fd20b65"]},{"id":"ITEM-4","itemData":{"ISSN":"0144-929X","author":[{"dropping-particle":"","family":"Jin","given":"Daoyan","non-dropping-particle":"","parse-names":false,"suffix":""},{"dropping-particle":"","family":"Halvari","given":"Hallgeir","non-dropping-particle":"","parse-names":false,"suffix":""},{"dropping-particle":"","family":"Maehle","given":"Natalia","non-dropping-particle":"","parse-names":false,"suffix":""},{"dropping-particle":"","family":"Olafsen","given":"Anja H","non-dropping-particle":"","parse-names":false,"suffix":""}],"container-title":"Behaviour &amp; Information Technology","id":"ITEM-4","issued":{"date-parts":[["2020"]]},"page":"1-20","publisher":"Taylor &amp; Francis","title":"Self-tracking behaviour in physical activity: a systematic review of drivers and outcomes of fitness tracking","type":"article-journal"},"uris":["http://www.mendeley.com/documents/?uuid=11fae769-4526-489e-b588-7d6754b40dbb"]},{"id":"ITEM-5","itemData":{"ISSN":"0018-9162","author":[{"dropping-particle":"","family":"Randriambelonoro","given":"Mirana","non-dropping-particle":"","parse-names":false,"suffix":""},{"dropping-particle":"","family":"Chen","given":"Yu","non-dropping-particle":"","parse-names":false,"suffix":""},{"dropping-particle":"","family":"Pu","given":"Pearl","non-dropping-particle":"","parse-names":false,"suffix":""}],"container-title":"Computer","id":"ITEM-5","issue":"3","issued":{"date-parts":[["2017"]]},"page":"20-29","publisher":"IEEE","title":"Can fitness trackers help diabetic and obese users make and sustain lifestyle changes?","type":"article-journal","volume":"50"},"uris":["http://www.mendeley.com/documents/?uuid=468e17dd-cace-4808-a5aa-5ad191359592"]}],"mendeley":{"formattedCitation":"(Butryn et al., 2016; Consolvo et al., 2006; Fritz et al., 2014; Jin et al., 2020b; Randriambelonoro et al., 2017)","plainTextFormattedCitation":"(Butryn et al., 2016; Consolvo et al., 2006; Fritz et al., 2014; Jin et al., 2020b; Randriambelonoro et al., 2017)","previouslyFormattedCitation":"(Butryn et al., 2016; Consolvo et al., 2006; Fritz et al., 2014; Jin et al., 2020b; Randriambelonoro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lang w:val="it-IT"/>
        </w:rPr>
        <w:t>(Butryn et al., 2016; Consolvo et al., 2006; Fritz et al., 2014; Jin et al., 2020b; Randriambelonoro et al., 2017)</w:t>
      </w:r>
      <w:r w:rsidRPr="005459E6">
        <w:rPr>
          <w:rFonts w:ascii="Times New Roman" w:hAnsi="Times New Roman" w:cs="Times New Roman"/>
        </w:rPr>
        <w:fldChar w:fldCharType="end"/>
      </w:r>
      <w:r w:rsidRPr="005459E6">
        <w:rPr>
          <w:rFonts w:ascii="Times New Roman" w:hAnsi="Times New Roman" w:cs="Times New Roman"/>
          <w:lang w:val="it-IT"/>
        </w:rPr>
        <w:t xml:space="preserve">. </w:t>
      </w:r>
      <w:r w:rsidRPr="005459E6">
        <w:rPr>
          <w:rFonts w:ascii="Times New Roman" w:hAnsi="Times New Roman" w:cs="Times New Roman"/>
        </w:rPr>
        <w:fldChar w:fldCharType="begin" w:fldLock="1"/>
      </w:r>
      <w:r w:rsidRPr="005459E6">
        <w:rPr>
          <w:rFonts w:ascii="Times New Roman" w:hAnsi="Times New Roman" w:cs="Times New Roman"/>
          <w:lang w:val="it-IT"/>
        </w:rPr>
        <w:instrText>ADDIN CSL_CITATION {"citationItems":[{"id":"ITEM-1","itemData":{"ISBN":"1424410851","author":[{"dropping-particle":"","family":"Maitland","given":"Julie","non-dropping-particle":"","parse-names":false,"suffix":""},{"dropping-particle":"","family":"Sherwood","given":"Scott","non-dropping-particle":"","parse-names":false,"suffix":""},{"dropping-particle":"","family":"Barkhuus","given":"Louise","non-dropping-particle":"","parse-names":false,"suffix":""},{"dropping-particle":"","family":"Anderson","given":"Ian","non-dropping-particle":"","parse-names":false,"suffix":""},{"dropping-particle":"","family":"Hall","given":"Malcolm","non-dropping-particle":"","parse-names":false,"suffix":""},{"dropping-particle":"","family":"Brown","given":"Barry","non-dropping-particle":"","parse-names":false,"suffix":""},{"dropping-particle":"","family":"Chalmers","given":"Matthew","non-dropping-particle":"","parse-names":false,"suffix":""},{"dropping-particle":"","family":"Muller","given":"Henk","non-dropping-particle":"","parse-names":false,"suffix":""}],"container-title":"2006 Pervasive Health Conference and Workshops","id":"ITEM-1","issued":{"date-parts":[["2006"]]},"page":"1-9","publisher":"IEEE","title":"Increasing the awareness of daily activity levels with pervasive computing","type":"paper-conference"},"uris":["http://www.mendeley.com/documents/?uuid=ad8e32f3-8e0f-4963-8e20-def4db0bfd83"]}],"mendeley":{"formattedCitation":"(Maitland et al., 2006)","manualFormatting":"Maitland et al. (2006)","plainTextFormattedCitation":"(Maitland et al., 2006)","previouslyFormattedCitation":"(Maitland et al.,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lang w:val="it-IT"/>
        </w:rPr>
        <w:t xml:space="preserve">Maitland et al. </w:t>
      </w:r>
      <w:r w:rsidRPr="005459E6">
        <w:rPr>
          <w:rFonts w:ascii="Times New Roman" w:hAnsi="Times New Roman" w:cs="Times New Roman"/>
          <w:noProof/>
        </w:rPr>
        <w:t>(2006)</w:t>
      </w:r>
      <w:r w:rsidRPr="005459E6">
        <w:rPr>
          <w:rFonts w:ascii="Times New Roman" w:hAnsi="Times New Roman" w:cs="Times New Roman"/>
        </w:rPr>
        <w:fldChar w:fldCharType="end"/>
      </w:r>
      <w:r w:rsidRPr="005459E6">
        <w:rPr>
          <w:rFonts w:ascii="Times New Roman" w:hAnsi="Times New Roman" w:cs="Times New Roman"/>
        </w:rPr>
        <w:t xml:space="preserve"> observed that Fitness tracking applications could lead to improved motivation for exercise. In line with the same prior research has confirmed the favorable impact fitness trackers have on goal-directed activities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2574-2531","author":[{"dropping-particle":"","family":"Shin","given":"Grace","non-dropping-particle":"","parse-names":false,"suffix":""},{"dropping-particle":"","family":"Feng","given":"Yuanyuan","non-dropping-particle":"","parse-names":false,"suffix":""},{"dropping-particle":"","family":"Jarrahi","given":"Mohammad Hossein","non-dropping-particle":"","parse-names":false,"suffix":""},{"dropping-particle":"","family":"Gafinowitz","given":"Nicci","non-dropping-particle":"","parse-names":false,"suffix":""}],"container-title":"JAMIA open","id":"ITEM-1","issue":"1","issued":{"date-parts":[["2019"]]},"page":"62-72","publisher":"Oxford University Press","title":"Beyond novelty effect: a mixed-methods exploration into the motivation for long-term activity tracker use","type":"article-journal","volume":"2"},"uris":["http://www.mendeley.com/documents/?uuid=6358abdd-5e3b-4da7-84be-9e69aa7014c6"]},{"id":"ITEM-2","itemData":{"ISSN":"1532-0464","author":[{"dropping-particle":"","family":"Shin","given":"Grace","non-dropping-particle":"","parse-names":false,"suffix":""},{"dropping-particle":"","family":"Jarrahi","given":"Mohammad Hossein","non-dropping-particle":"","parse-names":false,"suffix":""},{"dropping-particle":"","family":"Fei","given":"Yu","non-dropping-particle":"","parse-names":false,"suffix":""},{"dropping-particle":"","family":"Karami","given":"Amir","non-dropping-particle":"","parse-names":false,"suffix":""},{"dropping-particle":"","family":"Gafinowitz","given":"Nicci","non-dropping-particle":"","parse-names":false,"suffix":""},{"dropping-particle":"","family":"Byun","given":"Ahjung","non-dropping-particle":"","parse-names":false,"suffix":""},{"dropping-particle":"","family":"Lu","given":"Xiaopeng","non-dropping-particle":"","parse-names":false,"suffix":""}],"container-title":"Journal of biomedical informatics","id":"ITEM-2","issued":{"date-parts":[["2019"]]},"page":"103153","publisher":"Elsevier","title":"Wearable activity trackers, accuracy, adoption, acceptance and health impact: A systematic literature review","type":"article-journal","volume":"93"},"uris":["http://www.mendeley.com/documents/?uuid=3145e0b4-7a8e-4012-bbfc-23050c6c2a17"]},{"id":"ITEM-3","itemData":{"ISSN":"1617-4917","author":[{"dropping-particle":"","family":"Jarrahi","given":"Mohammad Hossein","non-dropping-particle":"","parse-names":false,"suffix":""},{"dropping-particle":"","family":"Gafinowitz","given":"Nicci","non-dropping-particle":"","parse-names":false,"suffix":""},{"dropping-particle":"","family":"Shin","given":"Grace","non-dropping-particle":"","parse-names":false,"suffix":""}],"container-title":"Personal and Ubiquitous Computing","id":"ITEM-3","issue":"2","issued":{"date-parts":[["2018"]]},"page":"433-448","publisher":"Springer","title":"Activity trackers, prior motivation, and perceived informational and motivational affordances","type":"article-journal","volume":"22"},"uris":["http://www.mendeley.com/documents/?uuid=c331e729-7f61-4db8-b4f6-7470678c6aba"]},{"id":"ITEM-4","itemData":{"ISSN":"0960-1643","author":[{"dropping-particle":"","family":"Glynn","given":"Liam G","non-dropping-particle":"","parse-names":false,"suffix":""},{"dropping-particle":"","family":"Hayes","given":"Patrick S","non-dropping-particle":"","parse-names":false,"suffix":""},{"dropping-particle":"","family":"Casey","given":"Monica","non-dropping-particle":"","parse-names":false,"suffix":""},{"dropping-particle":"","family":"Glynn","given":"Fergus","non-dropping-particle":"","parse-names":false,"suffix":""},{"dropping-particle":"","family":"Alvarez-Iglesias","given":"Alberto","non-dropping-particle":"","parse-names":false,"suffix":""},{"dropping-particle":"","family":"Newell","given":"John","non-dropping-particle":"","parse-names":false,"suffix":""},{"dropping-particle":"","family":"ÓLaighin","given":"Gearóid","non-dropping-particle":"","parse-names":false,"suffix":""},{"dropping-particle":"","family":"Heaney","given":"David","non-dropping-particle":"","parse-names":false,"suffix":""},{"dropping-particle":"","family":"O’Donnell","given":"Martin","non-dropping-particle":"","parse-names":false,"suffix":""},{"dropping-particle":"","family":"Murphy","given":"Andrew W","non-dropping-particle":"","parse-names":false,"suffix":""}],"container-title":"British Journal of General Practice","id":"ITEM-4","issue":"624","issued":{"date-parts":[["2014"]]},"page":"e384-e391","publisher":"British Journal of General Practice","title":"Effectiveness of a smartphone application to promote physical activity in primary care: the SMART MOVE randomised controlled trial","type":"article-journal","volume":"64"},"uris":["http://www.mendeley.com/documents/?uuid=1abebcd5-687b-4944-8b59-0baff065cfe8"]},{"id":"ITEM-5","itemData":{"author":[{"dropping-particle":"","family":"Asimakopoulos","given":"Stavros","non-dropping-particle":"","parse-names":false,"suffix":""},{"dropping-particle":"","family":"Asimakopoulos","given":"Grigorios","non-dropping-particle":"","parse-names":false,"suffix":""},{"dropping-particle":"","family":"Spillers","given":"Frank","non-dropping-particle":"","parse-names":false,"suffix":""}],"container-title":"Informatics","id":"ITEM-5","issue":"1","issued":{"date-parts":[["2017"]]},"page":"5","publisher":"Multidisciplinary Digital Publishing Institute","title":"Motivation and user engagement in fitness tracking: Heuristics for mobile healthcare wearables","type":"paper-conference","volume":"4"},"uris":["http://www.mendeley.com/documents/?uuid=25606260-636c-432d-8773-6c2173f4d6a1"]}],"mendeley":{"formattedCitation":"(Asimakopoulos et al., 2017; Glynn et al., 2014; Jarrahi et al., 2018; Shin, Feng, et al., 2019; Shin, Jarrahi, et al., 2019)","plainTextFormattedCitation":"(Asimakopoulos et al., 2017; Glynn et al., 2014; Jarrahi et al., 2018; Shin, Feng, et al., 2019; Shin, Jarrahi, et al., 2019)","previouslyFormattedCitation":"(Asimakopoulos et al., 2017; Glynn et al., 2014; Jarrahi et al., 2018; Shin, Feng, et al., 2019; Shin, Jarrahi,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(Asimakopoulos et al., 2017; Glynn et al., 2014; Jarrahi et al., 2018; Shin, Feng, et al., 2019; Shin, Jarrahi, et al., 2019)</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{"citationItems":[{"id":"ITEM-1","itemData":{"DOI":"10.1080/0144929X.2020.1801840","ISSN":"13623001","abstract":"Advances in technologies (e.g. smartphones, wearables) have resulted in the concept of ‘self-tracking’, and the use of self-tracking technologies in physical activity (i.e. fitness tracking) is on the rise. For example, many people track and monitor their fitness-related metrics (e.g. steps walked, distance ran, and calories burned) to change their behaviours or keep themselves active. Despite the widespread application of self-tracking in fitness, relatively little is known about its drivers and outcomes. To address this gap, the current paper provides an overview of the literature (empirical papers) on self-tracking with a focus on the drivers and outcomes of fitness tracking behaviour and offers four important contributions. First, it identifies 19 drivers of fitness tracking technology usage. Second, it discusses four main outcomes of fitness tracking behaviour. Third, by drawing on the existing studies conducted across various fitness tracking technologies (e.g. fitness trackers, apps) and user groups (e.g. patients, seniors, and females), it provides valuable insights that can be generalisable to other settings (e.g. other types of users and fitness tracking products). Finally, the current paper provides important practical implications and addresses avenues for future research.","author":[{"dropping-particle":"","family":"Jin","given":"Daoyan","non-dropping-particle":"","parse-names":false,"suffix":""},{"dropping-particle":"","family":"Halvari","given":"Hallgeir","non-dropping-particle":"","parse-names":false,"suffix":""},{"dropping-particle":"","family":"Maehle","given":"Natalia","non-dropping-particle":"","parse-names":false,"suffix":""},{"dropping-particle":"","family":"Olafsen","given":"Anja H.","non-dropping-particle":"","parse-names":false,"suffix":""}],"container-title":"Behaviour and Information Technology","id":"ITEM-1","issue":"0","issued":{"date-parts":[["2020"]]},"page":"1-20","publisher":"Taylor &amp; Francis","title":"Self-tracking behaviour in physical activity: a systematic review of drivers and outcomes of fitness tracking","type":"article-journal","volume":"0"},"uris":["http://www.mendeley.com/documents/?uuid=ca52e128-4978-4371-b559-906d0467c0b1"]}],"mendeley":{"formattedCitation":"(Jin et al., 2020a)","manualFormatting":"Jin et al. (2020)","plainTextFormattedCitation":"(Jin et al., 2020a)","previouslyFormattedCitation":"(Jin et al., 2020a)"},"properties":{"noteIndex":0},"schema":"https://github.com/citation-style-language/schema/raw/master/csl-citation.json"}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Jin et al. (2020)</w:t>
      </w:r>
      <w:r w:rsidRPr="005459E6">
        <w:rPr>
          <w:rFonts w:ascii="Times New Roman" w:hAnsi="Times New Roman" w:cs="Times New Roman"/>
        </w:rPr>
        <w:fldChar w:fldCharType="end"/>
      </w:r>
      <w:r w:rsidRPr="005459E6">
        <w:rPr>
          <w:rFonts w:ascii="Times New Roman" w:hAnsi="Times New Roman" w:cs="Times New Roman"/>
        </w:rPr>
        <w:t xml:space="preserve"> ha</w:t>
      </w:r>
      <w:r w:rsidR="001E19EB" w:rsidRPr="005459E6">
        <w:rPr>
          <w:rFonts w:ascii="Times New Roman" w:hAnsi="Times New Roman" w:cs="Times New Roman"/>
        </w:rPr>
        <w:t>ve</w:t>
      </w:r>
      <w:r w:rsidRPr="005459E6">
        <w:rPr>
          <w:rFonts w:ascii="Times New Roman" w:hAnsi="Times New Roman" w:cs="Times New Roman"/>
        </w:rPr>
        <w:t xml:space="preserve"> found that fitness trackers have a positive impact on perceived well-being. </w:t>
      </w:r>
      <w:r w:rsidR="00F42435" w:rsidRPr="005459E6">
        <w:rPr>
          <w:rFonts w:ascii="Times New Roman" w:hAnsi="Times New Roman" w:cs="Times New Roman"/>
        </w:rPr>
        <w:t>Some studies</w:t>
      </w:r>
      <w:r w:rsidRPr="005459E6">
        <w:rPr>
          <w:rFonts w:ascii="Times New Roman" w:hAnsi="Times New Roman" w:cs="Times New Roman"/>
        </w:rPr>
        <w:t xml:space="preserve"> confirm that self-tracking devices positively affect physical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{"citationItems":[{"id":"ITEM-1","itemData":{"abstract":"Long working hours are known to have a negative effect on health. However, there is no clear evidence for a direct link between mental health and long working hours in the young adult populations. Therefore, we aimed to determine whether long working hours are associated with mental health in young adult workers. Data were collected from a 2012 follow-up survey of the Youth Panel 2007. A total of 3,332 young adult employees (aged 20 to 35) were enrolled in the study. We analyzed stress, depression, and suicidal thoughts by multivariate logistic regression analysis based on working hours (41 to 50, 51 to 60 and over 60 hours, compared to 31 to 40 hours per week), which was adjusted for sex, age, marriage status, region, and educational level. From the 3,332 young adult employees, about 60% of the workers worked more than 40 hours and 17% of the workers worked more than 50 hours per week. In a Chi-square test, stress level, depression, and suicidal thoughts increased with increasing working hours (p-value &lt;0.001, 0.007, and 0.018, respectively). The multivariate logistic regression model showed that, compared to the 31 to 40 hours per week group, the adjusted odds ratios of the 41 to 50, 51 to 60, and over 60 hours per week groups for stress were 1.46(1.23–1.74), 2.25(1.79–2.83) and 2.55(1.72–3.77), respectively. A similar trend was shown in depression [odds ratios: 2.08(1.23–3.53), 2.79(1.44–5.39) and 4.09(1.59–10.55), respectively] and suicidal ideation [odds ratios: 1.98(0.95–4.10), 3.48(1.48–8.19) and 5.30(1.61–17.42), respectively]. We concluded that long working hours were associated with stress, depression, and suicidal ideation in young employees, aged 20 to 35.","author":[{"dropping-particle":"","family":"Park","given":"Sungjin","non-dropping-particle":"","parse-names":false,"suffix":""},{"dropping-particle":"","family":"Kook","given":"Hyungdon","non-dropping-particle":"","parse-names":false,"suffix":""},{"dropping-particle":"","family":"Seok","given":"Hongdeok","non-dropping-particle":"","parse-names":false,"suffix":""},{"dropping-particle":"","family":"Lee","given":"Jae Hyoung","non-dropping-particle":"","parse-names":false,"suffix":""},{"dropping-particle":"","family":"Lim","given":"Daeun","non-dropping-particle":"","parse-names":false,"suffix":""},{"dropping-particle":"","family":"Cho","given":"Dong-Hyuk","non-dropping-particle":"","parse-names":false,"suffix":""},{"dropping-particle":"","family":"Oh","given":"Suk-Kyu","non-dropping-particle":"","parse-names":false,"suffix":""}],"container-title":"PLOS ONE","id":"ITEM-1","issue":"8","issued":{"date-parts":[["2020","8","4"]]},"page":"e0236931","publisher":"Public Library of Science","title":"The negative impact of long working hours on mental health in young Korean workers","type":"article-journal","volume":"15"},"uris":["http://www.mendeley.com/documents/?uuid=d502fb5d-6a1b-445d-afee-cd266e489328"]},{"id":"ITEM-2","itemData":{"ISSN":"0747-5632","author":[{"dropping-particle":"","family":"Stiglbauer","given":"Barbara","non-dropping-particle":"","parse-names":false,"suffix":""},{"dropping-particle":"","family":"Weber","given":"Silvana","non-dropping-particle":"","parse-names":false,"suffix":""},{"dropping-particle":"","family":"Batinic","given":"Bernad","non-dropping-particle":"","parse-names":false,"suffix":""}],"container-title":"Computers in Human Behavior","id":"ITEM-2","issued":{"date-parts":[["2019"]]},"page":"131-139","publisher":"Elsevier","title":"Does your health really benefit from using a self-tracking device? Evidence from a longitudinal randomized control trial","type":"article-journal","volume":"94"},"uris":["http://www.mendeley.com/documents/?uuid=7f86629f-9ab6-4f43-b726-c57d359cdc8b"]},{"id":"ITEM-3","itemData":{"ISSN":"2211-2669","author":[{"dropping-particle":"","family":"Henning","given":"April","non-dropping-particle":"","parse-names":false,"suffix":""},{"dropping-particle":"","family":"Ven","given":"Katinka","non-dropping-particle":"van de","parse-names":false,"suffix":""}],"container-title":"Performance Enhancement and Health","id":"ITEM-3","issue":"4","issued":{"date-parts":[["2017"]]},"page":"123-124","publisher":"Elsevier BV","title":"'Counting your steps': The use of wearable technology to promote employees’ health and wellbeing","type":"article-journal","volume":"5"},"uris":["http://www.mendeley.com/documents/?uuid=dfc3e79b-c7c7-4d85-aee8-87e33146b1bd"]}],"mendeley":{"formattedCitation":"(Henning &amp; van de Ven, 2017; Park et al., 2020; Stiglbauer et al., 2019)","plainTextFormattedCitation":"(Henning &amp; van de Ven, 2017; Park et al., 2020; Stiglbauer et al., 2019)","previouslyFormattedCitation":"(Henning &amp; van de Ven, 2017; Park et al., 2020; Stiglbauer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(Henning &amp; van de Ven, 2017; Park et al., 2020; Stiglbauer et al., 2019)</w:t>
      </w:r>
      <w:r w:rsidRPr="005459E6">
        <w:rPr>
          <w:rFonts w:ascii="Times New Roman" w:hAnsi="Times New Roman" w:cs="Times New Roman"/>
        </w:rPr>
        <w:fldChar w:fldCharType="end"/>
      </w:r>
      <w:r w:rsidRPr="005459E6">
        <w:rPr>
          <w:rFonts w:ascii="Times New Roman" w:hAnsi="Times New Roman" w:cs="Times New Roman"/>
        </w:rPr>
        <w:t xml:space="preserve">. Routine self-monitoring, rather than rare, event-triggered tracking, is more likely to result in favorable improvements to health management techniques, as believed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{"citationItems":[{"id":"ITEM-1","itemData":{"ISSN":"1942597X","PMID":"29854136","abstract":"Despite a growing interest in self-tracking of one's health, what factors lead to self-tracking routinely (i.e., collecting data at regular intervals), and the effects of this behavior, remain largely understudied. Using data from the Pew Survey on Tracking for Health, we examined the patterns of self-tracking activity to understand reasons for this behavior and its impact on health management practices. We tested multiple logistic regression models to assess the influence of different predicting variables, and to find whether routine self-tracking leads to positive change to one's approaches to health management. Our results suggest that recent visits to emergency care and the type(s) of tracking tools used are significant predictors of routine self-tracking activities. Further, the results suggest that routine self-tracking, as opposed to occasional, event-triggered tracking, is more likely to result in positive changes to health management approaches. Our findings also highlight barriers to and opportunities for designing useful and usable tools to facilitate self-tracking and empower patients to become more proactive in managing their own health.","author":[{"dropping-particle":"","family":"Figueiredo","given":"Mayara","non-dropping-particle":"","parse-names":false,"suffix":""},{"dropping-particle":"","family":"Caldeira","given":"Clara","non-dropping-particle":"","parse-names":false,"suffix":""},{"dropping-particle":"","family":"Chen","given":"Yunan","non-dropping-particle":"","parse-names":false,"suffix":""},{"dropping-particle":"","family":"Zheng","given":"Kai","non-dropping-particle":"","parse-names":false,"suffix":""}],"container-title":"AMIA ... Annual Symposium proceedings. AMIA Symposium","id":"ITEM-1","issued":{"date-parts":[["2017"]]},"page":"706-714","title":"Routine self-tracking of health: reasons, facilitating factors, and the potential impact on health management practices","type":"article-journal","volume":"2017"},"uris":["http://www.mendeley.com/documents/?uuid=4fca9baa-dbff-4514-b520-ffa3e21d3bc7"]}],"mendeley":{"formattedCitation":"(Figueiredo et al., 2017)","manualFormatting":"Figueiredo et al. (2017)","plainTextFormattedCitation":"(Figueiredo et al., 2017)","previouslyFormattedCitation":"(Figueiredo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Figueiredo et al. (2017)</w:t>
      </w:r>
      <w:r w:rsidRPr="005459E6">
        <w:rPr>
          <w:rFonts w:ascii="Times New Roman" w:hAnsi="Times New Roman" w:cs="Times New Roman"/>
        </w:rPr>
        <w:fldChar w:fldCharType="end"/>
      </w:r>
      <w:r w:rsidRPr="005459E6">
        <w:rPr>
          <w:rFonts w:ascii="Times New Roman" w:hAnsi="Times New Roman" w:cs="Times New Roman"/>
        </w:rPr>
        <w:t>.</w:t>
      </w:r>
    </w:p>
    <w:p w14:paraId="683DD542" w14:textId="7C4D9E98"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i/>
          <w:iCs/>
        </w:rPr>
        <w:t xml:space="preserve">                      </w:t>
      </w:r>
    </w:p>
    <w:p w14:paraId="272B3CB7" w14:textId="77777777" w:rsidR="00B42ABB" w:rsidRPr="005459E6" w:rsidRDefault="00B42ABB" w:rsidP="00B42ABB">
      <w:pPr>
        <w:pStyle w:val="Titolo2"/>
        <w:spacing w:line="360" w:lineRule="auto"/>
        <w:jc w:val="both"/>
        <w:rPr>
          <w:rFonts w:ascii="Times New Roman" w:hAnsi="Times New Roman" w:cs="Times New Roman"/>
          <w:color w:val="auto"/>
          <w:sz w:val="22"/>
          <w:szCs w:val="22"/>
        </w:rPr>
      </w:pPr>
      <w:bookmarkStart w:id="72" w:name="_Toc104746487"/>
      <w:bookmarkStart w:id="73" w:name="_Toc104827768"/>
      <w:bookmarkStart w:id="74" w:name="_Toc107248278"/>
      <w:r w:rsidRPr="005459E6">
        <w:rPr>
          <w:rFonts w:ascii="Times New Roman" w:hAnsi="Times New Roman" w:cs="Times New Roman"/>
          <w:color w:val="auto"/>
          <w:sz w:val="22"/>
          <w:szCs w:val="22"/>
        </w:rPr>
        <w:t>TOWARDS WELL-BEING</w:t>
      </w:r>
      <w:bookmarkEnd w:id="72"/>
      <w:bookmarkEnd w:id="73"/>
      <w:bookmarkEnd w:id="74"/>
    </w:p>
    <w:p w14:paraId="4B91A7D1" w14:textId="77777777" w:rsidR="00A23605"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Well-being is defined as "a condition of flourishing that includes health, happiness, and prosperity" and encompasses an individual's emotions as well as their overall assessment of life satisfaction. Well-being, also known as quality of life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{"citationItems":[{"id":"ITEM-1","itemData":{"ISSN":"0148-2963","author":[{"dropping-particle":"","family":"Anderson","given":"Laurel","non-dropping-particle":"","parse-names":false,"suffix":""},{"dropping-particle":"","family":"Ostrom","given":"Amy L","non-dropping-particle":"","parse-names":false,"suffix":""},{"dropping-particle":"","family":"Corus","given":"Canan","non-dropping-particle":"","parse-names":false,"suffix":""},{"dropping-particle":"","family":"Fisk","given":"Raymond P","non-dropping-particle":"","parse-names":false,"suffix":""},{"dropping-particle":"","family":"Gallan","given":"Andrew S","non-dropping-particle":"","parse-names":false,"suffix":""},{"dropping-particle":"","family":"Giraldo","given":"Mario","non-dropping-particle":"","parse-names":false,"suffix":""},{"dropping-particle":"","family":"Mende","given":"Martin","non-dropping-particle":"","parse-names":false,"suffix":""},{"dropping-particle":"","family":"Mulder","given":"Mark","non-dropping-particle":"","parse-names":false,"suffix":""},{"dropping-particle":"","family":"Rayburn","given":"Steven W","non-dropping-particle":"","parse-names":false,"suffix":""},{"dropping-particle":"","family":"Rosenbaum","given":"Mark S","non-dropping-particle":"","parse-names":false,"suffix":""}],"container-title":"Journal of Business Research","id":"ITEM-1","issue":"8","issued":{"date-parts":[["2013"]]},"page":"1203-1210","publisher":"Elsevier","title":"Transformative service research: An agenda for the future","type":"article-journal","volume":"66"},"uris":["http://www.mendeley.com/documents/?uuid=1d625e97-d1c9-4905-8811-7b0e269e2984"]},{"id":"ITEM-2","itemData":{"ISBN":"1094-6705","author":[{"dropping-particle":"","family":"Anderson","given":"Laurel","non-dropping-particle":"","parse-names":false,"suffix":""},{"dropping-particle":"","family":"Ostrom","given":"Amy L","non-dropping-particle":"","parse-names":false,"suffix":""}],"id":"ITEM-2","issued":{"date-parts":[["2015"]]},"publisher":"SAGE Publications Sage CA: Los Angeles, CA","title":"Transformative service research: advancing our knowledge about service and well-being","type":"article"},"uris":["http://www.mendeley.com/documents/?uuid=028c1beb-6879-411a-9ddc-7d8dab1e2a3e"]}],"mendeley":{"formattedCitation":"(L. Anderson et al., 2013; L. Anderson &amp; Ostrom, 2015)","manualFormatting":"(Anderson et al., 2013; Anderson &amp; Ostrom, 2015)","plainTextFormattedCitation":"(L. Anderson et al., 2013; L. Anderson &amp; Ostrom, 2015)","previouslyFormattedCitation":"(L. Anderson et al., 2013; L. Anderson &amp; Ostrom,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(Anderson et al., 2013; Anderson &amp; Ostrom, 2015)</w:t>
      </w:r>
      <w:r w:rsidRPr="005459E6">
        <w:rPr>
          <w:rFonts w:ascii="Times New Roman" w:hAnsi="Times New Roman" w:cs="Times New Roman"/>
        </w:rPr>
        <w:fldChar w:fldCharType="end"/>
      </w:r>
      <w:r w:rsidRPr="005459E6">
        <w:rPr>
          <w:rFonts w:ascii="Times New Roman" w:hAnsi="Times New Roman" w:cs="Times New Roman"/>
        </w:rPr>
        <w:t xml:space="preserve">, is a significant result in health research that aids in measuring the efficacy of interventions and treatments, as well as comprehending the experiences of health care customers. Well-being is one’s cognitive and affective evaluation, including physical and psychological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{"citationItems":[{"id":"ITEM-1","itemData":{"DOI":"10.1161/CIR.0000000000000947","ISBN":"0000000000000","ISSN":"15244539","PMID":"33486973","abstract":"As clinicians delivering health care, we are very good at treating disease but often not as good at treating the person. The focus of our attention has been on the specific physical condition rather than the patient as a whole. Less attention has been given to psychological health and how that can contribute to physical health and disease. However, there is now an increasing appreciation of how psychological health can contribute not only in a negative way to cardiovascular disease (CVD) but also in a positive way to better cardiovascular health and reduced cardiovascular risk. This American Heart Association scientific statement was commissioned to evaluate, synthesize, and summarize for the health care community knowledge to date on the relationship between psychological health and cardiovascular health and disease and to suggest simple steps to screen for, and ultimately improve, the psychological health of patients with and at risk for CVD. Based on current study data, the following statements can be made: There are good data showing clear associations between psychological health and CVD and risk; there is increasing evidence that psychological health may be causally linked to biological processes and behaviors that contribute to and cause CVD; the preponderance of data suggest that interventions to improve psychological health can have a beneficial impact on cardiovascular health; simple screening measures can be used by health care providers for patients with or at risk for CVD to assess psychological health status; and consideration of psychological health is advisable in the evaluation and management of patients with or at risk for CVD.","author":[{"dropping-particle":"","family":"Levine","given":"Glenn N.","non-dropping-particle":"","parse-names":false,"suffix":""},{"dropping-particle":"","family":"Cohen","given":"Beth E.","non-dropping-particle":"","parse-names":false,"suffix":""},{"dropping-particle":"","family":"Commodore-Mensah","given":"Yvonne","non-dropping-particle":"","parse-names":false,"suffix":""},{"dropping-particle":"","family":"Fleury","given":"Julie","non-dropping-particle":"","parse-names":false,"suffix":""},{"dropping-particle":"","family":"Huffman","given":"Jeff C.","non-dropping-particle":"","parse-names":false,"suffix":""},{"dropping-particle":"","family":"Khalid","given":"Umair","non-dropping-particle":"","parse-names":false,"suffix":""},{"dropping-particle":"","family":"Labarthe","given":"Darwin R.","non-dropping-particle":"","parse-names":false,"suffix":""},{"dropping-particle":"","family":"Lavretsky","given":"Helen","non-dropping-particle":"","parse-names":false,"suffix":""},{"dropping-particle":"","family":"Michos","given":"Erin D.","non-dropping-particle":"","parse-names":false,"suffix":""},{"dropping-particle":"","family":"Spatz","given":"Erica S.","non-dropping-particle":"","parse-names":false,"suffix":""},{"dropping-particle":"","family":"Kubzansky","given":"Laura D.","non-dropping-particle":"","parse-names":false,"suffix":""}],"container-title":"Circulation","id":"ITEM-1","issued":{"date-parts":[["2021"]]},"page":"E763-E783","title":"Psychological Health, Well-Being, and the Mind-Heart-Body Connection: A Scientific Statement from the American Heart Association","type":"article-journal"},"uris":["http://www.mendeley.com/documents/?uuid=8dc0e25f-ed8e-4183-97d5-665528b891e3"]}],"mendeley":{"formattedCitation":"(Levine et al., 2021)","plainTextFormattedCitation":"(Levine et al., 2021)","previouslyFormattedCitation":"(Levine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(Levine et al., 2021)</w:t>
      </w:r>
      <w:r w:rsidRPr="005459E6">
        <w:rPr>
          <w:rFonts w:ascii="Times New Roman" w:hAnsi="Times New Roman" w:cs="Times New Roman"/>
        </w:rPr>
        <w:fldChar w:fldCharType="end"/>
      </w:r>
      <w:r w:rsidRPr="005459E6">
        <w:rPr>
          <w:rFonts w:ascii="Times New Roman" w:hAnsi="Times New Roman" w:cs="Times New Roman"/>
        </w:rPr>
        <w:t xml:space="preserve">. </w:t>
      </w:r>
    </w:p>
    <w:p w14:paraId="5F1E1658" w14:textId="271E2C2E"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 review of literature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{"citationItems":[{"id":"ITEM-1","itemData":{"DOI":"10.1590/1413-81232020257.27902017","ISBN":"0000000182287","ISSN":"16784561","PMID":"32667554","abstract":"The study presents empirical evidence of the personal and contextual variables that protect against the negative effects of stress on workers' well-being and health. A systematic review of the literature of the last eleven years (2006 to 2016) was carried out in the Ebsco, LILACS, SciELO, Google Scholar, and PubMed databases, and in six Annual Reviews journals. Fifty national and international articles related to stress and well-being were analyzed. The results show that work-related factors, personal resources such as resilience, self-efficacy, emotional competencies, psychological detachment, work-life interface, and group-level factors have effects on well-being. The perceived social support of peers and mana-gers, alongside autonomy at work, attenuate the negative impact of stress on well-being. It ends with suggestions for future studies to test relationships between variables that have not yet been explored and to deepen the understanding of the relationships between stress and well-being at work.","author":[{"dropping-particle":"","family":"Hirschle","given":"Ana Lucia Teixeira","non-dropping-particle":"","parse-names":false,"suffix":""},{"dropping-particle":"","family":"Gondim","given":"Sônia Maria Guedes","non-dropping-particle":"","parse-names":false,"suffix":""}],"container-title":"Ciencia e Saude Coletiva","id":"ITEM-1","issue":"7","issued":{"date-parts":[["2020"]]},"page":"2721-2736","title":"Stress and well-being at work: A literature review","type":"article-journal","volume":"25"},"uris":["http://www.mendeley.com/documents/?uuid=ed9c9403-d4e5-499c-9412-fb66c8a28bfc"]}],"mendeley":{"formattedCitation":"(Hirschle &amp; Gondim, 2020)","manualFormatting":"Hirschle &amp; Gondim (2020)","plainTextFormattedCitation":"(Hirschle &amp; Gondim, 2020)","previouslyFormattedCitation":"(Hirschle &amp; Gondim,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Hirschle &amp; Gondim (2020)</w:t>
      </w:r>
      <w:r w:rsidRPr="005459E6">
        <w:rPr>
          <w:rFonts w:ascii="Times New Roman" w:hAnsi="Times New Roman" w:cs="Times New Roman"/>
        </w:rPr>
        <w:fldChar w:fldCharType="end"/>
      </w:r>
      <w:r w:rsidRPr="005459E6">
        <w:rPr>
          <w:rFonts w:ascii="Times New Roman" w:hAnsi="Times New Roman" w:cs="Times New Roman"/>
        </w:rPr>
        <w:t xml:space="preserve"> suggests well-being can encompass a diversity of experiences that include positive affective states, low levels of negative affective states as well as good psychosomatic health. As specified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{"citationItems":[{"id":"ITEM-1","itemData":{"ISBN":"9241591595","author":[{"dropping-particle":"","family":"World Health Organization","given":"","non-dropping-particle":"","parse-names":false,"suffix":""}],"id":"ITEM-1","issued":{"date-parts":[["2004"]]},"publisher":"World Health Organization","title":"Promoting mental health: Concepts, emerging evidence, practice","type":"book"},"uris":["http://www.mendeley.com/documents/?uuid=6eeaa3a6-4a93-4bea-beb3-225e0a6633b1"]}],"mendeley":{"formattedCitation":"(World Health Organization, 2004)","manualFormatting":"World Health Organization (2004)","plainTextFormattedCitation":"(World Health Organization, 2004)","previouslyFormattedCitation":"(World Health Organization,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World Health Organization (2004)</w:t>
      </w:r>
      <w:r w:rsidRPr="005459E6">
        <w:rPr>
          <w:rFonts w:ascii="Times New Roman" w:hAnsi="Times New Roman" w:cs="Times New Roman"/>
        </w:rPr>
        <w:fldChar w:fldCharType="end"/>
      </w:r>
      <w:r w:rsidRPr="005459E6">
        <w:rPr>
          <w:rFonts w:ascii="Times New Roman" w:hAnsi="Times New Roman" w:cs="Times New Roman"/>
        </w:rPr>
        <w:t xml:space="preserve">, well-being should not be limited to the absence of mental illness but a positive psychological state. </w:t>
      </w:r>
      <w:r w:rsidR="00E2702D" w:rsidRPr="005459E6">
        <w:rPr>
          <w:rFonts w:ascii="Times New Roman" w:hAnsi="Times New Roman" w:cs="Times New Roman"/>
        </w:rPr>
        <w:t xml:space="preserve"> </w:t>
      </w:r>
      <w:r w:rsidRPr="005459E6">
        <w:rPr>
          <w:rFonts w:ascii="Times New Roman" w:hAnsi="Times New Roman" w:cs="Times New Roman"/>
        </w:rPr>
        <w:t xml:space="preserve">Individuals' well-being - as healthcare customers' perceptions - is a highly sought-after outcome of interest to both researchers and practitioners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{"citationItems":[{"id":"ITEM-1","itemData":{"DOI":"10.1177/1094670507306682","ISSN":"1094-6705","abstract":"Health care is an enormously expensive, highly complex, universally used service that significantly affects economies and the quality of daily living. Service management, operations, and marketing scholars have much to offer to a critically important, intellectually challenging, but deeply troubled health care service sector. In this article, the authors use the opportunity they had to study at one of the world's most admired medical institutions? Mayo Clinic?as the basis for discussing the similarities and dissimilarities between health care and other services. The article takes the reader ?inside? health care. The authors challenge service scholars to consider health care for their research activities and propose areas for future research.","author":[{"dropping-particle":"","family":"Berry","given":"Leonard L","non-dropping-particle":"","parse-names":false,"suffix":""},{"dropping-particle":"","family":"Bendapudi","given":"Neeli","non-dropping-particle":"","parse-names":false,"suffix":""}],"container-title":"Journal of Service Research","id":"ITEM-1","issue":"2","issued":{"date-parts":[["2007","11","1"]]},"note":"doi: 10.1177/1094670507306682","page":"111-122","publisher":"SAGE Publications Inc","title":"Health Care: A Fertile Field for Service Research","type":"article-journal","volume":"10"},"uris":["http://www.mendeley.com/documents/?uuid=87d7e479-869b-401f-9562-74e134385eda"]},{"id":"ITEM-2","itemData":{"DOI":"10.1177/1094670515576315","ISSN":"1094-6705","abstract":"The context in which service is delivered and experienced has, in many respects, fundamentally changed. For instance, advances in technology, especially information technology, are leading to a proliferation of revolutionary services and changing how customers serve themselves before, during, and after purchase. To understand this changing landscape, the authors engaged in an international and interdisciplinary research effort to identify research priorities that have the potential to advance the service field and benefit customers, organizations, and society. The priority-setting process was informed by roundtable discussions with researchers affiliated with service research centers and networks located around the world and resulted in the following 12 service research priorities:stimulating service innovation,facilitating servitization, service infusion, and solutions,understanding organization and employee issues relevant to successful service,developing service networks and systems,leveraging service design,using big data to advance service,understanding value creation,enhancing the service experience,improving well-being through transformative service,measuring and optimizing service performance and impact,understanding service in a global context, andleveraging technology to advance service.For each priority, the authors identified important specific service topics and related research questions. Then, through an online survey, service researchers assessed the subtopics? perceived importance and the service field?s extant knowledge about them. Although all the priorities and related topics were deemed important, the results show that topics related to transformative service and measuring and optimizing service performance are particularly important for advancing the service field along with big data, which had the largest gap between importance and current knowledge of the field. The authors present key challenges that should be addressed to move the field forward and conclude with a discussion of the need for additional interdisciplinary research.","author":[{"dropping-particle":"","family":"Ostrom","given":"Amy L","non-dropping-particle":"","parse-names":false,"suffix":""},{"dropping-particle":"","family":"Parasuraman","given":"A","non-dropping-particle":"","parse-names":false,"suffix":""},{"dropping-particle":"","family":"Bowen","given":"David E","non-dropping-particle":"","parse-names":false,"suffix":""},{"dropping-particle":"","family":"Patrício","given":"Lia","non-dropping-particle":"","parse-names":false,"suffix":""},{"dropping-particle":"","family":"Voss","given":"Christopher A","non-dropping-particle":"","parse-names":false,"suffix":""}],"container-title":"Journal of Service Research","id":"ITEM-2","issue":"2","issued":{"date-parts":[["2015","4","13"]]},"note":"doi: 10.1177/1094670515576315","page":"127-159","publisher":"SAGE Publications Inc","title":"Service Research Priorities in a Rapidly Changing Context","type":"article-journal","volume":"18"},"uris":["http://www.mendeley.com/documents/?uuid=cfa1d04f-7b8c-47fc-9e20-113eca1f3152"]}],"mendeley":{"formattedCitation":"(Berry &amp; Bendapudi, 2007; Ostrom et al., 2015)","plainTextFormattedCitation":"(Berry &amp; Bendapudi, 2007; Ostrom et al., 2015)","previouslyFormattedCitation":"(Berry &amp; Bendapudi, 2007; Ostrom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(Berry &amp; Bendapudi, 2007; Ostrom et al., 2015)</w:t>
      </w:r>
      <w:r w:rsidRPr="005459E6">
        <w:rPr>
          <w:rFonts w:ascii="Times New Roman" w:hAnsi="Times New Roman" w:cs="Times New Roman"/>
        </w:rPr>
        <w:fldChar w:fldCharType="end"/>
      </w:r>
      <w:r w:rsidRPr="005459E6">
        <w:rPr>
          <w:rFonts w:ascii="Times New Roman" w:hAnsi="Times New Roman" w:cs="Times New Roman"/>
        </w:rPr>
        <w:t>. This study measures psychological well-being from the perspective of healthcare customers as well as health professionals, which measures an individual's emotions such as depression and anxiety.</w:t>
      </w:r>
    </w:p>
    <w:p w14:paraId="0169B5EB" w14:textId="77777777" w:rsidR="00A23605" w:rsidRPr="005459E6" w:rsidRDefault="00A23605" w:rsidP="00B42ABB">
      <w:pPr>
        <w:spacing w:line="360" w:lineRule="auto"/>
        <w:jc w:val="both"/>
        <w:rPr>
          <w:rFonts w:ascii="Times New Roman" w:hAnsi="Times New Roman" w:cs="Times New Roman"/>
        </w:rPr>
      </w:pPr>
    </w:p>
    <w:p w14:paraId="204C1E97" w14:textId="0D971105" w:rsidR="00B42ABB" w:rsidRPr="005459E6" w:rsidRDefault="00B42ABB" w:rsidP="00B42ABB">
      <w:pPr>
        <w:spacing w:line="360" w:lineRule="auto"/>
        <w:jc w:val="both"/>
        <w:rPr>
          <w:rStyle w:val="cf01"/>
          <w:rFonts w:ascii="Times New Roman" w:hAnsi="Times New Roman" w:cs="Times New Roman"/>
          <w:sz w:val="22"/>
          <w:szCs w:val="22"/>
        </w:rPr>
      </w:pPr>
      <w:r w:rsidRPr="005459E6">
        <w:rPr>
          <w:rFonts w:ascii="Times New Roman" w:hAnsi="Times New Roman" w:cs="Times New Roman"/>
        </w:rPr>
        <w:lastRenderedPageBreak/>
        <w:t xml:space="preserve">The psychological issues posed by the recent pandemic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{"citationItems":[{"id":"ITEM-1","itemData":{"DOI":"10.1073/pnas.2016632118","ISSN":"10916490","PMID":"33571107","abstract":"Using a longitudinal dataset linking biometric and survey data from several cohorts of young adults before and during the COVID-19 pandemic (N = 682), we document large disruptions to physical activity, sleep, time use, and mental health. At the onset of the pandemic, average steps decline from 10,000 to 4,600 steps per day, sleep increases by 25 to 30 min per night, time spent socializing declines by over half to less than 30 min, and screen time more than doubles to over 5 h per day. Over the course of the pandemic from March to July 2020 the proportion of participants at risk for clinical depression ranges from 46% to 61%, up to a 90% increase in depression rates compared to the same population just prior to the pandemic. Our analyses suggest that disruption to physical activity is a leading risk factor for depression during the pandemic. However, restoration of those habits through a short-term intervention does not meaningfully improve mental well-being.","author":[{"dropping-particle":"","family":"Giuntella","given":"Osea","non-dropping-particle":"","parse-names":false,"suffix":""},{"dropping-particle":"","family":"Hyde","given":"Kelly","non-dropping-particle":"","parse-names":false,"suffix":""},{"dropping-particle":"","family":"Saccardo","given":"Silvia","non-dropping-particle":"","parse-names":false,"suffix":""},{"dropping-particle":"","family":"Sadoff","given":"Sally","non-dropping-particle":"","parse-names":false,"suffix":""}],"container-title":"Proceedings of the National Academy of Sciences of the United States of America","id":"ITEM-1","issue":"9","issued":{"date-parts":[["2021"]]},"title":"Lifestyle and mental health disruptions during COVID-19","type":"article-journal","volume":"118"},"uris":["http://www.mendeley.com/documents/?uuid=f7da0441-e74c-4e4e-8eef-eebb1c039ade"]}],"mendeley":{"formattedCitation":"(Giuntella et al., 2021)","plainTextFormattedCitation":"(Giuntella et al., 2021)","previouslyFormattedCitation":"(Giuntella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(Giuntella et al., 2021)</w:t>
      </w:r>
      <w:r w:rsidRPr="005459E6">
        <w:rPr>
          <w:rFonts w:ascii="Times New Roman" w:hAnsi="Times New Roman" w:cs="Times New Roman"/>
        </w:rPr>
        <w:fldChar w:fldCharType="end"/>
      </w:r>
      <w:r w:rsidRPr="005459E6">
        <w:rPr>
          <w:rFonts w:ascii="Times New Roman" w:hAnsi="Times New Roman" w:cs="Times New Roman"/>
        </w:rPr>
        <w:t xml:space="preserve"> call for the need to develop an intervention to improve mental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{"citationItems":[{"id":"ITEM-1","itemData":{"ISSN":"17448603","PMID":"32631403","abstract":"Background: The COVID-19 pandemic has had a significant impact on public mental health. Therefore, monitoring and oversight of the population mental health during crises such as a panedmic is an immediate priority. The aim of this study is to analyze the existing research works and findings in relation to the prevalence of stress, anxiety and depression in the general population during the COVID-19 pandemic. Method: In this systematic review and meta-analysis, articles that have focused on stress and anxiety prevalence among the general population during the COVID-19 pandemic were searched in the Science Direct, Embase, Scopus, PubMed, Web of Science (ISI) and Google Scholar databases, without a lower time limit and until May 2020. In order to perform a meta-analysis of the collected studies, the random effects model was used, and the heterogeneity of studies was investigated using the I2 index. Moreover. data analysis was conducted using the Comprehensive Meta-Analysis (CMA) software. Results: The prevalence of stress in 5 studies with a total sample size of 9074 is obtained as 29.6% (95% confidence limit: 24.3-35.4), the prevalence of anxiety in 17 studies with a sample size of 63,439 as 31.9% (95% confidence interval: 27.5-36.7), and the prevalence of depression in 14 studies with a sample size of 44,531 people as 33.7% (95% confidence interval: 27.5-40.6). Conclusion: COVID-19 not only causes physical health concerns but also results in a number of psychological disorders. The spread of the new coronavirus can impact the mental health of people in different communities. Thus, it is essential to preserve the mental health of individuals and to develop psychological interventions that can improve the mental health of vulnerable groups during the COVID-19 pandemic.","author":[{"dropping-particle":"","family":"Salari","given":"Nader","non-dropping-particle":"","parse-names":false,"suffix":""},{"dropping-particle":"","family":"Hosseinian-Far","given":"Amin","non-dropping-particle":"","parse-names":false,"suffix":""},{"dropping-particle":"","family":"Jalali","given":"Rostam","non-dropping-particle":"","parse-names":false,"suffix":""},{"dropping-particle":"","family":"Vaisi-Raygani","given":"Aliakbar","non-dropping-particle":"","parse-names":false,"suffix":""},{"dropping-particle":"","family":"Rasoulpoor","given":"Shna","non-dropping-particle":"","parse-names":false,"suffix":""},{"dropping-particle":"","family":"Mohammadi","given":"Masoud","non-dropping-particle":"","parse-names":false,"suffix":""},{"dropping-particle":"","family":"Rasoulpoor","given":"Shabnam","non-dropping-particle":"","parse-names":false,"suffix":""},{"dropping-particle":"","family":"Khaledi-Paveh","given":"Behnam","non-dropping-particle":"","parse-names":false,"suffix":""}],"container-title":"Globalization and Health","id":"ITEM-1","issue":"1","issued":{"date-parts":[["2020"]]},"page":"1-11","publisher":"Globalization and Health","title":"Prevalence of stress, anxiety, depression among the general population during the COVID-19 pandemic: a systematic review and meta-analysis","type":"article-journal","volume":"16"},"uris":["http://www.mendeley.com/documents/?uuid=baadb3f5-6d20-47b6-b90e-dd98f1b953af"]}],"mendeley":{"formattedCitation":"(Salari et al., 2020)","plainTextFormattedCitation":"(Salari et al., 2020)","previouslyFormattedCitation":"(Salari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(Salari et al., 2020)</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{"citationItems":[{"id":"ITEM-1","itemData":{"DOI":"10.1207/s15327752jpa6802_4","ISSN":"0022-3891 (Print)","PMID":"16370781","abstract":"The affective explosion in psychology has led to tremendous advances in mood  measurement. Mood ratings reflect a hierarchical structure consisting of two broad dimensions-Positive Affect and Negative Affect-and multiple specific states. Brief scales have been developed that reliably assess Positive and Negative Affect across different populations and time frames, in both between- and within-subject data. We examine controversies related to (a) the content of these higher order scales and (b) the independence of Positive and Negative Affect. Regarding the latter, we show that Positive and Negative Affect scales remain largely independent across a wide range of conditions, even after controlling for random and systematic error. Finally, there remains little consensus regarding the lower order structure of affect. This lack of a compelling taxonomy has substantially slowed progress in assessing mood at the specific affect level.","author":[{"dropping-particle":"","family":"Watson","given":"D","non-dropping-particle":"","parse-names":false,"suffix":""},{"dropping-particle":"","family":"Clark","given":"L A","non-dropping-particle":"","parse-names":false,"suffix":""}],"container-title":"Journal of personality assessment","id":"ITEM-1","issue":"2","issued":{"date-parts":[["1997","4"]]},"language":"eng","page":"267-296","publisher-place":"England","title":"Measurement and mismeasurement of mood: recurrent and emergent issues.","type":"article-journal","volume":"68"},"uris":["http://www.mendeley.com/documents/?uuid=0488b0ee-1efc-4e17-8dd1-83d25617794d"]}],"mendeley":{"formattedCitation":"(Watson &amp; Clark, 1997)","manualFormatting":"Watson &amp; Clark (1997)","plainTextFormattedCitation":"(Watson &amp; Clark, 1997)","previouslyFormattedCitation":"(Watson &amp; Clark, 1997)"},"properties":{"noteIndex":0},"schema":"https://github.com/citation-style-language/schema/raw/master/csl-citation.json"}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Watson &amp; Clark (1997)</w:t>
      </w:r>
      <w:r w:rsidRPr="005459E6">
        <w:rPr>
          <w:rFonts w:ascii="Times New Roman" w:hAnsi="Times New Roman" w:cs="Times New Roman"/>
        </w:rPr>
        <w:fldChar w:fldCharType="end"/>
      </w:r>
      <w:r w:rsidRPr="005459E6">
        <w:rPr>
          <w:rFonts w:ascii="Times New Roman" w:hAnsi="Times New Roman" w:cs="Times New Roman"/>
        </w:rPr>
        <w:t xml:space="preserve"> confirmed that well-being could be measured by the presence of positive emotions that are affected by external conditions known as ‘stressors’ </w:t>
      </w:r>
      <w:r w:rsidRPr="005459E6">
        <w:rPr>
          <w:rStyle w:val="cf01"/>
          <w:rFonts w:ascii="Times New Roman" w:hAnsi="Times New Roman" w:cs="Times New Roman"/>
          <w:sz w:val="22"/>
          <w:szCs w:val="22"/>
        </w:rPr>
        <w:fldChar w:fldCharType="begin" w:fldLock="1"/>
      </w:r>
      <w:r w:rsidRPr="005459E6">
        <w:rPr>
          <w:rStyle w:val="cf01"/>
          <w:rFonts w:ascii="Times New Roman" w:hAnsi="Times New Roman" w:cs="Times New Roman"/>
          <w:sz w:val="22"/>
          <w:szCs w:val="22"/>
        </w:rPr>
        <w:instrText>ADDIN CSL_CITATION {"citationItems":[{"id":"ITEM-1","itemData":{"DOI":"10.1371/journal.pone.0246824","ISBN":"1111111111","ISSN":"19326203","PMID":"33571297","abstract":"The coronavirus disease (COVID-19) pandemic has impacted the economy, livelihood, and physical and mental well-being of people worldwide. This study aimed to compare the mental health status during the pandemic in the general population of seven middle income countries (MICs) in Asia (China, Iran, Malaysia, Pakistan, Philippines, Thailand, and Vietnam). All the countries used the Impact of Event Scale–Revised (IES-R) and Depression, Anxiety and Stress Scale (DASS-21) to measure mental health. There were 4479 Asians completed the questionnaire with demographic characteristics, physical symptoms and health service utilization, contact history, knowledge and concern, precautionary measure, and rated their mental health with the IES-R and DASS-21. Descriptive statistics, One-Way analysis of variance (ANOVA), and linear regression were used to identify protective and risk factors associated with mental health parameters. There were significant differences in IES-R and DASS-21 scores between 7 MICs (p&lt;0.05). Thailand had all the highest scores of IES-R, DASS-21 stress, anxiety, and depression scores whereas Vietnam had all the lowest scores. The risk factors for adverse mental health during the COVID-19 pandemic include age &lt;30 years, high education background, single and separated status, discrimination by other countries and contact with people with COVID-19 (p&lt;0.05). The protective factors for mental health include male gender, staying with children or more than 6 people in the same household, employment, confidence in doctors, high perceived likelihood of survival, and spending less time on health information (p&lt;0.05). This comparative study among 7 MICs enhanced the understanding of metal health in the general population during the COVID-19 pandemic.","author":[{"dropping-particle":"","family":"Wang","given":"Cuiyan","non-dropping-particle":"","parse-names":false,"suffix":""},{"dropping-particle":"","family":"Tee","given":"Michael","non-dropping-particle":"","parse-names":false,"suffix":""},{"dropping-particle":"","family":"Roy","given":"Ashley Edward","non-dropping-particle":"","parse-names":false,"suffix":""},{"dropping-particle":"","family":"Fardin","given":"Mohammad A.","non-dropping-particle":"","parse-names":false,"suffix":""},{"dropping-particle":"","family":"Srichokchatchawan","given":"Wandee","non-dropping-particle":"","parse-names":false,"suffix":""},{"dropping-particle":"","family":"Habib","given":"Hina A.","non-dropping-particle":"","parse-names":false,"suffix":""},{"dropping-particle":"","family":"Tran","given":"Bach X.","non-dropping-particle":"","parse-names":false,"suffix":""},{"dropping-particle":"","family":"Hussain","given":"Shahzad","non-dropping-particle":"","parse-names":false,"suffix":""},{"dropping-particle":"","family":"Hoang","given":"Men T.","non-dropping-particle":"","parse-names":false,"suffix":""},{"dropping-particle":"","family":"Le","given":"Xuan T.","non-dropping-particle":"","parse-names":false,"suffix":""},{"dropping-particle":"","family":"Ma","given":"Wenfang","non-dropping-particle":"","parse-names":false,"suffix":""},{"dropping-particle":"","family":"Pham","given":"Hai Q.","non-dropping-particle":"","parse-names":false,"suffix":""},{"dropping-particle":"","family":"Shirazi","given":"Mahmoud","non-dropping-particle":"","parse-names":false,"suffix":""},{"dropping-particle":"","family":"Taneepanichskul","given":"Nutta","non-dropping-particle":"","parse-names":false,"suffix":""},{"dropping-particle":"","family":"Tan","given":"Yilin","non-dropping-particle":"","parse-names":false,"suffix":""},{"dropping-particle":"","family":"Tee","given":"Cherica","non-dropping-particle":"","parse-names":false,"suffix":""},{"dropping-particle":"","family":"Xu","given":"Linkang","non-dropping-particle":"","parse-names":false,"suffix":""},{"dropping-particle":"","family":"Xu","given":"Ziqi","non-dropping-particle":"","parse-names":false,"suffix":""},{"dropping-particle":"","family":"Vu","given":"Giang T.","non-dropping-particle":"","parse-names":false,"suffix":""},{"dropping-particle":"","family":"Zhou","given":"Danqing","non-dropping-particle":"","parse-names":false,"suffix":""},{"dropping-particle":"","family":"Koh","given":"Bernard J.","non-dropping-particle":"","parse-names":false,"suffix":""},{"dropping-particle":"","family":"McIntyre","given":"Roger S.","non-dropping-particle":"","parse-names":false,"suffix":""},{"dropping-particle":"","family":"Ho","given":"Cyrus","non-dropping-particle":"","parse-names":false,"suffix":""},{"dropping-particle":"","family":"Ho","given":"Roger C.","non-dropping-particle":"","parse-names":false,"suffix":""},{"dropping-particle":"","family":"Kuruchittham","given":"Vipat","non-dropping-particle":"","parse-names":false,"suffix":""}],"container-title":"PLoS ONE","id":"ITEM-1","issue":"2 Febuary","issued":{"date-parts":[["2021"]]},"page":"1-20","title":"The impact of COVID-19 pandemic on physical and mental health of Asians: A study of seven middle-income countries in Asia","type":"article-journal","volume":"16"},"uris":["http://www.mendeley.com/documents/?uuid=1de0d05e-ae55-470a-9c2f-e7bbc7fb81b7"]}],"mendeley":{"formattedCitation":"(C. Wang et al., 2021)","manualFormatting":"(Wang et al., 2021)","plainTextFormattedCitation":"(C. Wang et al., 2021)","previouslyFormattedCitation":"(C. Wang et al., 2021)"},"properties":{"noteIndex":0},"schema":"https://github.com/citation-style-language/schema/raw/master/csl-citation.json"}</w:instrText>
      </w:r>
      <w:r w:rsidRPr="005459E6">
        <w:rPr>
          <w:rStyle w:val="cf01"/>
          <w:rFonts w:ascii="Times New Roman" w:hAnsi="Times New Roman" w:cs="Times New Roman"/>
          <w:sz w:val="22"/>
          <w:szCs w:val="22"/>
        </w:rPr>
        <w:fldChar w:fldCharType="separate"/>
      </w:r>
      <w:r w:rsidRPr="005459E6">
        <w:rPr>
          <w:rStyle w:val="cf01"/>
          <w:rFonts w:ascii="Times New Roman" w:hAnsi="Times New Roman" w:cs="Times New Roman"/>
          <w:noProof/>
          <w:sz w:val="22"/>
          <w:szCs w:val="22"/>
        </w:rPr>
        <w:t>(Wang et al., 2021)</w:t>
      </w:r>
      <w:r w:rsidRPr="005459E6">
        <w:rPr>
          <w:rStyle w:val="cf01"/>
          <w:rFonts w:ascii="Times New Roman" w:hAnsi="Times New Roman" w:cs="Times New Roman"/>
          <w:sz w:val="22"/>
          <w:szCs w:val="22"/>
        </w:rPr>
        <w:fldChar w:fldCharType="end"/>
      </w:r>
      <w:r w:rsidRPr="005459E6">
        <w:rPr>
          <w:rFonts w:ascii="Times New Roman" w:hAnsi="Times New Roman" w:cs="Times New Roman"/>
        </w:rPr>
        <w:t xml:space="preserve">. When subjected to the stressors, </w:t>
      </w:r>
      <w:r w:rsidRPr="005459E6">
        <w:rPr>
          <w:rStyle w:val="cf01"/>
          <w:rFonts w:ascii="Times New Roman" w:hAnsi="Times New Roman" w:cs="Times New Roman"/>
          <w:sz w:val="22"/>
          <w:szCs w:val="22"/>
        </w:rPr>
        <w:t xml:space="preserve">the ‘stress’ </w:t>
      </w:r>
      <w:r w:rsidRPr="005459E6">
        <w:rPr>
          <w:rFonts w:ascii="Times New Roman" w:hAnsi="Times New Roman" w:cs="Times New Roman"/>
        </w:rPr>
        <w:t xml:space="preserve">emphasizes the response by the heart </w:t>
      </w:r>
      <w:r w:rsidRPr="005459E6">
        <w:rPr>
          <w:rStyle w:val="cf01"/>
          <w:rFonts w:ascii="Times New Roman" w:hAnsi="Times New Roman" w:cs="Times New Roman"/>
          <w:sz w:val="22"/>
          <w:szCs w:val="22"/>
        </w:rPr>
        <w:t xml:space="preserve">that outweighs the individual’s perceived ability to cope with it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{"citationItems":[{"id":"ITEM-1","itemData":{"DOI":"10.1590/1413-81232020257.27902017","ISBN":"0000000182287","ISSN":"16784561","PMID":"32667554","abstract":"The study presents empirical evidence of the personal and contextual variables that protect against the negative effects of stress on workers' well-being and health. A systematic review of the literature of the last eleven years (2006 to 2016) was carried out in the Ebsco, LILACS, SciELO, Google Scholar, and PubMed databases, and in six Annual Reviews journals. Fifty national and international articles related to stress and well-being were analyzed. The results show that work-related factors, personal resources such as resilience, self-efficacy, emotional competencies, psychological detachment, work-life interface, and group-level factors have effects on well-being. The perceived social support of peers and mana-gers, alongside autonomy at work, attenuate the negative impact of stress on well-being. It ends with suggestions for future studies to test relationships between variables that have not yet been explored and to deepen the understanding of the relationships between stress and well-being at work.","author":[{"dropping-particle":"","family":"Hirschle","given":"Ana Lucia Teixeira","non-dropping-particle":"","parse-names":false,"suffix":""},{"dropping-particle":"","family":"Gondim","given":"Sônia Maria Guedes","non-dropping-particle":"","parse-names":false,"suffix":""}],"container-title":"Ciencia e Saude Coletiva","id":"ITEM-1","issue":"7","issued":{"date-parts":[["2020"]]},"page":"2721-2736","title":"Stress and well-being at work: A literature review","type":"article-journal","volume":"25"},"uris":["http://www.mendeley.com/documents/?uuid=ed9c9403-d4e5-499c-9412-fb66c8a28bfc"]},{"id":"ITEM-2","itemData":{"ISSN":"1745-6916","author":[{"dropping-particle":"","family":"Cohen","given":"Sheldon","non-dropping-particle":"","parse-names":false,"suffix":""},{"dropping-particle":"","family":"Gianaros","given":"Peter J","non-dropping-particle":"","parse-names":false,"suffix":""},{"dropping-particle":"","family":"Manuck","given":"Stephen B","non-dropping-particle":"","parse-names":false,"suffix":""}],"container-title":"Perspectives on Psychological Science","id":"ITEM-2","issue":"4","issued":{"date-parts":[["2016"]]},"page":"456-463","publisher":"Sage Publications Sage CA: Los Angeles, CA","title":"A stage model of stress and disease","type":"article-journal","volume":"11"},"uris":["http://www.mendeley.com/documents/?uuid=eba6b07b-fcaf-4f9a-845e-1c650599e73a"]}],"mendeley":{"formattedCitation":"(S. Cohen et al., 2016; Hirschle &amp; Gondim, 2020)","manualFormatting":"(Cohen et al., 2016; Hirschle &amp; Gondim, 2020)","plainTextFormattedCitation":"(S. Cohen et al., 2016; Hirschle &amp; Gondim, 2020)","previouslyFormattedCitation":"(S. Cohen et al., 2016; Hirschle &amp; Gondim,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(Cohen et al., 2016; Hirschle &amp; Gondim, 2020)</w:t>
      </w:r>
      <w:r w:rsidRPr="005459E6">
        <w:rPr>
          <w:rFonts w:ascii="Times New Roman" w:hAnsi="Times New Roman" w:cs="Times New Roman"/>
        </w:rPr>
        <w:fldChar w:fldCharType="end"/>
      </w:r>
      <w:r w:rsidRPr="005459E6">
        <w:rPr>
          <w:rStyle w:val="cf01"/>
          <w:rFonts w:ascii="Times New Roman" w:hAnsi="Times New Roman" w:cs="Times New Roman"/>
          <w:sz w:val="22"/>
          <w:szCs w:val="22"/>
        </w:rPr>
        <w:t xml:space="preserve">.  </w:t>
      </w:r>
    </w:p>
    <w:p w14:paraId="233E3A8F" w14:textId="77777777" w:rsidR="00B42ABB" w:rsidRPr="005459E6" w:rsidRDefault="00B42ABB" w:rsidP="00B42ABB">
      <w:pPr>
        <w:spacing w:line="360" w:lineRule="auto"/>
        <w:jc w:val="both"/>
        <w:rPr>
          <w:rFonts w:ascii="Times New Roman" w:hAnsi="Times New Roman" w:cs="Times New Roman"/>
        </w:rPr>
      </w:pPr>
      <w:r w:rsidRPr="005459E6">
        <w:rPr>
          <w:rStyle w:val="cf01"/>
          <w:rFonts w:ascii="Times New Roman" w:hAnsi="Times New Roman" w:cs="Times New Roman"/>
          <w:sz w:val="22"/>
          <w:szCs w:val="22"/>
        </w:rPr>
        <w:t xml:space="preserve">Although well-being is a subjective notion </w:t>
      </w:r>
      <w:r w:rsidRPr="005459E6">
        <w:rPr>
          <w:rStyle w:val="cf01"/>
          <w:rFonts w:ascii="Times New Roman" w:hAnsi="Times New Roman" w:cs="Times New Roman"/>
          <w:sz w:val="22"/>
          <w:szCs w:val="22"/>
        </w:rPr>
        <w:fldChar w:fldCharType="begin" w:fldLock="1"/>
      </w:r>
      <w:r w:rsidRPr="005459E6">
        <w:rPr>
          <w:rStyle w:val="cf01"/>
          <w:rFonts w:ascii="Times New Roman" w:hAnsi="Times New Roman" w:cs="Times New Roman"/>
          <w:sz w:val="22"/>
          <w:szCs w:val="22"/>
        </w:rPr>
        <w:instrText>ADDIN CSL_CITATION {"citationItems":[{"id":"ITEM-1","itemData":{"DOI":"10.1093/oxfordjournals.pubmed.a024771","ISSN":"17413850","PMID":"9793894","abstract":"Background: There are cogent reasons why public health specialists should take an active interest in and measure the psychological health and well-being of populations. These are discussed in Part 1 of this study, where methods of measurement from the field of ‘Psychiatric Epidemiology’ are evaluated. This paper continues the review of methods by which psychological health and well-being might be measured by public health specialists. Methods: The methods of the literature search and review are described in Part 1. In Part 2, approaches from the fields of ‘Stress’ and ‘Subjective Well-being’ are examined and evaluated. Results: Many stress questionnaires, such as those that relate to ‘life events’, ‘hassles’ and ‘perceived stress’ pose conceptual problems and do not seem to have any advantages over a simple psychiatric symptom questionnaire, such as the General Health Questionnaire or HAD Scale. The Short Form 36 (SF-36) is a well-being or health outcome instrument. Its mental health and vitality scales encompass both positive and negative psychological well-being. The instrument also contains scales for aspects of physical well-being, which make it attractive for public health use. However, it was found that the positive aspect of these scales has not been validated to the same extent as the negative aspect. Conclusions: Some of the methods reviewed in Parts 1 and 2 of this study can and have been used, with certain provisos, in public health research and practice. However, a truly valid measure of both positive and negative psychological well-being has not yet been devised. © 1998, Oxford University Press.","author":[{"dropping-particle":"","family":"Bartlett","given":"Christopher J.","non-dropping-particle":"","parse-names":false,"suffix":""},{"dropping-particle":"","family":"Coles","given":"Edward C.","non-dropping-particle":"","parse-names":false,"suffix":""}],"container-title":"Journal of Public Health (United Kingdom)","id":"ITEM-1","issue":"3","issued":{"date-parts":[["1998"]]},"page":"288-294","title":"Psychological health and well-being: Why and how should public health specialists measure it? part 2: Stress, subjective well-being and overall conclusions","type":"article-journal","volume":"20"},"uris":["http://www.mendeley.com/documents/?uuid=20575917-f516-4cbc-85c6-1c6f00421766"]}],"mendeley":{"formattedCitation":"(Bartlett &amp; Coles, 1998)","plainTextFormattedCitation":"(Bartlett &amp; Coles, 1998)","previouslyFormattedCitation":"(Bartlett &amp; Coles, 1998)"},"properties":{"noteIndex":0},"schema":"https://github.com/citation-style-language/schema/raw/master/csl-citation.json"}</w:instrText>
      </w:r>
      <w:r w:rsidRPr="005459E6">
        <w:rPr>
          <w:rStyle w:val="cf01"/>
          <w:rFonts w:ascii="Times New Roman" w:hAnsi="Times New Roman" w:cs="Times New Roman"/>
          <w:sz w:val="22"/>
          <w:szCs w:val="22"/>
        </w:rPr>
        <w:fldChar w:fldCharType="separate"/>
      </w:r>
      <w:r w:rsidRPr="005459E6">
        <w:rPr>
          <w:rStyle w:val="cf01"/>
          <w:rFonts w:ascii="Times New Roman" w:hAnsi="Times New Roman" w:cs="Times New Roman"/>
          <w:noProof/>
          <w:sz w:val="22"/>
          <w:szCs w:val="22"/>
        </w:rPr>
        <w:t>(Bartlett &amp; Coles, 1998)</w:t>
      </w:r>
      <w:r w:rsidRPr="005459E6">
        <w:rPr>
          <w:rStyle w:val="cf01"/>
          <w:rFonts w:ascii="Times New Roman" w:hAnsi="Times New Roman" w:cs="Times New Roman"/>
          <w:sz w:val="22"/>
          <w:szCs w:val="22"/>
        </w:rPr>
        <w:fldChar w:fldCharType="end"/>
      </w:r>
      <w:r w:rsidRPr="005459E6">
        <w:rPr>
          <w:rStyle w:val="cf01"/>
          <w:rFonts w:ascii="Times New Roman" w:hAnsi="Times New Roman" w:cs="Times New Roman"/>
          <w:sz w:val="22"/>
          <w:szCs w:val="22"/>
        </w:rPr>
        <w:t xml:space="preserve">, it does mirror the impact of stress, and </w:t>
      </w:r>
      <w:r w:rsidRPr="005459E6">
        <w:rPr>
          <w:rFonts w:ascii="Times New Roman" w:hAnsi="Times New Roman" w:cs="Times New Roman"/>
        </w:rPr>
        <w:t xml:space="preserve">a study conducted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{"citationItems":[{"id":"ITEM-1","itemData":{"DOI":"10.1016/j.ijchp.2017.09.002","ISSN":"16972600","abstract":"Background/Objective: Prolonged stress can overwhelm coping resources, leading people to seek mental health care. Acceptance and commitment therapy (ACT) is an intervention that enhances well-being and reduces distress, assumedly by means of increasing psychological flexibility (PF). We examined the association between a total increase in PF during an intervention and decreases in stress and increases in well-being during and after the intervention. Method: The intervention was a randomized controlled trial of an ACT-based self-help intervention. Participants were 91 individuals reporting elevated levels of work-related stress. Measurements were completed at preintervention, postintervention, and 3-month follow-up. Results: Structural equation models revealed that the total increase in PF during the intervention was negatively associated with a decrease in stress (b = -0.63, SE = 0.14, p &lt;.001) and positively associated with an increase in well-being during the intervention (b = 0.48, SE = 0.11, p &lt;.001), but not with a decrease in stress (b = 0.03, SE = 0.27, p &gt;.05) and well-being (b = -0.04, SE = 0.39, p &gt;.05) following the intervention. Conclusions: Our study provides empirical support for decreasing stress and promoting well-being through ACT and emphasizes the potential of PF in promoting well-being.","author":[{"dropping-particle":"","family":"Wersebe","given":"Hanna","non-dropping-particle":"","parse-names":false,"suffix":""},{"dropping-particle":"","family":"Lieb","given":"Roselind","non-dropping-particle":"","parse-names":false,"suffix":""},{"dropping-particle":"","family":"Meyer","given":"Andrea H.","non-dropping-particle":"","parse-names":false,"suffix":""},{"dropping-particle":"","family":"Hofer","given":"Patrizia","non-dropping-particle":"","parse-names":false,"suffix":""},{"dropping-particle":"","family":"Gloster","given":"Andrew T.","non-dropping-particle":"","parse-names":false,"suffix":""}],"container-title":"International Journal of Clinical and Health Psychology","id":"ITEM-1","issue":"1","issued":{"date-parts":[["2018"]]},"page":"60-68","publisher":"Asociación Española de Psicología Conductual","title":"The link between stress, well-being, and psychological flexibility during an Acceptance and Commitment Therapy self-help intervention","type":"article-journal","volume":"18"},"uris":["http://www.mendeley.com/documents/?uuid=a2a1c1b6-42a0-42fd-94a3-61c029005855"]}],"mendeley":{"formattedCitation":"(Wersebe et al., 2018a)","manualFormatting":"Wersebe et al. (2018)","plainTextFormattedCitation":"(Wersebe et al., 2018a)","previouslyFormattedCitation":"(Wersebe et al., 2018a)"},"properties":{"noteIndex":0},"schema":"https://github.com/citation-style-language/schema/raw/master/csl-citation.json"}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Wersebe et al. (2018)</w:t>
      </w:r>
      <w:r w:rsidRPr="005459E6">
        <w:rPr>
          <w:rFonts w:ascii="Times New Roman" w:hAnsi="Times New Roman" w:cs="Times New Roman"/>
        </w:rPr>
        <w:fldChar w:fldCharType="end"/>
      </w:r>
      <w:r w:rsidRPr="005459E6">
        <w:rPr>
          <w:rFonts w:ascii="Times New Roman" w:hAnsi="Times New Roman" w:cs="Times New Roman"/>
        </w:rPr>
        <w:t xml:space="preserve"> confirmed that a </w:t>
      </w:r>
      <w:r w:rsidRPr="005459E6">
        <w:rPr>
          <w:rFonts w:ascii="Times New Roman" w:hAnsi="Times New Roman" w:cs="Times New Roman"/>
          <w:shd w:val="clear" w:color="auto" w:fill="FFFFFF"/>
        </w:rPr>
        <w:t xml:space="preserve">decrease in stress results in improved well-being. As a result, the well-being of an individual can be observed from the response to adapting stressors </w:t>
      </w:r>
      <w:r w:rsidRPr="005459E6">
        <w:rPr>
          <w:rFonts w:ascii="Times New Roman" w:hAnsi="Times New Roman" w:cs="Times New Roman"/>
          <w:shd w:val="clear" w:color="auto" w:fill="FFFFFF"/>
        </w:rPr>
        <w:fldChar w:fldCharType="begin" w:fldLock="1"/>
      </w:r>
      <w:r w:rsidRPr="005459E6">
        <w:rPr>
          <w:rFonts w:ascii="Times New Roman" w:hAnsi="Times New Roman" w:cs="Times New Roman"/>
          <w:shd w:val="clear" w:color="auto" w:fill="FFFFFF"/>
        </w:rPr>
        <w:instrText>ADDIN CSL_CITATION {"citationItems":[{"id":"ITEM-1","itemData":{"DOI":"10.2196/18253","ISSN":"14388871","PMID":"32902392","abstract":"Background: Chronic stress is increasing in prevalence and is associated with several physical and mental disorders. Although it is proven that acute stress changes physiology, much less is known about the relationship between physiology and long-term stress. Continuous measurement of vital signs in daily life and chronic stress detection algorithms could serve this purpose. For this, it is paramount to model the effects of chronic stress on human physiology and include other cofounders, such as demographics, enabling the enrichment of a population-wide approach with individual variations. Objective: The main objectives of this study were to investigate the effect of chronic stress on heart rate (HR) over time while correcting for weekdays versus weekends and to test a possible modulation effect by gender and age in a healthy cohort. Methods: Throughout 2016 and 2017, healthy employees of technology companies were asked to participate in a 5-day observation stress study. They were required to wear two wearables, of which one included an electrocardiogram sensor. The derived HR was averaged per hour and served as an output for a mixed design model including a trigonometric fit over time with four harmonics (periods of 24, 12, 8, and 6 hours), gender, age, whether it was a workday or weekend day, and a chronic stress score derived from the Perceived Stress Scale (PSS) as predictors. Results: The study included 328 subjects, of which 142 were female and 186 were male participants, with a mean age of 38.9 (SD 10.2) years and a mean PSS score of 13.7 (SD 6.0). As main effects, gender (χ21=24.02, P&lt;.001); the hour of the day (χ21=73.22, P&lt;.001); the circadian harmonic (χ22=284.4, P&lt;.001); and the harmonic over 12 hours (χ22=242.1, P&lt;.001), over 8 hours (χ22=23.78, P&lt;.001), and over 6 hours (χ22=82.96, P&lt;.001) had a significant effect on HR. Two three-way interaction effects were found. The interaction of age, whether it was a workday or weekend day, and the circadian harmonic over time were significantly correlated with HR (χ22=7.13, P=.03), as well as the interaction of gender, PSS score, and the circadian harmonic over time (χ22=7.59, P=.02). Conclusions: The results show a relationship between HR and the three-way interaction of chronic stress, gender, and the circadian harmonic. The modulation by gender might be related to evolution-based energy utilization strategies, as suggested in related literature studies. More research, including daily cortisol ass…","author":[{"dropping-particle":"","family":"Kraaij","given":"Alex Wilhelmus Jacobus","non-dropping-particle":"van","parse-names":false,"suffix":""},{"dropping-particle":"","family":"Schiavone","given":"Giuseppina","non-dropping-particle":"","parse-names":false,"suffix":""},{"dropping-particle":"","family":"Lutin","given":"Erika","non-dropping-particle":"","parse-names":false,"suffix":""},{"dropping-particle":"","family":"Claes","given":"Stephan","non-dropping-particle":"","parse-names":false,"suffix":""},{"dropping-particle":"","family":"Hoof","given":"Chris","non-dropping-particle":"van","parse-names":false,"suffix":""}],"container-title":"Journal of Medical Internet Research","id":"ITEM-1","issue":"9","issued":{"date-parts":[["2020"]]},"page":"1-12","title":"Relationship between chronic stress and heart rate over time modulated by gender in a cohort of office workers: Cross-sectional study using wearable technologies","type":"article-journal","volume":"22"},"uris":["http://www.mendeley.com/documents/?uuid=726bf1a5-c4d2-4cb6-99fa-d9799d85ccff"]}],"mendeley":{"formattedCitation":"(van Kraaij et al., 2020)","plainTextFormattedCitation":"(van Kraaij et al., 2020)","previouslyFormattedCitation":"(van Kraaij et al., 2020)"},"properties":{"noteIndex":0},"schema":"https://github.com/citation-style-language/schema/raw/master/csl-citation.json"}</w:instrText>
      </w:r>
      <w:r w:rsidRPr="005459E6">
        <w:rPr>
          <w:rFonts w:ascii="Times New Roman" w:hAnsi="Times New Roman" w:cs="Times New Roman"/>
          <w:shd w:val="clear" w:color="auto" w:fill="FFFFFF"/>
        </w:rPr>
        <w:fldChar w:fldCharType="separate"/>
      </w:r>
      <w:r w:rsidRPr="005459E6">
        <w:rPr>
          <w:rFonts w:ascii="Times New Roman" w:hAnsi="Times New Roman" w:cs="Times New Roman"/>
          <w:noProof/>
          <w:shd w:val="clear" w:color="auto" w:fill="FFFFFF"/>
        </w:rPr>
        <w:t>(van Kraaij et al., 2020)</w:t>
      </w:r>
      <w:r w:rsidRPr="005459E6">
        <w:rPr>
          <w:rFonts w:ascii="Times New Roman" w:hAnsi="Times New Roman" w:cs="Times New Roman"/>
          <w:shd w:val="clear" w:color="auto" w:fill="FFFFFF"/>
        </w:rPr>
        <w:fldChar w:fldCharType="end"/>
      </w:r>
      <w:r w:rsidRPr="005459E6">
        <w:rPr>
          <w:rFonts w:ascii="Times New Roman" w:hAnsi="Times New Roman" w:cs="Times New Roman"/>
          <w:shd w:val="clear" w:color="auto" w:fill="FFFFFF"/>
        </w:rPr>
        <w:t xml:space="preserve">. </w:t>
      </w:r>
      <w:r w:rsidRPr="005459E6">
        <w:rPr>
          <w:rStyle w:val="cf01"/>
          <w:rFonts w:ascii="Times New Roman" w:hAnsi="Times New Roman" w:cs="Times New Roman"/>
          <w:sz w:val="22"/>
          <w:szCs w:val="22"/>
        </w:rPr>
        <w:t xml:space="preserve">As indicated by </w:t>
      </w:r>
      <w:r w:rsidRPr="005459E6">
        <w:rPr>
          <w:rStyle w:val="cf01"/>
          <w:rFonts w:ascii="Times New Roman" w:hAnsi="Times New Roman" w:cs="Times New Roman"/>
          <w:sz w:val="22"/>
          <w:szCs w:val="22"/>
        </w:rPr>
        <w:fldChar w:fldCharType="begin" w:fldLock="1"/>
      </w:r>
      <w:r w:rsidRPr="005459E6">
        <w:rPr>
          <w:rStyle w:val="cf01"/>
          <w:rFonts w:ascii="Times New Roman" w:hAnsi="Times New Roman" w:cs="Times New Roman"/>
          <w:sz w:val="22"/>
          <w:szCs w:val="22"/>
        </w:rPr>
        <w:instrText>ADDIN CSL_CITATION {"citationItems":[{"id":"ITEM-1","itemData":{"DOI":"10.1007/s11469-020-00305-0","ISSN":"15571882","PMID":"32427165","abstract":"The novel coronavirus-2019 (COVID-19) pandemic has become globally widespread with millions of confirmed cases and many countries implementing various levels of quarantine. Therefore, it is important to investigate the psychological consequences of this process, given the unique situation that has been experienced globally. Therefore, the present study examined whether intolerance of uncertainty was related to mental wellbeing and whether this relationship was mediated by rumination and fear of COVID-19. The sample comprised 1772 Turkish individuals (aged between 18 and 73 years) from 79 of 81 cities in Turkey, who completed measures of mental wellbeing, intolerance of uncertainty, rumination, and fear of COVID-19. Results of serial mediation analyses showed that intolerance of uncertainty had a significant direct effect on mental wellbeing. Rumination and fear of COVID-19, in combination, serially mediated the association between intolerance of uncertainty and mental wellbeing. The findings are discussed within the framework of the psychological consequences of the COVID-19 pandemic and related literature.","author":[{"dropping-particle":"","family":"Satici","given":"Begum","non-dropping-particle":"","parse-names":false,"suffix":""},{"dropping-particle":"","family":"Saricali","given":"Mehmet","non-dropping-particle":"","parse-names":false,"suffix":""},{"dropping-particle":"","family":"Satici","given":"Seydi Ahmet","non-dropping-particle":"","parse-names":false,"suffix":""},{"dropping-particle":"","family":"Griffiths","given":"Mark D.","non-dropping-particle":"","parse-names":false,"suffix":""}],"container-title":"International Journal of Mental Health and Addiction","id":"ITEM-1","issued":{"date-parts":[["2020"]]},"publisher":"International Journal of Mental Health and Addiction","title":"Intolerance of Uncertainty and Mental Wellbeing: Serial Mediation by Rumination and Fear of COVID-19","type":"article-journal"},"uris":["http://www.mendeley.com/documents/?uuid=70108cd4-f4f7-4261-8170-457fb9ec3934"]}],"mendeley":{"formattedCitation":"(Satici et al., 2020)","manualFormatting":"Satici et al. (2020)","plainTextFormattedCitation":"(Satici et al., 2020)","previouslyFormattedCitation":"(Satici et al., 2020)"},"properties":{"noteIndex":0},"schema":"https://github.com/citation-style-language/schema/raw/master/csl-citation.json"}</w:instrText>
      </w:r>
      <w:r w:rsidRPr="005459E6">
        <w:rPr>
          <w:rStyle w:val="cf01"/>
          <w:rFonts w:ascii="Times New Roman" w:hAnsi="Times New Roman" w:cs="Times New Roman"/>
          <w:sz w:val="22"/>
          <w:szCs w:val="22"/>
        </w:rPr>
        <w:fldChar w:fldCharType="separate"/>
      </w:r>
      <w:r w:rsidRPr="005459E6">
        <w:rPr>
          <w:rStyle w:val="cf01"/>
          <w:rFonts w:ascii="Times New Roman" w:hAnsi="Times New Roman" w:cs="Times New Roman"/>
          <w:noProof/>
          <w:sz w:val="22"/>
          <w:szCs w:val="22"/>
        </w:rPr>
        <w:t>Satici et al. (2020)</w:t>
      </w:r>
      <w:r w:rsidRPr="005459E6">
        <w:rPr>
          <w:rStyle w:val="cf01"/>
          <w:rFonts w:ascii="Times New Roman" w:hAnsi="Times New Roman" w:cs="Times New Roman"/>
          <w:sz w:val="22"/>
          <w:szCs w:val="22"/>
        </w:rPr>
        <w:fldChar w:fldCharType="end"/>
      </w:r>
      <w:r w:rsidRPr="005459E6">
        <w:rPr>
          <w:rStyle w:val="cf01"/>
          <w:rFonts w:ascii="Times New Roman" w:hAnsi="Times New Roman" w:cs="Times New Roman"/>
          <w:sz w:val="22"/>
          <w:szCs w:val="22"/>
        </w:rPr>
        <w:t>, well-being should be made a priority to investigate the consequences of the pandemic, and to achieve the same, it becomes imperative to trace the stress levels of an individual.</w:t>
      </w:r>
    </w:p>
    <w:p w14:paraId="2559402A" w14:textId="77777777" w:rsidR="00B42ABB" w:rsidRPr="005459E6" w:rsidRDefault="00B42ABB" w:rsidP="00B42ABB">
      <w:pPr>
        <w:spacing w:line="360" w:lineRule="auto"/>
        <w:jc w:val="both"/>
        <w:rPr>
          <w:rFonts w:ascii="Times New Roman" w:hAnsi="Times New Roman" w:cs="Times New Roman"/>
          <w:i/>
          <w:iCs/>
        </w:rPr>
      </w:pPr>
    </w:p>
    <w:p w14:paraId="6BFF5848"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75" w:name="_Toc88315260"/>
      <w:bookmarkStart w:id="76" w:name="_Toc104746488"/>
      <w:bookmarkStart w:id="77" w:name="_Toc104827769"/>
      <w:bookmarkStart w:id="78" w:name="_Toc107248279"/>
      <w:r w:rsidRPr="005459E6">
        <w:rPr>
          <w:rFonts w:ascii="Times New Roman" w:hAnsi="Times New Roman" w:cs="Times New Roman"/>
          <w:color w:val="auto"/>
          <w:sz w:val="22"/>
          <w:szCs w:val="22"/>
        </w:rPr>
        <w:t>The Construct</w:t>
      </w:r>
      <w:bookmarkEnd w:id="75"/>
      <w:bookmarkEnd w:id="76"/>
      <w:bookmarkEnd w:id="77"/>
      <w:bookmarkEnd w:id="78"/>
    </w:p>
    <w:p w14:paraId="3DEAB7DE" w14:textId="791F223B"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{"citationItems":[{"id":"ITEM-1","itemData":{"DOI":"10.1080/20797222.2017.1299287","ISSN":"2079-7222","abstract":"While a large body of research has provided quantitative data on children's levels of happiness, positive emotions and life satisfaction, the literature reflects a dearth of studies that analyze these dimensions from a narrative and qualitative point of view. Folk and fairy tales may serve as ideal tools for this purpose, since they are concerned with several concepts scientifically investigated by research in the field of positive psychology, such as resilience, self-realization, personal growth and meaning in life. The aim of the present study was to explore children's well-being and positive emotions using an innovative narrative approach, which involved interviews and group discussions, as well as the analysis of fairy tales written and discussed in a group context. The sample included 95 school children who were asked to report and discuss in a group setting situations or experiences which triggered positive emotions and happiness in them. Guided by their teachers and a school psychologist, they were then asked to write their own original fairy tale drawing on the positive emotions that had previously emerged. Positive emotions were found to be triggered mainly by interpersonal relationships with peers as well as with family members. Hobbies and leisure time were also strongly associated with happiness and hedonic well-being, while personal fulfilment, self-esteem and goal achievement emerged as highly significant for children. In sum, the findings suggest that this school psycho-educative intervention based on narrative strategies provided useful information on children's well-being and yielded positive feedback, the implications and possible further applications of which are discussed.","author":[{"dropping-particle":"","family":"Ruini","given":"Chiara","non-dropping-particle":"","parse-names":false,"suffix":""},{"dropping-particle":"","family":"Vescovelli","given":"Francesca","non-dropping-particle":"","parse-names":false,"suffix":""},{"dropping-particle":"","family":"Carpi","given":"Veronica","non-dropping-particle":"","parse-names":false,"suffix":""},{"dropping-particle":"","family":"Masoni","given":"Licia","non-dropping-particle":"","parse-names":false,"suffix":""}],"container-title":"Indo-Pacific Journal of Phenomenology","id":"ITEM-1","issue":"sup1","issued":{"date-parts":[["2017"]]},"page":"1-9","title":"Exploring Psychological Well-Being and Positive Emotions in School Children Using a Narrative Approach","type":"article-journal","volume":"17"},"uris":["http://www.mendeley.com/documents/?uuid=c29a6a4f-18c0-4c41-9666-93a1875f7285"]}],"mendeley":{"formattedCitation":"(Ruini et al., 2017)","manualFormatting":"Ruini et al. (2017)","plainTextFormattedCitation":"(Ruini et al., 2017)","previouslyFormattedCitation":"(Ruini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Ruini et al. (2017)</w:t>
      </w:r>
      <w:r w:rsidRPr="005459E6">
        <w:rPr>
          <w:rFonts w:ascii="Times New Roman" w:hAnsi="Times New Roman" w:cs="Times New Roman"/>
        </w:rPr>
        <w:fldChar w:fldCharType="end"/>
      </w:r>
      <w:r w:rsidRPr="005459E6">
        <w:rPr>
          <w:rFonts w:ascii="Times New Roman" w:hAnsi="Times New Roman" w:cs="Times New Roman"/>
        </w:rPr>
        <w:t xml:space="preserve">'s findings support Keyes' flourishing model, which combines psychological, emotional, and social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{"citationItems":[{"id":"ITEM-1","itemData":{"ISSN":"1939-1315","author":[{"dropping-particle":"","family":"Keyes","given":"Corey L M","non-dropping-particle":"","parse-names":false,"suffix":""},{"dropping-particle":"","family":"Shmotkin","given":"Dov","non-dropping-particle":"","parse-names":false,"suffix":""},{"dropping-particle":"","family":"Ryff","given":"Carol D","non-dropping-particle":"","parse-names":false,"suffix":""}],"container-title":"Journal of personality and social psychology","id":"ITEM-1","issue":"6","issued":{"date-parts":[["2002"]]},"page":"1007","publisher":"American Psychological Association","title":"Optimizing well-being: the empirical encounter of two traditions.","type":"article-journal","volume":"82"},"uris":["http://www.mendeley.com/documents/?uuid=1e00ce8e-998d-4671-b131-a7269de13a85"]}],"mendeley":{"formattedCitation":"(Keyes et al., 2002)","plainTextFormattedCitation":"(Keyes et al., 2002)","previouslyFormattedCitation":"(Keyes et al., 2002)"},"properties":{"noteIndex":0},"schema":"https://github.com/citation-style-language/schema/raw/master/csl-citation.json"}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(Keyes et al., 2002)</w:t>
      </w:r>
      <w:r w:rsidRPr="005459E6">
        <w:rPr>
          <w:rFonts w:ascii="Times New Roman" w:hAnsi="Times New Roman" w:cs="Times New Roman"/>
        </w:rPr>
        <w:fldChar w:fldCharType="end"/>
      </w:r>
      <w:r w:rsidRPr="005459E6">
        <w:rPr>
          <w:rFonts w:ascii="Times New Roman" w:hAnsi="Times New Roman" w:cs="Times New Roman"/>
        </w:rPr>
        <w:t xml:space="preserve"> and are seen as a fundamental sign of positive human growth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{"citationItems":[{"id":"ITEM-1","itemData":{"ISSN":"1573-0921","author":[{"dropping-particle":"","family":"Huppert","given":"Felicia A","non-dropping-particle":"","parse-names":false,"suffix":""},{"dropping-particle":"","family":"So","given":"Timothy T C","non-dropping-particle":"","parse-names":false,"suffix":""}],"container-title":"Social indicators research","id":"ITEM-1","issue":"3","issued":{"date-parts":[["2013"]]},"page":"837-861","publisher":"Springer","title":"Flourishing across Europe: Application of a new conceptual framework for defining well-being","type":"article-journal","volume":"110"},"uris":["http://www.mendeley.com/documents/?uuid=0753b5bf-d8c0-44fd-a8b0-5c0307ddd912"]}],"mendeley":{"formattedCitation":"(Huppert &amp; So, 2013)","plainTextFormattedCitation":"(Huppert &amp; So, 2013)","previouslyFormattedCitation":"(Huppert &amp; So,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(Huppert &amp; So, 2013)</w:t>
      </w:r>
      <w:r w:rsidRPr="005459E6">
        <w:rPr>
          <w:rFonts w:ascii="Times New Roman" w:hAnsi="Times New Roman" w:cs="Times New Roman"/>
        </w:rPr>
        <w:fldChar w:fldCharType="end"/>
      </w:r>
      <w:r w:rsidRPr="005459E6">
        <w:rPr>
          <w:rFonts w:ascii="Times New Roman" w:hAnsi="Times New Roman" w:cs="Times New Roman"/>
        </w:rPr>
        <w:t xml:space="preserve">. To maintain greater focus presented study only considered Psychological Well-being. It is nothing but the </w:t>
      </w:r>
      <w:r w:rsidR="00F42435" w:rsidRPr="005459E6">
        <w:rPr>
          <w:rFonts w:ascii="Times New Roman" w:hAnsi="Times New Roman" w:cs="Times New Roman"/>
        </w:rPr>
        <w:t>‘</w:t>
      </w:r>
      <w:r w:rsidRPr="005459E6">
        <w:rPr>
          <w:rFonts w:ascii="Times New Roman" w:hAnsi="Times New Roman" w:cs="Times New Roman"/>
        </w:rPr>
        <w:t>Positive affect</w:t>
      </w:r>
      <w:r w:rsidR="00F42435" w:rsidRPr="005459E6">
        <w:rPr>
          <w:rFonts w:ascii="Times New Roman" w:hAnsi="Times New Roman" w:cs="Times New Roman"/>
        </w:rPr>
        <w:t>’</w:t>
      </w:r>
      <w:r w:rsidRPr="005459E6">
        <w:rPr>
          <w:rFonts w:ascii="Times New Roman" w:hAnsi="Times New Roman" w:cs="Times New Roman"/>
        </w:rPr>
        <w:t xml:space="preserve"> associated across life domains, including social, work, physical, and with the inclusion of psychological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{"citationItems":[{"id":"ITEM-1","itemData":{"ISSN":"0066-4308","author":[{"dropping-particle":"","family":"Pressman","given":"Sarah D","non-dropping-particle":"","parse-names":false,"suffix":""},{"dropping-particle":"","family":"Jenkins","given":"Brooke N","non-dropping-particle":"","parse-names":false,"suffix":""},{"dropping-particle":"","family":"Moskowitz","given":"Judith T","non-dropping-particle":"","parse-names":false,"suffix":""}],"container-title":"Annual Review of Psychology","id":"ITEM-1","issued":{"date-parts":[["2019"]]},"page":"627-650","publisher":"Annual Reviews","title":"Positive affect and health: what do we know and where next should we go?","type":"article-journal","volume":"70"},"uris":["http://www.mendeley.com/documents/?uuid=95e71a10-1cb6-4029-8042-017b8b61558a"]}],"mendeley":{"formattedCitation":"(Pressman et al., 2019)","plainTextFormattedCitation":"(Pressman et al., 2019)","previouslyFormattedCitation":"(Pressman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(Pressman et al., 2019)</w:t>
      </w:r>
      <w:r w:rsidRPr="005459E6">
        <w:rPr>
          <w:rFonts w:ascii="Times New Roman" w:hAnsi="Times New Roman" w:cs="Times New Roman"/>
        </w:rPr>
        <w:fldChar w:fldCharType="end"/>
      </w:r>
      <w:r w:rsidRPr="005459E6">
        <w:rPr>
          <w:rFonts w:ascii="Times New Roman" w:hAnsi="Times New Roman" w:cs="Times New Roman"/>
        </w:rPr>
        <w:t xml:space="preserve">. </w:t>
      </w:r>
    </w:p>
    <w:p w14:paraId="709CA746" w14:textId="6B376B5C"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{"citationItems":[{"id":"ITEM-1","itemData":{"DOI":"10.1007/s11205-009-9493-y","ISSN":"03038300","abstract":"Measures of well-being were created to assess psychological flourishing and feelings-positive feelings, negative feelings, and the difference between the two. The scales were evaluated in a sample of 689 college students from six locations. The Flourishing Scale is a brief 8-item summary measure of the respondent's self-perceived success in important areas such as relationships, self-esteem, purpose, and optimism. The scale provides a single psychological well-being score. The measure has good psychometric properties, and is strongly associated with other psychological well-being scales. The Scale of Positive and Negative Experience produces a score for positive feelings (6 items), a score for negative feelings (6 items), and the two can be combined to create a balance score. This 12-item brief scale has a number of desirable features compared to earlier measures of positive and negative emotions. In particular, the scale assesses with a few items a broad range of negative and positive experiences and feelings, not just those of a certain type, and is based on the amount of time the feelings were experienced during the past 4 weeks. The scale converges well with measures of emotions and affective well-being. © 2009 Springer Science+Business Media B.V.","author":[{"dropping-particle":"","family":"Diener","given":"Ed","non-dropping-particle":"","parse-names":false,"suffix":""},{"dropping-particle":"","family":"Wirtz","given":"Derrick","non-dropping-particle":"","parse-names":false,"suffix":""},{"dropping-particle":"","family":"Tov","given":"William","non-dropping-particle":"","parse-names":false,"suffix":""},{"dropping-particle":"","family":"Kim-Prieto","given":"Chu","non-dropping-particle":"","parse-names":false,"suffix":""},{"dropping-particle":"","family":"Choi","given":"Dong won","non-dropping-particle":"","parse-names":false,"suffix":""},{"dropping-particle":"","family":"Oishi","given":"Shigehiro","non-dropping-particle":"","parse-names":false,"suffix":""},{"dropping-particle":"","family":"Biswas-Diener","given":"Robert","non-dropping-particle":"","parse-names":false,"suffix":""}],"container-title":"Social Indicators Research","id":"ITEM-1","issue":"2","issued":{"date-parts":[["2010"]]},"page":"143-156","title":"New well-being measures: Short scales to assess flourishing and positive and negative feelings","type":"article-journal","volume":"97"},"uris":["http://www.mendeley.com/documents/?uuid=84971c78-4521-4791-8daa-1e18b5f952d0"]}],"mendeley":{"formattedCitation":"(Diener et al., 2010)","manualFormatting":"Diener et al. (2010)","plainTextFormattedCitation":"(Diener et al., 2010)","previouslyFormattedCitation":"(Diener et al.,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et al. (2010)</w:t>
      </w:r>
      <w:r w:rsidRPr="005459E6">
        <w:rPr>
          <w:rFonts w:ascii="Times New Roman" w:hAnsi="Times New Roman" w:cs="Times New Roman"/>
        </w:rPr>
        <w:fldChar w:fldCharType="end"/>
      </w:r>
      <w:r w:rsidRPr="005459E6">
        <w:rPr>
          <w:rFonts w:ascii="Times New Roman" w:hAnsi="Times New Roman" w:cs="Times New Roman"/>
        </w:rPr>
        <w:t xml:space="preserve"> created measures of well-being to assess psychological health by considering positive feelings, negative feelings, and the difference between the two.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{"citationItems":[{"id":"ITEM-1","itemData":{"DOI":"10.1080/13548506.2020.1859566","ISSN":"13548506","PMID":"33320723","abstract":"In this study, we aimed to investigate psychological well-being, depression, and stress among healthcare professionals and non-healthcare professionals in Turkey. An online questionnaire was prepared and shared with participants using social networking sites. Participants were 546 healthcare professionals (females = 313) and 445 non-healthcare professionals (females = 333), aged between 20 and 67 years. All participants completed measures of Depression Anxiety and Stress Scale-21 and Psychological Well-Being Scale. The results showed no significant difference in the scores of psychological well-being, depression and stress of healthcare professionals and non-healthcare professionals. However, the psychological well-being of healthcare professionals and stress varied in terms of age, gender, marital status, job descriptions, and ways of working in clinic. Women, non-physician healthcare professionals, young and single people and those who worked in COVID-19 service and stayed at least one week away from their families during the pandemic were found to have poor mental well-being. Psychological well-being was significantly and negatively correlated with depression and anxiety. Our findings indicate that healthcare professionals who are at the frontline of the fight against the COVID-19, and nurses, women, single person and those who are away from their family for more than a week during the pandemic are at greater risk.","author":[{"dropping-particle":"","family":"Ceri","given":"Veysi","non-dropping-particle":"","parse-names":false,"suffix":""},{"dropping-particle":"","family":"Cicek","given":"Ilhan","non-dropping-particle":"","parse-names":false,"suffix":""}],"container-title":"Psychology, Health and Medicine","id":"ITEM-1","issue":"1","issued":{"date-parts":[["2021"]]},"page":"85-97","publisher":"Taylor &amp; Francis","title":"Psychological Well-Being, Depression and Stress During COVID-19 Pandemic in Turkey: A Comparative Study of Healthcare Professionals and Non-Healthcare Professionals","type":"article-journal","volume":"26"},"uris":["http://www.mendeley.com/documents/?uuid=8376d78e-45bf-4e10-9c3a-a34d2a0aee1a"]}],"mendeley":{"formattedCitation":"(Ceri &amp; Cicek, 2021)","manualFormatting":"Ceri &amp; Cicek (2021)","plainTextFormattedCitation":"(Ceri &amp; Cicek, 2021)","previouslyFormattedCitation":"(Ceri &amp; Cicek,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Ceri &amp; Cicek (2021)</w:t>
      </w:r>
      <w:r w:rsidRPr="005459E6">
        <w:rPr>
          <w:rFonts w:ascii="Times New Roman" w:hAnsi="Times New Roman" w:cs="Times New Roman"/>
        </w:rPr>
        <w:fldChar w:fldCharType="end"/>
      </w:r>
      <w:r w:rsidRPr="005459E6">
        <w:rPr>
          <w:rFonts w:ascii="Times New Roman" w:hAnsi="Times New Roman" w:cs="Times New Roman"/>
        </w:rPr>
        <w:t xml:space="preserve"> later utilized the Psychological Well-Being Scale</w:t>
      </w:r>
      <w:r w:rsidR="00B00C01">
        <w:rPr>
          <w:rFonts w:ascii="Times New Roman" w:hAnsi="Times New Roman" w:cs="Times New Roman"/>
        </w:rPr>
        <w:t xml:space="preserve"> as</w:t>
      </w:r>
      <w:r w:rsidRPr="005459E6">
        <w:rPr>
          <w:rFonts w:ascii="Times New Roman" w:hAnsi="Times New Roman" w:cs="Times New Roman"/>
        </w:rPr>
        <w:t xml:space="preserve"> this scale indicates the level of psychological well-being. Another study carried out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{"citationItems":[{"id":"ITEM-1","itemData":{"DOI":"10.1186/1475-9276-13-22","ISSN":"14759276","PMID":"24593256","abstract":"Background: Unemployment is associated with adverse effects on health. Social capital has been suggested as a promoter of health via several causal pathways that are associated with the known health risk factors of being unemployed. This cross-sectional study investigated possible additive- and interaction effects of unemployment and five different measures of social capital in relation to psychosomatic symptoms and low psychological well-being. Methods. A random population sample of 20,538 individuals aged 18-85 years from five counties in Sweden completed a postal survey questionnaire including questions of employment status, psychosomatic symptoms, psychological well-being (General Health Questionnaire-12) and social capital. Results: Psychosomatic symptoms and reduced psychological well-being were more frequent among unemployed individuals compared with individuals who were employed. Moreover, low social capital and unemployment had additive effects on ill-health. Unemployed individuals with low social capital - specifically with low tangible social support - had increased ill-health compared with unemployed individuals with high social capital. Moreover, to have low social capital within several different areas magnified the negative effects on health. However, no significant interaction effects were found suggesting no moderating effect of social capital in this regard. Conclusions: Elements of social capital, particularly social support, might be important health-protective factors among individuals who are unemployed. © 2014 Åslund et al.; licensee BioMed Central Ltd.","author":[{"dropping-particle":"","family":"Åslund","given":"Cecilia","non-dropping-particle":"","parse-names":false,"suffix":""},{"dropping-particle":"","family":"Starrin","given":"Bengt","non-dropping-particle":"","parse-names":false,"suffix":""},{"dropping-particle":"","family":"Nilsson","given":"Kent W.","non-dropping-particle":"","parse-names":false,"suffix":""}],"container-title":"International Journal for Equity in Health","id":"ITEM-1","issue":"1","issued":{"date-parts":[["2014"]]},"page":"1-10","title":"Psychosomatic symptoms and low psychological well-being in relation to employment status: The influence of social capital in a large cross-sectional study in Sweden","type":"article-journal","volume":"13"},"uris":["http://www.mendeley.com/documents/?uuid=34d91d57-2c86-421f-9708-bd6b6942a832"]}],"mendeley":{"formattedCitation":"(Åslund et al., 2014)","manualFormatting":"Åslund et al. (2014)","plainTextFormattedCitation":"(Åslund et al., 2014)","previouslyFormattedCitation":"(Åslund et al.,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Åslund et al. (2014)</w:t>
      </w:r>
      <w:r w:rsidRPr="005459E6">
        <w:rPr>
          <w:rFonts w:ascii="Times New Roman" w:hAnsi="Times New Roman" w:cs="Times New Roman"/>
        </w:rPr>
        <w:fldChar w:fldCharType="end"/>
      </w:r>
      <w:r w:rsidRPr="005459E6">
        <w:rPr>
          <w:rFonts w:ascii="Times New Roman" w:hAnsi="Times New Roman" w:cs="Times New Roman"/>
        </w:rPr>
        <w:t xml:space="preserve"> used a version of the General Health Questionnaire (GHQ-12) to measure psychological well-being. One such commonly used instrument is the WHO-5 Well-Being Questionnaire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{"citationItems":[{"id":"ITEM-1","itemData":{"DOI":"10.1159/000376585","ISSN":"14230348","PMID":"25831962","abstract":"Background: The 5-item World Health Organization Well-Being Index (WHO-5) is among the most widely used questionnaires assessing subjective psychological well-being. Since its first publication in 1998, the WHO-5 has been translated into more than 30 languages and has been used in research studies all over the world. We now provide a systematic review of the literature on the WHO-5. Methods: We conducted a systematic search for literature on the WHO-5 in PubMed and PsycINFO in accordance with the PRISMA guidelines. In our review of the identified articles, we focused particularly on the following aspects: (1) the clinimetric validity of the WHO-5; (2) the responsiveness/sensitivity of the WHO-5 in controlled clinical trials; (3) the potential of the WHO-5 as a screening tool for depression, and (4) the applicability of the WHO-5 across study fields. Results: A total of 213 articles met the predefined criteria for inclusion in the review. The review demonstrated that the WHO-5 has high clinimetric validity, can be used as an outcome measure balancing the wanted and unwanted effects of treatments, is a sensitive and specific screening tool for depression and its applicability across study fields is very high. Conclusions: The WHO-5 is a short questionnaire consisting of 5 simple and non-invasive questions, which tap into the subjective well-being of the respondents. The scale has adequate validity both as a screening tool for depression and as an outcome measure in clinical trials and has been applied successfully across a wide range of study fields.","author":[{"dropping-particle":"","family":"Topp","given":"Christian Winther","non-dropping-particle":"","parse-names":false,"suffix":""},{"dropping-particle":"","family":"Østergaard","given":"Søren Dinesen","non-dropping-particle":"","parse-names":false,"suffix":""},{"dropping-particle":"","family":"Søndergaard","given":"Susan","non-dropping-particle":"","parse-names":false,"suffix":""},{"dropping-particle":"","family":"Bech","given":"Per","non-dropping-particle":"","parse-names":false,"suffix":""}],"container-title":"Psychotherapy and Psychosomatics","id":"ITEM-1","issue":"3","issued":{"date-parts":[["2015"]]},"page":"167-176","title":"The WHO-5 well-being index: A systematic review of the literature","type":"article-journal","volume":"84"},"uris":["http://www.mendeley.com/documents/?uuid=a967981a-d59e-47d3-90bb-79fdbff0b4fe"]}],"mendeley":{"formattedCitation":"(Topp et al., 2015)","plainTextFormattedCitation":"(Topp et al., 2015)","previouslyFormattedCitation":"(Topp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(Topp et al., 2015)</w:t>
      </w:r>
      <w:r w:rsidRPr="005459E6">
        <w:rPr>
          <w:rFonts w:ascii="Times New Roman" w:hAnsi="Times New Roman" w:cs="Times New Roman"/>
        </w:rPr>
        <w:fldChar w:fldCharType="end"/>
      </w:r>
      <w:r w:rsidRPr="005459E6">
        <w:rPr>
          <w:rFonts w:ascii="Times New Roman" w:hAnsi="Times New Roman" w:cs="Times New Roman"/>
        </w:rPr>
        <w:t xml:space="preserve">, which can be used for the same purpose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{"citationItems":[{"id":"ITEM-1","itemData":{"DOI":"10.1186/s12995-021-00297-0","ISSN":"17456673","abstract":"Background: Mental well-being and work engagement are both desirable, positive states of mind that help employees to better function in the workplace. While occupational researchers have argued in favor of considering both states concurrently, it is less clear how this might be translated to provide an instrument characterizing the workforce accordingly. The present study describes empirical efforts to operationalize a construct called engaged well-being. Methods: We used employee-level data (n = 13,538) from three waves of the German linked personnel panel (LPP; 2012–2017). Exploratory factor analysis and a combination of hierarchical and non-hierarchical cluster analyses linked with within-sum-of-squares statistics were used to identify distinct profiles describing mental well-being and work engagement concurrently. These profiles were then used as the basis to identify cut-offs to create replicable categories of engaged well-being. Using the longitudinal data from a subgroup providing data across more than one wave, we observed whether the newly constructed indicator changed over time. Results: The exploratory factor analysis suggested that both states were two distinct factors. Cluster analysis linked with within-sum-of-squares statistics suggested a four-cluster solution: engaged well-being (46.9%), disengaged well-being (27.5%), engaged strain (8.8%), and disengaged strain (16.8%). One cut-off for each state was identified to replicate the cluster solution. Across observation periods, we could observe changes in engaged well-being. Conclusions: Our measure of engaged well-being can be used to simultaneously characterize a workforce’s mental well-being and work engagement. Changes in this measure over time suggest its potential utility in organizational interventions. Future studies are needed to further explore both the antecedents, correlates, and potential effects of engaged well-being.","author":[{"dropping-particle":"","family":"Bosle","given":"Catherin","non-dropping-particle":"","parse-names":false,"suffix":""},{"dropping-particle":"","family":"Fischer","given":"Joachim E.","non-dropping-particle":"","parse-names":false,"suffix":""},{"dropping-particle":"","family":"Herr","given":"Raphael M.","non-dropping-particle":"","parse-names":false,"suffix":""}],"container-title":"Journal of Occupational Medicine and Toxicology","id":"ITEM-1","issue":"1","issued":{"date-parts":[["2021"]]},"page":"1-12","publisher":"Journal of Occupational Medicine and Toxicology","title":"Creating a measure to operationalize engaged well-being at work","type":"article-journal","volume":"16"},"uris":["http://www.mendeley.com/documents/?uuid=6e802749-136c-45ed-9029-d7f606b58475"]}],"mendeley":{"formattedCitation":"(Bosle et al., 2021)","plainTextFormattedCitation":"(Bosle et al., 2021)","previouslyFormattedCitation":"(Bosle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(Bosle et al., 2021)</w:t>
      </w:r>
      <w:r w:rsidRPr="005459E6">
        <w:rPr>
          <w:rFonts w:ascii="Times New Roman" w:hAnsi="Times New Roman" w:cs="Times New Roman"/>
        </w:rPr>
        <w:fldChar w:fldCharType="end"/>
      </w:r>
      <w:r w:rsidRPr="005459E6">
        <w:rPr>
          <w:rFonts w:ascii="Times New Roman" w:hAnsi="Times New Roman" w:cs="Times New Roman"/>
        </w:rPr>
        <w:t>.</w:t>
      </w:r>
    </w:p>
    <w:p w14:paraId="4B6A0490" w14:textId="77777777" w:rsidR="00A23605"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policy","type":"article-journal","volume":"19"},"uris":["http://www.mendeley.com/documents/?uuid=dc661d3f-5659-4ad6-adc4-3f5d1ebda0c6"]}],"mendeley":{"formattedCitation":"(Trudel-Fitzgerald et al., 2019)","manualFormatting":"Trudel-Fitzgerald et al. (2019)","plainTextFormattedCitation":"(Trudel-Fitzgerald et al., 2019)","previouslyFormattedCitation":"(Trudel-Fitzgerald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Trudel-Fitzgerald et al. (2019)</w:t>
      </w:r>
      <w:r w:rsidRPr="005459E6">
        <w:rPr>
          <w:rFonts w:ascii="Times New Roman" w:hAnsi="Times New Roman" w:cs="Times New Roman"/>
        </w:rPr>
        <w:fldChar w:fldCharType="end"/>
      </w:r>
      <w:r w:rsidRPr="005459E6">
        <w:rPr>
          <w:rFonts w:ascii="Times New Roman" w:hAnsi="Times New Roman" w:cs="Times New Roman"/>
        </w:rPr>
        <w:t xml:space="preserve">, Well-being is a complex and multifaceted construct. Its measures are sometimes divided into objective measures and subjective measures that are based on the cognitive judgments of an individual. When these measures relate to psychological aspects, they are referred to as measures of psychological well-being. The sentiments of feeling happy, joyful, cheerful and excited are often included to assess their positive impact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policy","type":"article-journal","volume":"19"},"uris":["http://www.mendeley.com/documents/?uuid=dc661d3f-5659-4ad6-adc4-3f5d1ebda0c6"]}],"mendeley":{"formattedCitation":"(Trudel-Fitzgerald et al., 2019)","plainTextFormattedCitation":"(Trudel-Fitzgerald et al., 2019)","previouslyFormattedCitation":"(Trudel-Fitzgerald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(Trudel-Fitzgerald et al., 2019)</w:t>
      </w:r>
      <w:r w:rsidRPr="005459E6">
        <w:rPr>
          <w:rFonts w:ascii="Times New Roman" w:hAnsi="Times New Roman" w:cs="Times New Roman"/>
        </w:rPr>
        <w:fldChar w:fldCharType="end"/>
      </w:r>
      <w:r w:rsidRPr="005459E6">
        <w:rPr>
          <w:rFonts w:ascii="Times New Roman" w:hAnsi="Times New Roman" w:cs="Times New Roman"/>
        </w:rPr>
        <w:t xml:space="preserve"> on Psychological well-being. As adapted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{"citationItems":[{"id":"ITEM-1","itemData":{"DOI":"10.1177/1754073917697824","ISSN":"17540739","abstract":"A paradigm shift in public health and medicine has broadened the field from a singular focus on the ill effects of negative states and psychopathology to an expanded view that examines protective psychological assets that may promote improved physical health and longevity. We summarize recent evidence of the link between psychological well-being (including positive affect, optimism, life meaning and purpose, and life satisfaction) and physical health, with particular attention to outcomes of mortality and chronic disease incidence and progression. Within this evolving discipline there remain controversies and lessons to be learned. We discuss measurement-related challenges, concerns about the quality of the evidence, and other shortcomings in the field, along with a brief discussion of hypothesized biobehavioral mechanisms involved. Finally, we suggest next steps to move the field forward.","author":[{"dropping-particle":"","family":"Hernandez","given":"Rosalba","non-dropping-particle":"","parse-names":false,"suffix":""},{"dropping-particle":"","family":"Bassett","given":"Sarah M.","non-dropping-particle":"","parse-names":false,"suffix":""},{"dropping-particle":"","family":"Boughton","given":"Seth W.","non-dropping-particle":"","parse-names":false,"suffix":""},{"dropping-particle":"","family":"Schuette","given":"Stephanie A.","non-dropping-particle":"","parse-names":false,"suffix":""},{"dropping-particle":"","family":"Shiu","given":"Eva W.","non-dropping-particle":"","parse-names":false,"suffix":""},{"dropping-particle":"","family":"Moskowitz","given":"Judith T.","non-dropping-particle":"","parse-names":false,"suffix":""}],"container-title":"Emotion Review","id":"ITEM-1","issue":"1","issued":{"date-parts":[["2018"]]},"page":"18-29","title":"Psychological Well-Being and Physical Health: Associations, Mechanisms, and Future Directions","type":"article-journal","volume":"10"},"uris":["http://www.mendeley.com/documents/?uuid=6fd8a9a9-2729-4160-9739-c5d42b4ecb05"]}],"mendeley":{"formattedCitation":"(Hernandez et al., 2018)","manualFormatting":"Hernandez et al. (2018)","plainTextFormattedCitation":"(Hernandez et al., 2018)","previouslyFormattedCitation":"(Hernandez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Hernandez et al. (2018)</w:t>
      </w:r>
      <w:r w:rsidRPr="005459E6">
        <w:rPr>
          <w:rFonts w:ascii="Times New Roman" w:hAnsi="Times New Roman" w:cs="Times New Roman"/>
        </w:rPr>
        <w:fldChar w:fldCharType="end"/>
      </w:r>
      <w:r w:rsidRPr="005459E6">
        <w:rPr>
          <w:rFonts w:ascii="Times New Roman" w:hAnsi="Times New Roman" w:cs="Times New Roman"/>
        </w:rPr>
        <w:t xml:space="preserve">, psychological well-being is the subjective experience of a positive degree of feelings. </w:t>
      </w:r>
    </w:p>
    <w:p w14:paraId="44CA0A49" w14:textId="5CBC832F"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The research further states that Psychological Well-being has cognitive appraisals, including in the form of lower activation </w:t>
      </w:r>
      <w:r w:rsidR="00781CB7">
        <w:rPr>
          <w:rFonts w:ascii="Times New Roman" w:hAnsi="Times New Roman" w:cs="Times New Roman"/>
        </w:rPr>
        <w:t>‘</w:t>
      </w:r>
      <w:r w:rsidRPr="005459E6">
        <w:rPr>
          <w:rFonts w:ascii="Times New Roman" w:hAnsi="Times New Roman" w:cs="Times New Roman"/>
        </w:rPr>
        <w:t>affects</w:t>
      </w:r>
      <w:r w:rsidR="00781CB7">
        <w:rPr>
          <w:rFonts w:ascii="Times New Roman" w:hAnsi="Times New Roman" w:cs="Times New Roman"/>
        </w:rPr>
        <w:t>’</w:t>
      </w:r>
      <w:r w:rsidRPr="005459E6">
        <w:rPr>
          <w:rFonts w:ascii="Times New Roman" w:hAnsi="Times New Roman" w:cs="Times New Roman"/>
        </w:rPr>
        <w:t xml:space="preserve"> (such as relaxations), as well as higher activation </w:t>
      </w:r>
      <w:r w:rsidR="00781CB7">
        <w:rPr>
          <w:rFonts w:ascii="Times New Roman" w:hAnsi="Times New Roman" w:cs="Times New Roman"/>
        </w:rPr>
        <w:t>‘</w:t>
      </w:r>
      <w:r w:rsidRPr="005459E6">
        <w:rPr>
          <w:rFonts w:ascii="Times New Roman" w:hAnsi="Times New Roman" w:cs="Times New Roman"/>
        </w:rPr>
        <w:t>affects</w:t>
      </w:r>
      <w:r w:rsidR="00781CB7">
        <w:rPr>
          <w:rFonts w:ascii="Times New Roman" w:hAnsi="Times New Roman" w:cs="Times New Roman"/>
        </w:rPr>
        <w:t>’</w:t>
      </w:r>
      <w:r w:rsidRPr="005459E6">
        <w:rPr>
          <w:rFonts w:ascii="Times New Roman" w:hAnsi="Times New Roman" w:cs="Times New Roman"/>
        </w:rPr>
        <w:t xml:space="preserve"> (such as excitement). However, psychological well-being can be operationalized with indicators that represent positively valenced emotion, such as positive affect, emotional vitality, and happiness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{"citationItems":[{"id":"ITEM-1","itemData":{"DOI":"10.1037/a0027448","ISBN":"1939-1455(Electronic),0033-2909(Print)","abstract":"This review investigates the association between positive psychological well-being (PPWB) and cardiovascular disease (CVD). We also consider the mechanisms by which PPWB may be linked with CVD, focusing on the health behaviors (e.g., smoking, alcohol consumption, physical activity, sleep quality and quantity, and food consumption) and biological functions (e.g., cardiovascular, inflammatory, and metabolic processes) that are most relevant for cardiovascular health. Because PPWB is a broad concept, not all aspects of PPWB may be associated with cardiovascular health. Thus, we distinguish between eudaimonic well-being, hedonic well-being, optimism, and other measures of well-being when reviewing the literature. Findings suggest that PPWB protects consistently against CVD, independently of traditional risk factors and ill-being. Specifically, optimism is most robustly associated with a reduced risk of cardiovascular events. In general, PPWB is also positively associated with restorative health behaviors and biological function and inversely associated with deteriorative health behaviors and biological function. Cardiovascular health is more consistently associated with optimism and hedonic well-being than with eudaimonic well-being, although this could be due in part to more limited evidence being available concerning eudaimonic well-being. Some similarities were also evident across different measures of PPWB, which is likely due to measurement overlap. A theoretical context for this research is provided, and suggestions for future research are given, including the need for additional prospective investigations and research that includes multiple constructs of psychological well-being and ill-being. (PsycInfo Database Record (c) 2020 APA, all rights reserved)","author":[{"dropping-particle":"","family":"Boehm","given":"Julia K","non-dropping-particle":"","parse-names":false,"suffix":""},{"dropping-particle":"","family":"Kubzansky","given":"Laura D","non-dropping-particle":"","parse-names":false,"suffix":""}],"container-title":"Psychological Bulletin","id":"ITEM-1","issue":"4","issued":{"date-parts":[["2012"]]},"page":"655-691","publisher":"American Psychological Association","publisher-place":"Boehm, Julia K.: Department of Society, Human Development, and Health, Harvard School of Public Health, Landmark Center, Room 428A, 401 Park Drive, Boston, MA, US, 02215, jboehm@hsph.harvard.edu","title":"The heart's content: The association between positive psychological well-being and cardiovascular health.","type":"article","volume":"138"},"uris":["http://www.mendeley.com/documents/?uuid=f1806af5-fc76-4d70-a74f-38b17b9beb4f"]},{"id":"ITEM-2","itemData":{"DOI":"10.1098/rstb.2004.1521","ISSN":"09628436","PMID":"15347530","abstract":"Two key types of well-being, eudaimonic and hedonic, are reviewed. The first addresses ideas of self-development, personal growth and purposeful engagement, while the second is concerned with positive feelings such as happiness and contentment. How well-being varies by age and socio-economic standing is briefly summarized, followed by examination of its biological correlates (neuroendocrine, immune, cardiovascular, rapid eye movement (REM) sleep). Preliminary findings on a sample of ageing women showed that those with higher levels of eudaimonic well-being had lower levels of daily salivary cortisol, pro-inflammatory cytokines, cardiovascular risk, and longer duration REM sleep compared with those showing lower levels of eudaimonic well-being. Hedonic well-being, however, showed minimal linkage to biomarker assessments. Future research directions building on these initial findings are discussed.","author":[{"dropping-particle":"","family":"Ryff","given":"Carol D.","non-dropping-particle":"","parse-names":false,"suffix":""},{"dropping-particle":"","family":"Singer","given":"Burton H.","non-dropping-particle":"","parse-names":false,"suffix":""},{"dropping-particle":"","family":"Love","given":"Gayle Dienberg","non-dropping-particle":"","parse-names":false,"suffix":""}],"container-title":"Philosophical Transactions of the Royal Society B: Biological Sciences","id":"ITEM-2","issue":"1449","issued":{"date-parts":[["2004"]]},"page":"1383-1394","title":"Positive health: Connecting well-being with biology","type":"article-journal","volume":"359"},"uris":["http://www.mendeley.com/documents/?uuid=c90fab42-1814-43e9-af54-dc5aa92fa09a"]}],"mendeley":{"formattedCitation":"(Boehm &amp; Kubzansky, 2012; Ryff et al., 2004)","plainTextFormattedCitation":"(Boehm &amp; Kubzansky, 2012; Ryff et al., 2004)","previouslyFormattedCitation":"(Boehm &amp; Kubzansky, 2012; Ryff et al.,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(Boehm &amp; Kubzansky, 2012; Ryff et al., 2004)</w:t>
      </w:r>
      <w:r w:rsidRPr="005459E6">
        <w:rPr>
          <w:rFonts w:ascii="Times New Roman" w:hAnsi="Times New Roman" w:cs="Times New Roman"/>
        </w:rPr>
        <w:fldChar w:fldCharType="end"/>
      </w:r>
      <w:r w:rsidRPr="005459E6">
        <w:rPr>
          <w:rFonts w:ascii="Times New Roman" w:hAnsi="Times New Roman" w:cs="Times New Roman"/>
        </w:rPr>
        <w:t>.</w:t>
      </w:r>
    </w:p>
    <w:p w14:paraId="15F9750E"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noProof/>
        </w:rPr>
        <w:drawing>
          <wp:anchor distT="0" distB="0" distL="114300" distR="114300" simplePos="0" relativeHeight="251666944" behindDoc="1" locked="0" layoutInCell="1" allowOverlap="1" wp14:anchorId="35A885CA" wp14:editId="1D2172FF">
            <wp:simplePos x="0" y="0"/>
            <wp:positionH relativeFrom="margin">
              <wp:posOffset>75565</wp:posOffset>
            </wp:positionH>
            <wp:positionV relativeFrom="paragraph">
              <wp:posOffset>45085</wp:posOffset>
            </wp:positionV>
            <wp:extent cx="3186430" cy="1951990"/>
            <wp:effectExtent l="0" t="0" r="0" b="0"/>
            <wp:wrapTight wrapText="bothSides">
              <wp:wrapPolygon edited="0">
                <wp:start x="0" y="0"/>
                <wp:lineTo x="0" y="21291"/>
                <wp:lineTo x="21436" y="21291"/>
                <wp:lineTo x="21436" y="0"/>
                <wp:lineTo x="0" y="0"/>
              </wp:wrapPolygon>
            </wp:wrapTight>
            <wp:docPr id="17" name="Picture 1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rotWithShape="1">
                    <a:blip r:embed="rId12" cstate="print">
                      <a:extLst>
                        <a:ext uri="{28A0092B-C50C-407E-A947-70E740481C1C}">
                          <a14:useLocalDpi xmlns:a14="http://schemas.microsoft.com/office/drawing/2010/main" val="0"/>
                        </a:ext>
                      </a:extLst>
                    </a:blip>
                    <a:srcRect r="2015" b="11798"/>
                    <a:stretch/>
                  </pic:blipFill>
                  <pic:spPr bwMode="auto">
                    <a:xfrm>
                      <a:off x="0" y="0"/>
                      <a:ext cx="3186430" cy="195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9E6">
        <w:rPr>
          <w:rFonts w:ascii="Times New Roman" w:hAnsi="Times New Roman" w:cs="Times New Roman"/>
        </w:rPr>
        <w:t xml:space="preserve">It can also refer to neutral or negative emotions that eventually lead to the formation of pleasant sensations in the future.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{"citationItems":[{"id":"ITEM-1","itemData":{"DOI":"10.1177/1754073917697824","ISSN":"17540739","abstract":"A paradigm shift in public health and medicine has broadened the field from a singular focus on the ill effects of negative states and psychopathology to an expanded view that examines protective psychological assets that may promote improved physical health and longevity. We summarize recent evidence of the link between psychological well-being (including positive affect, optimism, life meaning and purpose, and life satisfaction) and physical health, with particular attention to outcomes of mortality and chronic disease incidence and progression. Within this evolving discipline there remain controversies and lessons to be learned. We discuss measurement-related challenges, concerns about the quality of the evidence, and other shortcomings in the field, along with a brief discussion of hypothesized biobehavioral mechanisms involved. Finally, we suggest next steps to move the field forward.","author":[{"dropping-particle":"","family":"Hernandez","given":"Rosalba","non-dropping-particle":"","parse-names":false,"suffix":""},{"dropping-particle":"","family":"Bassett","given":"Sarah M.","non-dropping-particle":"","parse-names":false,"suffix":""},{"dropping-particle":"","family":"Boughton","given":"Seth W.","non-dropping-particle":"","parse-names":false,"suffix":""},{"dropping-particle":"","family":"Schuette","given":"Stephanie A.","non-dropping-particle":"","parse-names":false,"suffix":""},{"dropping-particle":"","family":"Shiu","given":"Eva W.","non-dropping-particle":"","parse-names":false,"suffix":""},{"dropping-particle":"","family":"Moskowitz","given":"Judith T.","non-dropping-particle":"","parse-names":false,"suffix":""}],"container-title":"Emotion Review","id":"ITEM-1","issue":"1","issued":{"date-parts":[["2018"]]},"page":"18-29","title":"Psychological Well-Being and Physical Health: Associations, Mechanisms, and Future Directions","type":"article-journal","volume":"10"},"uris":["http://www.mendeley.com/documents/?uuid=6fd8a9a9-2729-4160-9739-c5d42b4ecb05"]}],"mendeley":{"formattedCitation":"(Hernandez et al., 2018)","manualFormatting":"Hernandez et al. (2018)","plainTextFormattedCitation":"(Hernandez et al., 2018)","previouslyFormattedCitation":"(Hernandez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Hernandez et al. (2018)</w:t>
      </w:r>
      <w:r w:rsidRPr="005459E6">
        <w:rPr>
          <w:rFonts w:ascii="Times New Roman" w:hAnsi="Times New Roman" w:cs="Times New Roman"/>
        </w:rPr>
        <w:fldChar w:fldCharType="end"/>
      </w:r>
      <w:r w:rsidRPr="005459E6">
        <w:rPr>
          <w:rFonts w:ascii="Times New Roman" w:hAnsi="Times New Roman" w:cs="Times New Roman"/>
        </w:rPr>
        <w:t>, the most relevant indices of well-being are related to neutral or negative emotions that ultimately support the creation of good experiences and cognitions in the future.</w:t>
      </w:r>
    </w:p>
    <w:p w14:paraId="1E0C4818" w14:textId="16736953" w:rsidR="00B42ABB" w:rsidRPr="005459E6" w:rsidRDefault="00B42ABB" w:rsidP="00B42ABB">
      <w:pPr>
        <w:spacing w:line="360" w:lineRule="auto"/>
        <w:jc w:val="both"/>
        <w:rPr>
          <w:rFonts w:ascii="Times New Roman" w:hAnsi="Times New Roman" w:cs="Times New Roman"/>
        </w:rPr>
      </w:pPr>
      <w:bookmarkStart w:id="79" w:name="_Toc96343296"/>
      <w:bookmarkStart w:id="80" w:name="_Toc99915972"/>
      <w:bookmarkStart w:id="81" w:name="_Toc104968789"/>
      <w:r w:rsidRPr="005459E6">
        <w:rPr>
          <w:rFonts w:ascii="Times New Roman" w:hAnsi="Times New Roman" w:cs="Times New Roman"/>
          <w:bCs/>
        </w:rPr>
        <w:t xml:space="preserve">Figure </w:t>
      </w:r>
      <w:r w:rsidRPr="005459E6">
        <w:rPr>
          <w:rFonts w:ascii="Times New Roman" w:hAnsi="Times New Roman" w:cs="Times New Roman"/>
          <w:bCs/>
        </w:rPr>
        <w:fldChar w:fldCharType="begin"/>
      </w:r>
      <w:r w:rsidRPr="005459E6">
        <w:rPr>
          <w:rFonts w:ascii="Times New Roman" w:hAnsi="Times New Roman" w:cs="Times New Roman"/>
          <w:bCs/>
        </w:rPr>
        <w:instrText xml:space="preserve"> SEQ Figure \* ARABIC </w:instrText>
      </w:r>
      <w:r w:rsidRPr="005459E6">
        <w:rPr>
          <w:rFonts w:ascii="Times New Roman" w:hAnsi="Times New Roman" w:cs="Times New Roman"/>
          <w:bCs/>
        </w:rPr>
        <w:fldChar w:fldCharType="separate"/>
      </w:r>
      <w:r w:rsidR="006C645B">
        <w:rPr>
          <w:rFonts w:ascii="Times New Roman" w:hAnsi="Times New Roman" w:cs="Times New Roman"/>
          <w:bCs/>
          <w:noProof/>
        </w:rPr>
        <w:t>3</w:t>
      </w:r>
      <w:r w:rsidRPr="005459E6">
        <w:rPr>
          <w:rFonts w:ascii="Times New Roman" w:hAnsi="Times New Roman" w:cs="Times New Roman"/>
          <w:bCs/>
          <w:noProof/>
        </w:rPr>
        <w:fldChar w:fldCharType="end"/>
      </w:r>
      <w:r w:rsidRPr="005459E6">
        <w:rPr>
          <w:rFonts w:ascii="Times New Roman" w:hAnsi="Times New Roman" w:cs="Times New Roman"/>
        </w:rPr>
        <w:t>: Conception and Categorization of Psychological Well-being</w:t>
      </w:r>
      <w:bookmarkEnd w:id="79"/>
      <w:bookmarkEnd w:id="80"/>
      <w:bookmarkEnd w:id="81"/>
    </w:p>
    <w:p w14:paraId="6ED55C95" w14:textId="77777777" w:rsidR="00A52813"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As indicated in </w:t>
      </w:r>
      <w:r w:rsidRPr="005459E6">
        <w:rPr>
          <w:rFonts w:ascii="Times New Roman" w:hAnsi="Times New Roman" w:cs="Times New Roman"/>
          <w:b/>
          <w:bCs/>
        </w:rPr>
        <w:t>Figure 3</w:t>
      </w:r>
      <w:r w:rsidRPr="005459E6">
        <w:rPr>
          <w:rFonts w:ascii="Times New Roman" w:hAnsi="Times New Roman" w:cs="Times New Roman"/>
        </w:rPr>
        <w:t xml:space="preserve">, other theoretical dimensions have been proposed to characterize Psychological Well-being, such as hedonic well-being, eudaimonic well-being, and other blended constructs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policy","type":"article-journal","volume":"19"},"uris":["http://www.mendeley.com/documents/?uuid=dc661d3f-5659-4ad6-adc4-3f5d1ebda0c6"]}],"mendeley":{"formattedCitation":"(Trudel-Fitzgerald et al., 2019)","plainTextFormattedCitation":"(Trudel-Fitzgerald et al., 2019)","previouslyFormattedCitation":"(Trudel-Fitzgerald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(Trudel-Fitzgerald et al., 2019)</w:t>
      </w:r>
      <w:r w:rsidRPr="005459E6">
        <w:rPr>
          <w:rFonts w:ascii="Times New Roman" w:hAnsi="Times New Roman" w:cs="Times New Roman"/>
        </w:rPr>
        <w:fldChar w:fldCharType="end"/>
      </w:r>
      <w:r w:rsidRPr="005459E6">
        <w:rPr>
          <w:rFonts w:ascii="Times New Roman" w:hAnsi="Times New Roman" w:cs="Times New Roman"/>
        </w:rPr>
        <w:t xml:space="preserve">. Well-being can be thought of as a multifaceted construct with two domains: hedonic and eudaimonic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{"citationItems":[{"id":"ITEM-1","itemData":{"DOI":"10.1007/s10902-006-9018-1","ISSN":"13894978","abstract":"Research on well-being can be thought of as falling into two traditions. In one-the hedonistic tradition-the focus is on happiness, generally defined as the presence of positive affect and the absence of negative affect. In the other-the eudaimonic tradition-the focus is on living life in a full and deeply satisfying way. Recognizing that much recent research on well-being has been more closely aligned with the hedonistic tradition, this special issue presents discussions and research reviews from the eudaimonic tradition, making clear how the concept of eudaimonia adds an important perspective to our understanding of well-being. © 2006 Springer Science+Business Media B.V.","author":[{"dropping-particle":"","family":"Deci","given":"Edward L.","non-dropping-particle":"","parse-names":false,"suffix":""},{"dropping-particle":"","family":"Ryan","given":"Richard M.","non-dropping-particle":"","parse-names":false,"suffix":""}],"container-title":"Journal of Happiness Studies","id":"ITEM-1","issue":"1","issued":{"date-parts":[["2008"]]},"page":"1-11","title":"Hedonia, eudaimonia, and well-being: An introduction","type":"article-journal","volume":"9"},"uris":["http://www.mendeley.com/documents/?uuid=f7413057-f249-4bc7-9f85-5b7992a38739"]},{"id":"ITEM-2","itemData":{"DOI":"10.1098/rstb.2004.1521","ISSN":"09628436","PMID":"15347530","abstract":"Two key types of well-being, eudaimonic and hedonic, are reviewed. The first addresses ideas of self-development, personal growth and purposeful engagement, while the second is concerned with positive feelings such as happiness and contentment. How well-being varies by age and socio-economic standing is briefly summarized, followed by examination of its biological correlates (neuroendocrine, immune, cardiovascular, rapid eye movement (REM) sleep). Preliminary findings on a sample of ageing women showed that those with higher levels of eudaimonic well-being had lower levels of daily salivary cortisol, pro-inflammatory cytokines, cardiovascular risk, and longer duration REM sleep compared with those showing lower levels of eudaimonic well-being. Hedonic well-being, however, showed minimal linkage to biomarker assessments. Future research directions building on these initial findings are discussed.","author":[{"dropping-particle":"","family":"Ryff","given":"Carol D.","non-dropping-particle":"","parse-names":false,"suffix":""},{"dropping-particle":"","family":"Singer","given":"Burton H.","non-dropping-particle":"","parse-names":false,"suffix":""},{"dropping-particle":"","family":"Love","given":"Gayle Dienberg","non-dropping-particle":"","parse-names":false,"suffix":""}],"container-title":"Philosophical Transactions of the Royal Society B: Biological Sciences","id":"ITEM-2","issue":"1449","issued":{"date-parts":[["2004"]]},"page":"1383-1394","title":"Positive health: Connecting well-being with biology","type":"article-journal","volume":"359"},"uris":["http://www.mendeley.com/documents/?uuid=c90fab42-1814-43e9-af54-dc5aa92fa09a"]},{"id":"ITEM-3","itemData":{"DOI":"10.1186/2211-1522-2-3","ISSN":"2211-1522","abstract":"The objectives of the study were to explore a self-report measure for psychological well-being and to investigate the relationship between psychological well-being and psychological distress.","author":[{"dropping-particle":"","family":"Winefield","given":"Helen R","non-dropping-particle":"","parse-names":false,"suffix":""},{"dropping-particle":"","family":"Gill","given":"Tiffany K","non-dropping-particle":"","parse-names":false,"suffix":""},{"dropping-particle":"","family":"Taylor","given":"Anne W","non-dropping-particle":"","parse-names":false,"suffix":""},{"dropping-particle":"","family":"Pilkington","given":"Rhiannon M","non-dropping-particle":"","parse-names":false,"suffix":""}],"container-title":"Psychology of Well-Being: Theory, Research and Practice","id":"ITEM-3","issue":"1","issued":{"date-parts":[["2012"]]},"page":"3","title":"Psychological well-being and psychological distress: is it necessary to measure both?","type":"article-journal","volume":"2"},"uris":["http://www.mendeley.com/documents/?uuid=c8ea1c3e-bb35-48e4-b2e9-2ce6b344de61"]}],"mendeley":{"formattedCitation":"(Deci &amp; Ryan, 2008; Ryff et al., 2004; Winefield et al., 2012)","plainTextFormattedCitation":"(Deci &amp; Ryan, 2008; Ryff et al., 2004; Winefield et al., 2012)","previouslyFormattedCitation":"(Deci &amp; Ryan, 2008; Ryff et al., 2004; Winefield et al.,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(Deci &amp; Ryan, 2008; Ryff et al., 2004; Winefield et al., 2012)</w:t>
      </w:r>
      <w:r w:rsidRPr="005459E6">
        <w:rPr>
          <w:rFonts w:ascii="Times New Roman" w:hAnsi="Times New Roman" w:cs="Times New Roman"/>
        </w:rPr>
        <w:fldChar w:fldCharType="end"/>
      </w:r>
      <w:r w:rsidRPr="005459E6">
        <w:rPr>
          <w:rFonts w:ascii="Times New Roman" w:hAnsi="Times New Roman" w:cs="Times New Roman"/>
        </w:rPr>
        <w:t xml:space="preserve">. The hedonic domain is concerned with pleasure, whereas the eudaimonic domain is concerned with happiness. </w:t>
      </w:r>
    </w:p>
    <w:p w14:paraId="5836886D" w14:textId="5743720B"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b/>
          <w:bCs/>
        </w:rPr>
        <w:t>Figure 4</w:t>
      </w:r>
      <w:r w:rsidRPr="005459E6">
        <w:rPr>
          <w:rFonts w:ascii="Times New Roman" w:hAnsi="Times New Roman" w:cs="Times New Roman"/>
        </w:rPr>
        <w:t xml:space="preserve"> shows that hedonic well-being is associated with happiness and </w:t>
      </w:r>
      <w:r w:rsidR="00F42435" w:rsidRPr="005459E6">
        <w:rPr>
          <w:rFonts w:ascii="Times New Roman" w:hAnsi="Times New Roman" w:cs="Times New Roman"/>
        </w:rPr>
        <w:t>positive</w:t>
      </w:r>
      <w:r w:rsidRPr="005459E6">
        <w:rPr>
          <w:rFonts w:ascii="Times New Roman" w:hAnsi="Times New Roman" w:cs="Times New Roman"/>
        </w:rPr>
        <w:t xml:space="preserve"> affect, whereas eudaimonic well-being is associated with purpose, self-actualization, and autonomy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{"citationItems":[{"id":"ITEM-1","itemData":{"DOI":"10.1007/s10902-006-9018-1","ISSN":"13894978","abstract":"Research on well-being can be thought of as falling into two traditions. In one-the hedonistic tradition-the focus is on happiness, generally defined as the presence of positive affect and the absence of negative affect. In the other-the eudaimonic tradition-the focus is on living life in a full and deeply satisfying way. Recognizing that much recent research on well-being has been more closely aligned with the hedonistic tradition, this special issue presents discussions and research reviews from the eudaimonic tradition, making clear how the concept of eudaimonia adds an important perspective to our understanding of well-being. © 2006 Springer Science+Business Media B.V.","author":[{"dropping-particle":"","family":"Deci","given":"Edward L.","non-dropping-particle":"","parse-names":false,"suffix":""},{"dropping-particle":"","family":"Ryan","given":"Richard M.","non-dropping-particle":"","parse-names":false,"suffix":""}],"container-title":"Journal of Happiness Studies","id":"ITEM-1","issue":"1","issued":{"date-parts":[["2008"]]},"page":"1-11","title":"Hedonia, eudaimonia, and well-being: An introduction","type":"article-journal","volume":"9"},"uris":["http://www.mendeley.com/documents/?uuid=f7413057-f249-4bc7-9f85-5b7992a38739"]}],"mendeley":{"formattedCitation":"(Deci &amp; Ryan, 2008)","plainTextFormattedCitation":"(Deci &amp; Ryan, 2008)","previouslyFormattedCitation":"(Deci &amp; Ryan,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(Deci &amp; Ryan, 2008)</w:t>
      </w:r>
      <w:r w:rsidRPr="005459E6">
        <w:rPr>
          <w:rFonts w:ascii="Times New Roman" w:hAnsi="Times New Roman" w:cs="Times New Roman"/>
        </w:rPr>
        <w:fldChar w:fldCharType="end"/>
      </w:r>
      <w:r w:rsidRPr="005459E6">
        <w:rPr>
          <w:rFonts w:ascii="Times New Roman" w:hAnsi="Times New Roman" w:cs="Times New Roman"/>
        </w:rPr>
        <w:t xml:space="preserve">. Although critics have questioned the meaningful partitioning between these two well-being domains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{"citationItems":[{"id":"ITEM-1","itemData":{"DOI":"10.1080/17439760802303044","ISBN":"1743976080230","ISSN":"17439760","abstract":"In recent years, well-being researchers have distinguished between eudaimonic happiness (e.g., meaning and purpose; taking part in activities that allow for the actualization of one's skills, talents, and potential) and hedonic happiness (e.g., high frequencies of positive affect, low frequencies of negative affect, and evaluating life as satisfying). Unfortunately, this distinction (rooted in philosophy) does not necessarily translate well to science. Among the problems of drawing too sharp a line between 'types of happiness' is the fact that eudaimonia is not well-defined and lacks consistent measurement. Moreover, empirical evidence currently suggests that hedonic and eudaimonic well-being overlap conceptually, and may represent psychological mechanisms that operate together. In this article, we outline the problems and costs of distinguishing between two types of happiness, and provide detailed recommendations for a research program on well-being with greater scientific precision.","author":[{"dropping-particle":"","family":"Kashdan","given":"Todd B.","non-dropping-particle":"","parse-names":false,"suffix":""},{"dropping-particle":"","family":"Biswas-Diener","given":"Robert","non-dropping-particle":"","parse-names":false,"suffix":""},{"dropping-particle":"","family":"King","given":"Laura A.","non-dropping-particle":"","parse-names":false,"suffix":""}],"container-title":"Journal of Positive Psychology","id":"ITEM-1","issue":"4","issued":{"date-parts":[["2008"]]},"page":"219-233","title":"Reconsidering happiness: The costs of distinguishing between hedonics and eudaimonia","type":"article-journal","volume":"3"},"uris":["http://www.mendeley.com/documents/?uuid=7cec6705-7fee-444e-978c-2cafab153452"]}],"mendeley":{"formattedCitation":"(Kashdan et al., 2008)","plainTextFormattedCitation":"(Kashdan et al., 2008)","previouslyFormattedCitation":"(Kashdan et al.,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(Kashdan et al., 2008)</w:t>
      </w:r>
      <w:r w:rsidRPr="005459E6">
        <w:rPr>
          <w:rFonts w:ascii="Times New Roman" w:hAnsi="Times New Roman" w:cs="Times New Roman"/>
        </w:rPr>
        <w:fldChar w:fldCharType="end"/>
      </w:r>
      <w:r w:rsidRPr="005459E6">
        <w:rPr>
          <w:rFonts w:ascii="Times New Roman" w:hAnsi="Times New Roman" w:cs="Times New Roman"/>
        </w:rPr>
        <w:t xml:space="preserve">, this study concentrates on hedonic well-being and its component that pertains to emotions for the fulfillment of the given study. </w:t>
      </w:r>
    </w:p>
    <w:p w14:paraId="3F1C90EB"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Feeling good and being able to operate efficiently are two aspects of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{"citationItems":[{"id":"ITEM-1","itemData":{"DOI":"10.1186/s12955-020-01423-y","ISSN":"14777525","PMID":"32560725","abstract":"Background: Recent trends on measurement of well-being have elevated the scientific standards and rigor associated with approaches for national and international comparisons of well-being. One major theme in this has been the shift toward multidimensional approaches over reliance on traditional metrics such as single measures (e.g. happiness, life satisfaction) or economic proxies (e.g. GDP). Methods: To produce a cohesive, multidimensional measure of well-being useful for providing meaningful insights for policy, we use data from 2006 and 2012 from the European Social Survey (ESS) to analyze well-being for 21 countries, involving approximately 40,000 individuals for each year. We refer collectively to the items used in the survey as multidimensional psychological well-being (MPWB). Results: The ten dimensions assessed are used to compute a single value standardized to the population, which supports broad assessment and comparison. It also increases the possibility of exploring individual dimensions of well-being useful for targeting interventions. Insights demonstrate what may be masked when limiting to single dimensions, which can create a failure to identify levers for policy interventions. Conclusions: We conclude that both the composite score and individual dimensions from this approach constitute valuable levels of analyses for exploring appropriate policies to protect and improve well-being.","author":[{"dropping-particle":"","family":"Ruggeri","given":"Kai","non-dropping-particle":"","parse-names":false,"suffix":""},{"dropping-particle":"","family":"Garcia-Garzon","given":"Eduardo","non-dropping-particle":"","parse-names":false,"suffix":""},{"dropping-particle":"","family":"Maguire","given":"Áine","non-dropping-particle":"","parse-names":false,"suffix":""},{"dropping-particle":"","family":"Matz","given":"Sandra","non-dropping-particle":"","parse-names":false,"suffix":""},{"dropping-particle":"","family":"Huppert","given":"Felicia A.","non-dropping-particle":"","parse-names":false,"suffix":""}],"container-title":"Health and Quality of Life Outcomes","id":"ITEM-1","issue":"1","issued":{"date-parts":[["2020"]]},"page":"1-16","publisher":"Health and Quality of Life Outcomes","title":"Well-being is more than happiness and life satisfaction: A multidimensional analysis of 21 countries","type":"article-journal","volume":"18"},"uris":["http://www.mendeley.com/documents/?uuid=9cc477f4-0fbf-4d8d-a297-86a29e030f2c"]},{"id":"ITEM-2","itemData":{"DOI":"10.1159/000353263.Psychological","abstract":"This article reviews the research and interventions that have grown up around a model of psychological well-being (Ryff, 1989) generated more than two decades ago to address neglected aspects of positive functioning, such as purposeful engagement in life, realization of personal talents and capacities, and enlightened self-knowledge. The conceptual origins of this formulation are revisited and scientific products emerging from six thematic areas are examined: (1) how well- being changes across adult development and later life, (2) what are the personality correlates of well-being, (3) how well-being is linked with experiences in family life, (4) how well-being relates to work and other community activities, (5) what are the connections between well-being and health, including biological risk factors, (6) and via clinical and intervention studies, how psychological well-being can be promoted for ever greater segments of society. Together, these topics illustrate flourishing interest across diverse scientific disciplines in understanding adults as striving, meaning-making, proactive organisms who are actively negotiating the challenges of life. A take-home message is that increasing evidence supports the health protective features of psychological well-being in reducing risk for disease and promoting length of life. A recurrent and increasingly important theme is resilience – the capacity to maintain or regain well-being in the face of adversity. Implications for future research and practice are considered.","author":[{"dropping-particle":"","family":"Ryff","given":"Carol D.","non-dropping-particle":"","parse-names":false,"suffix":""}],"container-title":"Psychother Psychosom","id":"ITEM-2","issue":"1","issued":{"date-parts":[["2015"]]},"page":"10-28","title":"Psychological Well-being Revisited: Advances in Science and Practice","type":"article-journal","volume":"83"},"uris":["http://www.mendeley.com/documents/?uuid=82bfb676-554e-44f0-9597-d265303f3077"]}],"mendeley":{"formattedCitation":"(Ruggeri et al., 2020; Ryff, 2015)","plainTextFormattedCitation":"(Ruggeri et al., 2020; Ryff, 2015)","previouslyFormattedCitation":"(Ruggeri et al., 2020; Ryff,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(Ruggeri et al., 2020; Ryff, 2015)</w:t>
      </w:r>
      <w:r w:rsidRPr="005459E6">
        <w:rPr>
          <w:rFonts w:ascii="Times New Roman" w:hAnsi="Times New Roman" w:cs="Times New Roman"/>
        </w:rPr>
        <w:fldChar w:fldCharType="end"/>
      </w:r>
      <w:r w:rsidRPr="005459E6">
        <w:rPr>
          <w:rFonts w:ascii="Times New Roman" w:hAnsi="Times New Roman" w:cs="Times New Roman"/>
        </w:rPr>
        <w:t xml:space="preserv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{"citationItems":[{"id":"ITEM-1","itemData":{"DOI":"10.1111/j.1758-0854.2009.01008.x","ISSN":"17580846","abstract":"This review focuses on positive aspects of well-being, or flourishing. It examines evidence for the causes of positive well-being and also its consequences, including beneficial effects for many aspects of cognitive functioning, health, and social relationships. The neurobiological basis of psychological well-being is examined, and recent data on brain activation and neurochemical pathways are presented. Individuals vary widely in their habitual level of psychological well-being, and there is evidence for a seminal role of social factors and the early environment in this process. It is often assumed that the drivers of well-being are the same as (but in the opposite direction to) the drivers of ill-being, but while this is true for some drivers, others have more selective effects. Future developments in the science of well-being and its application require a fresh approach—beyond targeting the alleviation of disorder to a focus on personal and interpersonal flourishing. A universal intervention approach is outlined which may both increase population flourishing and reduce common mental health problems.","author":[{"dropping-particle":"","family":"Huppert","given":"Felicia A","non-dropping-particle":"","parse-names":false,"suffix":""}],"container-title":"Applied Psychology: Health and Well-Being","id":"ITEM-1","issue":"2","issued":{"date-parts":[["2009"]]},"page":"137-164","title":"Psychological Well-being: Evidence Regarding its Causes and Consequences","type":"article-journal","volume":"1"},"uris":["http://www.mendeley.com/documents/?uuid=a61117fc-aa91-4c0c-8641-00fd9273002b"]}],"mendeley":{"formattedCitation":"(Huppert, 2009)","manualFormatting":"Huppert (2009)","plainTextFormattedCitation":"(Huppert, 2009)","previouslyFormattedCitation":"(Huppert, 2009)"},"properties":{"noteIndex":0},"schema":"https://github.com/citation-style-language/schema/raw/master/csl-citation.json"}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Huppert (2009)</w:t>
      </w:r>
      <w:r w:rsidRPr="005459E6">
        <w:rPr>
          <w:rFonts w:ascii="Times New Roman" w:hAnsi="Times New Roman" w:cs="Times New Roman"/>
        </w:rPr>
        <w:fldChar w:fldCharType="end"/>
      </w:r>
      <w:r w:rsidRPr="005459E6">
        <w:rPr>
          <w:rFonts w:ascii="Times New Roman" w:hAnsi="Times New Roman" w:cs="Times New Roman"/>
        </w:rPr>
        <w:t xml:space="preserve">, the mental state of a person can be jeopardized when negative emotions are intense or sustained longer and interfere with a person's ability to conduct their tasks. </w:t>
      </w:r>
    </w:p>
    <w:p w14:paraId="44C4F710" w14:textId="77777777" w:rsidR="0001521E" w:rsidRDefault="00A52813" w:rsidP="00B42ABB">
      <w:pPr>
        <w:spacing w:line="360" w:lineRule="auto"/>
        <w:jc w:val="both"/>
        <w:rPr>
          <w:rFonts w:ascii="Times New Roman" w:hAnsi="Times New Roman" w:cs="Times New Roman"/>
        </w:rPr>
      </w:pPr>
      <w:r w:rsidRPr="005459E6">
        <w:rPr>
          <w:rFonts w:ascii="Times New Roman" w:hAnsi="Times New Roman" w:cs="Times New Roman"/>
          <w:noProof/>
        </w:rPr>
        <w:lastRenderedPageBreak/>
        <w:drawing>
          <wp:anchor distT="0" distB="0" distL="114300" distR="114300" simplePos="0" relativeHeight="251671040" behindDoc="1" locked="0" layoutInCell="1" allowOverlap="1" wp14:anchorId="27456798" wp14:editId="49E618DD">
            <wp:simplePos x="0" y="0"/>
            <wp:positionH relativeFrom="margin">
              <wp:align>left</wp:align>
            </wp:positionH>
            <wp:positionV relativeFrom="paragraph">
              <wp:posOffset>2747645</wp:posOffset>
            </wp:positionV>
            <wp:extent cx="4183380" cy="2314575"/>
            <wp:effectExtent l="0" t="0" r="7620" b="0"/>
            <wp:wrapTight wrapText="bothSides">
              <wp:wrapPolygon edited="0">
                <wp:start x="0" y="0"/>
                <wp:lineTo x="0" y="21333"/>
                <wp:lineTo x="21541" y="21333"/>
                <wp:lineTo x="21541"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0902" cy="2318387"/>
                    </a:xfrm>
                    <a:prstGeom prst="rect">
                      <a:avLst/>
                    </a:prstGeom>
                  </pic:spPr>
                </pic:pic>
              </a:graphicData>
            </a:graphic>
            <wp14:sizeRelH relativeFrom="page">
              <wp14:pctWidth>0</wp14:pctWidth>
            </wp14:sizeRelH>
            <wp14:sizeRelV relativeFrom="page">
              <wp14:pctHeight>0</wp14:pctHeight>
            </wp14:sizeRelV>
          </wp:anchor>
        </w:drawing>
      </w:r>
      <w:r w:rsidR="00B42ABB" w:rsidRPr="005459E6">
        <w:rPr>
          <w:rFonts w:ascii="Times New Roman" w:hAnsi="Times New Roman" w:cs="Times New Roman"/>
        </w:rPr>
        <w:t xml:space="preserve">A large corpus of cross-sectional studies shows that cheerful people are more productive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{"citationItems":[{"id":"ITEM-1","itemData":{"DOI":"10.15185/izawol.315","author":[{"dropping-particle":"","family":"Proto","given":"Eugenio","non-dropping-particle":"","parse-names":false,"suffix":""}],"container-title":"IZA World of Labor","id":"ITEM-1","issued":{"date-parts":[["2016"]]},"page":"1-8","title":"Are happy workers more productive?","type":"article-journal"},"uris":["http://www.mendeley.com/documents/?uuid=3221c41c-6362-47b3-9f3f-8da4b5b789aa"]},{"id":"ITEM-2","itemData":{"DOI":"10.3389/fpsyg.2020.00456","ISSN":"16641078","abstract":"The purpose of this paper is to examine the relationship between happiness at work and cross-selling performance in the banking sector. In addition, the mediating effect of service-skill use is analyzed in the relationship between happiness at work and performance. Confirmatory factor analysis is used by means of structural equation models to assess the relationship between happiness at work, service-skill use, and cross-selling performance. A sample of 492 financial service employees is examined. Results reveal that happiness at work positively and directly affects cross-selling performance. The study also shows that service-skill use plays a partial mediating role in the relationship between happiness at work and cross-selling performance. This research expands the theory of the happy productive worker perspective based on the job demands-resources model and defines and conceptualizes service-skill use. Employees who are happier at work cross-sell better, but their service-skill use mediates the effect of happiness at work on cross-selling performance.","author":[{"dropping-particle":"","family":"Salas-Vallina","given":"Andrés","non-dropping-particle":"","parse-names":false,"suffix":""},{"dropping-particle":"","family":"Pozo-Hidalgo","given":"Manoli","non-dropping-particle":"","parse-names":false,"suffix":""},{"dropping-particle":"","family":"Gil-Monte","given":"Pedro R.","non-dropping-particle":"","parse-names":false,"suffix":""}],"container-title":"Frontiers in Psychology","id":"ITEM-2","issue":"March","issued":{"date-parts":[["2020"]]},"page":"1-11","title":"Are Happy Workers More Productive? The Mediating Role of Service-Skill Use","type":"article-journal","volume":"11"},"uris":["http://www.mendeley.com/documents/?uuid=a752bc16-6351-4517-918e-ca155a363fd1"]}],"mendeley":{"formattedCitation":"(Proto, 2016; Salas-Vallina et al., 2020)","plainTextFormattedCitation":"(Proto, 2016; Salas-Vallina et al., 2020)","previouslyFormattedCitation":"(Proto, 2016; Salas-Vallina et al., 2020)"},"properties":{"noteIndex":0},"schema":"https://github.com/citation-style-language/schema/raw/master/csl-citation.json"}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(Proto, 2016; Salas-Vallina et al., 2020)</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The data from empirical studies imply that positive emotions ignite positive cognitions, behaviors, and cognitive capability and that positive cognitions, behaviors, and capacities fuel positive emotions </w:t>
      </w:r>
      <w:r w:rsidR="00B42ABB" w:rsidRPr="005459E6">
        <w:rPr>
          <w:rFonts w:ascii="Times New Roman" w:hAnsi="Times New Roman" w:cs="Times New Roman"/>
        </w:rPr>
        <w:fldChar w:fldCharType="begin" w:fldLock="1"/>
      </w:r>
      <w:r w:rsidR="00B42ABB" w:rsidRPr="005459E6">
        <w:rPr>
          <w:rFonts w:ascii="Times New Roman" w:hAnsi="Times New Roman" w:cs="Times New Roman"/>
        </w:rPr>
        <w:instrText>ADDIN CSL_CITATION {"citationItems":[{"id":"ITEM-1","itemData":{"ISSN":"0956-7976","author":[{"dropping-particle":"","family":"Fredrickson","given":"Barbara L","non-dropping-particle":"","parse-names":false,"suffix":""},{"dropping-particle":"","family":"Joiner","given":"Thomas","non-dropping-particle":"","parse-names":false,"suffix":""}],"container-title":"Psychological science","id":"ITEM-1","issue":"2","issued":{"date-parts":[["2002"]]},"page":"172-175","publisher":"SAGE Publications Sage CA: Los Angeles, CA","title":"Positive emotions trigger upward spirals toward emotional well-being","type":"article-journal","volume":"13"},"uris":["http://www.mendeley.com/documents/?uuid=51e0a234-afb6-4f07-a1a8-d13c27c31cea"]}],"mendeley":{"formattedCitation":"(Fredrickson &amp; Joiner, 2002)","plainTextFormattedCitation":"(Fredrickson &amp; Joiner, 2002)","previouslyFormattedCitation":"(Fredrickson &amp; Joiner, 2002)"},"properties":{"noteIndex":0},"schema":"https://github.com/citation-style-language/schema/raw/master/csl-citation.json"}</w:instrText>
      </w:r>
      <w:r w:rsidR="00B42ABB" w:rsidRPr="005459E6">
        <w:rPr>
          <w:rFonts w:ascii="Times New Roman" w:hAnsi="Times New Roman" w:cs="Times New Roman"/>
        </w:rPr>
        <w:fldChar w:fldCharType="separate"/>
      </w:r>
      <w:r w:rsidR="00B42ABB" w:rsidRPr="005459E6">
        <w:rPr>
          <w:rFonts w:ascii="Times New Roman" w:hAnsi="Times New Roman" w:cs="Times New Roman"/>
          <w:noProof/>
        </w:rPr>
        <w:t>(Fredrickson &amp; Joiner, 2002)</w:t>
      </w:r>
      <w:r w:rsidR="00B42ABB" w:rsidRPr="005459E6">
        <w:rPr>
          <w:rFonts w:ascii="Times New Roman" w:hAnsi="Times New Roman" w:cs="Times New Roman"/>
        </w:rPr>
        <w:fldChar w:fldCharType="end"/>
      </w:r>
      <w:r w:rsidR="00B42ABB" w:rsidRPr="005459E6">
        <w:rPr>
          <w:rFonts w:ascii="Times New Roman" w:hAnsi="Times New Roman" w:cs="Times New Roman"/>
        </w:rPr>
        <w:t xml:space="preserve">. </w:t>
      </w:r>
    </w:p>
    <w:p w14:paraId="45F0609C" w14:textId="6134E1BD"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 noteworthy study on the ‘neuroscience of positive emotions and well-being’ offers an integrative description of the link between positive emotions and their overall contribution to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{"citationItems":[{"id":"ITEM-1","itemData":{"DOI":"10.1016/j.neubiorev.2020.12.002","ISSN":"18737528","PMID":"33307046","abstract":"This review paper provides an integrative account regarding neurophysiological correlates of positive emotions and affect that cumulatively contribute to the scaffolding for happiness and wellbeing in humans and other animals. This paper reviews the associations among neurotransmitters, hormones, brain networks, and cognitive functions in the context of positive emotions and affect. Consideration of lifespan developmental perspectives are incorporated, and we also examine the impact of healthy social relationships and environmental contexts on the modulation of positive emotions and affect. The neurophysiological processes that implement positive emotions are dynamic and modifiable, and meditative practices as well as flow states that change patterns of brain function and ultimately support wellbeing are also discussed. This review is part of “The Human Affectome Project” (http://neuroqualia.org/background.php), and in order to advance a primary aim of the Human Affectome Project, we also reviewed relevant linguistic dimensions and terminology that characterizes positive emotions and wellbeing. These linguistic dimensions are discussed within the context of the neuroscience literature with the overarching goal of generating novel recommendations for advancing neuroscience research on positive emotions and wellbeing.","author":[{"dropping-particle":"","family":"Alexander","given":"Rebecca","non-dropping-particle":"","parse-names":false,"suffix":""},{"dropping-particle":"","family":"Aragón","given":"Oriana R.","non-dropping-particle":"","parse-names":false,"suffix":""},{"dropping-particle":"","family":"Bookwala","given":"Jamila","non-dropping-particle":"","parse-names":false,"suffix":""},{"dropping-particle":"","family":"Cherbuin","given":"Nicolas","non-dropping-particle":"","parse-names":false,"suffix":""},{"dropping-particle":"","family":"Gatt","given":"Justine M.","non-dropping-particle":"","parse-names":false,"suffix":""},{"dropping-particle":"","family":"Kahrilas","given":"Ian J.","non-dropping-particle":"","parse-names":false,"suffix":""},{"dropping-particle":"","family":"Kästner","given":"Niklas","non-dropping-particle":"","parse-names":false,"suffix":""},{"dropping-particle":"","family":"Lawrence","given":"Alistair","non-dropping-particle":"","parse-names":false,"suffix":""},{"dropping-particle":"","family":"Lowe","given":"Leroy","non-dropping-particle":"","parse-names":false,"suffix":""},{"dropping-particle":"","family":"Morrison","given":"Robert G.","non-dropping-particle":"","parse-names":false,"suffix":""},{"dropping-particle":"","family":"Mueller","given":"Sven C.","non-dropping-particle":"","parse-names":false,"suffix":""},{"dropping-particle":"","family":"Nusslock","given":"Robin","non-dropping-particle":"","parse-names":false,"suffix":""},{"dropping-particle":"","family":"Papadelis","given":"Christos","non-dropping-particle":"","parse-names":false,"suffix":""},{"dropping-particle":"","family":"Polnaszek","given":"Kelly L.","non-dropping-particle":"","parse-names":false,"suffix":""},{"dropping-particle":"","family":"Helene Richter","given":"S.","non-dropping-particle":"","parse-names":false,"suffix":""},{"dropping-particle":"","family":"Silton","given":"Rebecca L.","non-dropping-particle":"","parse-names":false,"suffix":""},{"dropping-particle":"","family":"Styliadis","given":"Charis","non-dropping-particle":"","parse-names":false,"suffix":""}],"container-title":"Neuroscience and Biobehavioral Reviews","id":"ITEM-1","issued":{"date-parts":[["2021"]]},"page":"220-249","title":"The neuroscience of positive emotions and affect: Implications for cultivating happiness and wellbeing","type":"article-journal","volume":"121"},"uris":["http://www.mendeley.com/documents/?uuid=0fd8d3e9-7810-4ab5-8976-f84e53c6bda8"]}],"mendeley":{"formattedCitation":"(Alexander et al., 2021)","plainTextFormattedCitation":"(Alexander et al., 2021)","previouslyFormattedCitation":"(Alexander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(Alexander et al., 2021)</w:t>
      </w:r>
      <w:r w:rsidRPr="005459E6">
        <w:rPr>
          <w:rFonts w:ascii="Times New Roman" w:hAnsi="Times New Roman" w:cs="Times New Roman"/>
        </w:rPr>
        <w:fldChar w:fldCharType="end"/>
      </w:r>
      <w:r w:rsidRPr="005459E6">
        <w:rPr>
          <w:rFonts w:ascii="Times New Roman" w:hAnsi="Times New Roman" w:cs="Times New Roman"/>
        </w:rPr>
        <w:t xml:space="preserve">. It reflects that well-being is the result of the management of positive stimuli and emotions and cumulatively leads to enhanced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{"citationItems":[{"id":"ITEM-1","itemData":{"DOI":"10.1007/978-90-481-2354-4","ISBN":"9789048123537","abstract":"The Collected Works of Ed Diener, in 3 volumes, present the major works of the leading research scientist studying happiness and well-being. Professor Diener has studied subjective well-being, people 's life satisfaction and positive emotions, for over a quarter of a century, and has published 200 works on the topic, many more than any other scholar. He has studied hundreds of thousands of people in over 140 nations of the world, and the Collected Works present the major findings from those studies. Diener has made many of the major discoveries about well-being, which are outlined in the chapters. The first volume presents the major theory and review papers of Ed Diener. These publications give a broad overview of findings in the field, and the theories of well-being. As such, the first volume is an absolute must for beginning scholars in this area, and offers a clear tutorial to the history of the field and major findings. The second volume focuses on culture. This volume is most unique, and could sell on its own, as it should appeal to cultural psychologists and anthropologists. The findings in the culture area are mostly all derived from the Diener laboratory and his students. Thus, the papers in this volume represent most of the major publications on culture and well-being. Furthermore, this is the area that is least well-known by most scholars. The third volume on measurement is the most applied and practical one because it discusses all the measures used, and presents new measures. Even for those who do not want to study well-being per se, but want to use some well-being measures in their research, this volume will be of enormous help.Volume 1: Gives a broad overview of findings and theories on subjective well-being.Volume 2: Presents most of the major papers on well-being and culture, and the international differences in well-beingVolume 3: Presents discussions of measures of well-being and new measures of well-being, and is thus of great value to those who want to select measurement scales for their researchEndorsementsOver the past several decades Professor Diener has contributed more than any other psychologist to the rigorous research of subjective well-being. The collection of this work in this series is going to be of invaluable help to anyone interested in the study of happiness, life-satisfaction, and the emerging discipline of positive psychology. Mihaly Csikszentmihalyi, Professor of Psychology And Management, Claremont Graduate Univers…","author":[{"dropping-particle":"","family":"Diener","given":"Ed","non-dropping-particle":"","parse-names":false,"suffix":""}],"container-title":"Springer","id":"ITEM-1","issued":{"date-parts":[["2009"]]},"page":"101-102","title":"Assessing Well-Being. The Collected Works of Ed Diener","type":"article-journal"},"uris":["http://www.mendeley.com/documents/?uuid=80bf2468-1d13-4609-9de3-8454841da6c8"]},{"id":"ITEM-2","itemData":{"ISSN":"1433893363","author":[{"dropping-particle":"","family":"Silton","given":"Rebecca L","non-dropping-particle":"","parse-names":false,"suffix":""},{"dropping-particle":"","family":"Kahrilas","given":"Ian J","non-dropping-particle":"","parse-names":false,"suffix":""},{"dropping-particle":"V","family":"Skymba","given":"Haley","non-dropping-particle":"","parse-names":false,"suffix":""},{"dropping-particle":"","family":"Smith","given":"Jennifer","non-dropping-particle":"","parse-names":false,"suffix":""},{"dropping-particle":"","family":"Bryant","given":"Fred B","non-dropping-particle":"","parse-names":false,"suffix":""},{"dropping-particle":"","family":"Heller","given":"Wendy","non-dropping-particle":"","parse-names":false,"suffix":""}],"container-title":"Emotion","id":"ITEM-2","issue":"1","issued":{"date-parts":[["2020"]]},"page":"93","publisher":"American Psychological Association","title":"Regulating positive emotions: Implications for promoting well-being in individuals with depression.","type":"article-journal","volume":"20"},"uris":["http://www.mendeley.com/documents/?uuid=24a36001-b43f-4a58-9305-3f36924e8c15"]}],"mendeley":{"formattedCitation":"(Diener, 2009; Silton et al., 2020)","plainTextFormattedCitation":"(Diener, 2009; Silton et al., 2020)","previouslyFormattedCitation":"(Diener, 2009; Silton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2009; Silton et al., 2020)</w:t>
      </w:r>
      <w:r w:rsidRPr="005459E6">
        <w:rPr>
          <w:rFonts w:ascii="Times New Roman" w:hAnsi="Times New Roman" w:cs="Times New Roman"/>
        </w:rPr>
        <w:fldChar w:fldCharType="end"/>
      </w:r>
      <w:r w:rsidRPr="005459E6">
        <w:rPr>
          <w:rFonts w:ascii="Times New Roman" w:hAnsi="Times New Roman" w:cs="Times New Roman"/>
        </w:rPr>
        <w:t xml:space="preserv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{"citationItems":[{"id":"ITEM-1","itemData":{"ISSN":"0022-3956","author":[{"dropping-particle":"","family":"Chilver","given":"Miranda R","non-dropping-particle":"","parse-names":false,"suffix":""},{"dropping-particle":"","family":"Keller","given":"Arielle S","non-dropping-particle":"","parse-names":false,"suffix":""},{"dropping-particle":"","family":"Park","given":"Haeme R P","non-dropping-particle":"","parse-names":false,"suffix":""},{"dropping-particle":"","family":"Jamshidi","given":"Javad","non-dropping-particle":"","parse-names":false,"suffix":""},{"dropping-particle":"","family":"Montalto","given":"Arthur","non-dropping-particle":"","parse-names":false,"suffix":""},{"dropping-particle":"","family":"Schofield","given":"Peter R","non-dropping-particle":"","parse-names":false,"suffix":""},{"dropping-particle":"","family":"Clark","given":"C Richard","non-dropping-particle":"","parse-names":false,"suffix":""},{"dropping-particle":"","family":"Harmon-Jones","given":"Eddie","non-dropping-particle":"","parse-names":false,"suffix":""},{"dropping-particle":"","family":"Williams","given":"Leanne M","non-dropping-particle":"","parse-names":false,"suffix":""},{"dropping-particle":"","family":"Gatt","given":"Justine M","non-dropping-particle":"","parse-names":false,"suffix":""}],"container-title":"Journal of Psychiatric Research","id":"ITEM-1","issued":{"date-parts":[["2020"]]},"page":"114-121","publisher":"Elsevier","title":"Electroencephalography profiles as a biomarker of wellbeing: a twin study","type":"article-journal","volume":"126"},"uris":["http://www.mendeley.com/documents/?uuid=b7c5710f-d66f-44a0-836b-16ba0ba1fc0c"]}],"mendeley":{"formattedCitation":"(Chilver et al., 2020)","manualFormatting":"Chilver et al. (2020)","plainTextFormattedCitation":"(Chilver et al., 2020)","previouslyFormattedCitation":"(Chilver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Chilver et al. (2020)</w:t>
      </w:r>
      <w:r w:rsidRPr="005459E6">
        <w:rPr>
          <w:rFonts w:ascii="Times New Roman" w:hAnsi="Times New Roman" w:cs="Times New Roman"/>
        </w:rPr>
        <w:fldChar w:fldCharType="end"/>
      </w:r>
      <w:r w:rsidRPr="005459E6">
        <w:rPr>
          <w:rFonts w:ascii="Times New Roman" w:hAnsi="Times New Roman" w:cs="Times New Roman"/>
        </w:rPr>
        <w:t xml:space="preserve">, </w:t>
      </w:r>
      <w:r w:rsidR="0001521E">
        <w:rPr>
          <w:rFonts w:ascii="Times New Roman" w:hAnsi="Times New Roman" w:cs="Times New Roman"/>
        </w:rPr>
        <w:t>numerous psychological categories</w:t>
      </w:r>
      <w:r w:rsidRPr="005459E6">
        <w:rPr>
          <w:rFonts w:ascii="Times New Roman" w:hAnsi="Times New Roman" w:cs="Times New Roman"/>
        </w:rPr>
        <w:t xml:space="preserve"> characterize the psychosocial building blocks of pleasant emotions and well-being. These blocks identify a significant link between positive affective states in the form of emotions and attributes such as well-being.</w:t>
      </w:r>
    </w:p>
    <w:p w14:paraId="5192550F" w14:textId="086F6E93" w:rsidR="0001521E" w:rsidRPr="005459E6" w:rsidRDefault="00B42ABB" w:rsidP="00A52813">
      <w:pPr>
        <w:spacing w:line="360" w:lineRule="auto"/>
        <w:jc w:val="both"/>
        <w:rPr>
          <w:rFonts w:ascii="Times New Roman" w:hAnsi="Times New Roman" w:cs="Times New Roman"/>
          <w:noProof/>
        </w:rPr>
      </w:pPr>
      <w:r w:rsidRPr="005459E6">
        <w:rPr>
          <w:rFonts w:ascii="Times New Roman" w:hAnsi="Times New Roman" w:cs="Times New Roman"/>
          <w:noProof/>
        </w:rPr>
        <w:t xml:space="preserve">Based on Psychological Correlations of Positive Emotions that Influence Happiness and Wellbeing offers a conceptual model </w:t>
      </w:r>
      <w:r w:rsidRPr="005459E6">
        <w:rPr>
          <w:rFonts w:ascii="Times New Roman" w:hAnsi="Times New Roman" w:cs="Times New Roman"/>
          <w:noProof/>
        </w:rPr>
        <w:fldChar w:fldCharType="begin" w:fldLock="1"/>
      </w:r>
      <w:r w:rsidRPr="005459E6">
        <w:rPr>
          <w:rFonts w:ascii="Times New Roman" w:hAnsi="Times New Roman" w:cs="Times New Roman"/>
          <w:noProof/>
        </w:rPr>
        <w:instrText>ADDIN CSL_CITATION {"citationItems":[{"id":"ITEM-1","itemData":{"DOI":"10.1016/j.neubiorev.2020.12.002","ISSN":"18737528","PMID":"33307046","abstract":"This review paper provides an integrative account regarding neurophysiological correlates of positive emotions and affect that cumulatively contribute to the scaffolding for happiness and wellbeing in humans and other animals. This paper reviews the associations among neurotransmitters, hormones, brain networks, and cognitive functions in the context of positive emotions and affect. Consideration of lifespan developmental perspectives are incorporated, and we also examine the impact of healthy social relationships and environmental contexts on the modulation of positive emotions and affect. The neurophysiological processes that implement positive emotions are dynamic and modifiable, and meditative practices as well as flow states that change patterns of brain function and ultimately support wellbeing are also discussed. This review is part of “The Human Affectome Project” (http://neuroqualia.org/background.php), and in order to advance a primary aim of the Human Affectome Project, we also reviewed relevant linguistic dimensions and terminology that characterizes positive emotions and wellbeing. These linguistic dimensions are discussed within the context of the neuroscience literature with the overarching goal of generating novel recommendations for advancing neuroscience research on positive emotions and wellbeing.","author":[{"dropping-particle":"","family":"Alexander","given":"Rebecca","non-dropping-particle":"","parse-names":false,"suffix":""},{"dropping-particle":"","family":"Aragón","given":"Oriana R.","non-dropping-particle":"","parse-names":false,"suffix":""},{"dropping-particle":"","family":"Bookwala","given":"Jamila","non-dropping-particle":"","parse-names":false,"suffix":""},{"dropping-particle":"","family":"Cherbuin","given":"Nicolas","non-dropping-particle":"","parse-names":false,"suffix":""},{"dropping-particle":"","family":"Gatt","given":"Justine M.","non-dropping-particle":"","parse-names":false,"suffix":""},{"dropping-particle":"","family":"Kahrilas","given":"Ian J.","non-dropping-particle":"","parse-names":false,"suffix":""},{"dropping-particle":"","family":"Kästner","given":"Niklas","non-dropping-particle":"","parse-names":false,"suffix":""},{"dropping-particle":"","family":"Lawrence","given":"Alistair","non-dropping-particle":"","parse-names":false,"suffix":""},{"dropping-particle":"","family":"Lowe","given":"Leroy","non-dropping-particle":"","parse-names":false,"suffix":""},{"dropping-particle":"","family":"Morrison","given":"Robert G.","non-dropping-particle":"","parse-names":false,"suffix":""},{"dropping-particle":"","family":"Mueller","given":"Sven C.","non-dropping-particle":"","parse-names":false,"suffix":""},{"dropping-particle":"","family":"Nusslock","given":"Robin","non-dropping-particle":"","parse-names":false,"suffix":""},{"dropping-particle":"","family":"Papadelis","given":"Christos","non-dropping-particle":"","parse-names":false,"suffix":""},{"dropping-particle":"","family":"Polnaszek","given":"Kelly L.","non-dropping-particle":"","parse-names":false,"suffix":""},{"dropping-particle":"","family":"Helene Richter","given":"S.","non-dropping-particle":"","parse-names":false,"suffix":""},{"dropping-particle":"","family":"Silton","given":"Rebecca L.","non-dropping-particle":"","parse-names":false,"suffix":""},{"dropping-particle":"","family":"Styliadis","given":"Charis","non-dropping-particle":"","parse-names":false,"suffix":""}],"container-title":"Neuroscience and Biobehavioral Reviews","id":"ITEM-1","issued":{"date-parts":[["2021"]]},"page":"220-249","title":"The neuroscience of positive emotions and affect: Implications for cultivating happiness and wellbeing","type":"article-journal","volume":"121"},"uris":["http://www.mendeley.com/documents/?uuid=0fd8d3e9-7810-4ab5-8976-f84e53c6bda8"]}],"mendeley":{"formattedCitation":"(Alexander et al., 2021)","plainTextFormattedCitation":"(Alexander et al., 2021)","previouslyFormattedCitation":"(Alexander et al., 2021)"},"properties":{"noteIndex":0},"schema":"https://github.com/citation-style-language/schema/raw/master/csl-citation.json"}</w:instrText>
      </w:r>
      <w:r w:rsidRPr="005459E6">
        <w:rPr>
          <w:rFonts w:ascii="Times New Roman" w:hAnsi="Times New Roman" w:cs="Times New Roman"/>
          <w:noProof/>
        </w:rPr>
        <w:fldChar w:fldCharType="separate"/>
      </w:r>
      <w:r w:rsidRPr="005459E6">
        <w:rPr>
          <w:rFonts w:ascii="Times New Roman" w:hAnsi="Times New Roman" w:cs="Times New Roman"/>
          <w:noProof/>
        </w:rPr>
        <w:t>(Alexander et al., 2021)</w:t>
      </w:r>
      <w:r w:rsidRPr="005459E6">
        <w:rPr>
          <w:rFonts w:ascii="Times New Roman" w:hAnsi="Times New Roman" w:cs="Times New Roman"/>
          <w:noProof/>
        </w:rPr>
        <w:fldChar w:fldCharType="end"/>
      </w:r>
      <w:r w:rsidRPr="005459E6">
        <w:rPr>
          <w:rFonts w:ascii="Times New Roman" w:hAnsi="Times New Roman" w:cs="Times New Roman"/>
          <w:noProof/>
        </w:rPr>
        <w:t>. As this research demonstrates, happy emotions improve psychological well-being in a variety of ways.</w:t>
      </w:r>
      <w:bookmarkStart w:id="82" w:name="_Toc96343297"/>
      <w:bookmarkStart w:id="83" w:name="_Toc99915973"/>
    </w:p>
    <w:p w14:paraId="0CF0D009" w14:textId="0DF59A82" w:rsidR="00B42ABB" w:rsidRDefault="00B42ABB" w:rsidP="004A0DF3">
      <w:pPr>
        <w:pStyle w:val="Didascalia"/>
        <w:spacing w:line="360" w:lineRule="auto"/>
        <w:jc w:val="both"/>
        <w:rPr>
          <w:rFonts w:ascii="Times New Roman" w:hAnsi="Times New Roman" w:cs="Times New Roman"/>
          <w:i w:val="0"/>
          <w:iCs w:val="0"/>
          <w:color w:val="auto"/>
          <w:sz w:val="22"/>
          <w:szCs w:val="22"/>
        </w:rPr>
      </w:pPr>
      <w:bookmarkStart w:id="84" w:name="_Toc104968790"/>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4</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A Conceptual Model </w:t>
      </w:r>
      <w:r w:rsidR="004A0DF3" w:rsidRPr="005459E6">
        <w:rPr>
          <w:rFonts w:ascii="Times New Roman" w:hAnsi="Times New Roman" w:cs="Times New Roman"/>
          <w:i w:val="0"/>
          <w:iCs w:val="0"/>
          <w:color w:val="auto"/>
          <w:sz w:val="22"/>
          <w:szCs w:val="22"/>
        </w:rPr>
        <w:t>of</w:t>
      </w:r>
      <w:r w:rsidRPr="005459E6">
        <w:rPr>
          <w:rFonts w:ascii="Times New Roman" w:hAnsi="Times New Roman" w:cs="Times New Roman"/>
          <w:i w:val="0"/>
          <w:iCs w:val="0"/>
          <w:color w:val="auto"/>
          <w:sz w:val="22"/>
          <w:szCs w:val="22"/>
        </w:rPr>
        <w:t xml:space="preserve"> Correlations of Positive Emotions that Influence Well-being</w:t>
      </w:r>
      <w:bookmarkEnd w:id="82"/>
      <w:bookmarkEnd w:id="83"/>
      <w:bookmarkEnd w:id="84"/>
    </w:p>
    <w:p w14:paraId="51CAA379" w14:textId="77777777" w:rsidR="0059423E" w:rsidRPr="0059423E" w:rsidRDefault="0059423E" w:rsidP="0059423E">
      <w:pPr>
        <w:rPr>
          <w:lang w:val="en-IN"/>
        </w:rPr>
      </w:pPr>
    </w:p>
    <w:p w14:paraId="0D69AAD6"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85" w:name="_Toc88315261"/>
      <w:bookmarkStart w:id="86" w:name="_Toc104746489"/>
      <w:bookmarkStart w:id="87" w:name="_Toc104827770"/>
      <w:bookmarkStart w:id="88" w:name="_Toc107248280"/>
      <w:r w:rsidRPr="005459E6">
        <w:rPr>
          <w:rFonts w:ascii="Times New Roman" w:hAnsi="Times New Roman" w:cs="Times New Roman"/>
          <w:color w:val="auto"/>
          <w:sz w:val="22"/>
          <w:szCs w:val="22"/>
        </w:rPr>
        <w:t>Individual Well-being</w:t>
      </w:r>
      <w:bookmarkEnd w:id="85"/>
      <w:bookmarkEnd w:id="86"/>
      <w:bookmarkEnd w:id="87"/>
      <w:bookmarkEnd w:id="88"/>
    </w:p>
    <w:p w14:paraId="0B55F59E" w14:textId="3C763EB0" w:rsidR="00A23605"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Chronic stress has emerged as a critical element,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{"citationItems":[{"id":"ITEM-1","itemData":{"DOI":"10.1159/000448856","ISSN":"14230348","PMID":"27884006","abstract":"Psychosomatic research has advanced over the past decades in dealing with complex biopsychosocial phenomena and may provide new effective modalities of patient care. Among psychosocial variables affecting individual vulnerability, course, and outcome of any medical disease, the role of chronic stress (allostatic load/overload) has emerged as a crucial factor. Assessment strategies include the Diagnostic Criteria for Psychosomatic Research. They are presented here in an updated version based on insights derived from studies carried out so far and encompass allostatic overload, type A behavior, alexithymia, the spectrum of maladaptive illness behavior, demoralization, irritable mood, and somatic symptoms secondary to a psychiatric disorder. Macroanalysis is a helpful tool for identifying the relationships between biological and psychosocial variables and the individual targets for medical intervention. The personalized and holistic approach to the patient includes integration of medical and psychological therapies in all phases of illness. In this respect, the development of a new psychotherapeutic modality, Well-Being Therapy, seems to be promising. The growth of subspecialties, such as psychooncology and psychodermatology, drives towards the multidisciplinary organization of health care to overcome artificial boundaries. There have been major transformations in health care needs in the past decades. From psychosomatic medicine, a land of innovative hypotheses and trends, many indications for changes in the current practice of medicine are now at hand. The aim of this critical review is to outline current and potential clinical applications of psychosomatic methods.","author":[{"dropping-particle":"","family":"Fava","given":"Giovanni A.","non-dropping-particle":"","parse-names":false,"suffix":""},{"dropping-particle":"","family":"Cosci","given":"Fiammetta","non-dropping-particle":"","parse-names":false,"suffix":""},{"dropping-particle":"","family":"Sonino","given":"Nicoletta","non-dropping-particle":"","parse-names":false,"suffix":""}],"container-title":"Psychotherapy and Psychosomatics","id":"ITEM-1","issue":"1","issued":{"date-parts":[["2017"]]},"page":"13-30","title":"Current Psychosomatic Practice","type":"article-journal","volume":"86"},"uris":["http://www.mendeley.com/documents/?uuid=0335f6a4-b050-43ed-be24-4eac111ffcf9"]}],"mendeley":{"formattedCitation":"(Fava et al., 2017)","manualFormatting":"Fava et al. (2017)","plainTextFormattedCitation":"(Fava et al., 2017)","previouslyFormattedCitation":"(Fava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Fava et al. (2017)</w:t>
      </w:r>
      <w:r w:rsidRPr="005459E6">
        <w:rPr>
          <w:rFonts w:ascii="Times New Roman" w:hAnsi="Times New Roman" w:cs="Times New Roman"/>
        </w:rPr>
        <w:fldChar w:fldCharType="end"/>
      </w:r>
      <w:r w:rsidRPr="005459E6">
        <w:rPr>
          <w:rFonts w:ascii="Times New Roman" w:hAnsi="Times New Roman" w:cs="Times New Roman"/>
        </w:rPr>
        <w:t xml:space="preserve">. Co-morbidities such as physical and psychological problems represent psychosomatic health. Somatic symptoms can cause mood swings, especially when they are the direct expression of negative feelings brought on by the perception of somatic symptoms. In such circumstances, the physical symptoms are the ones that cause the emotions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{"citationItems":[{"id":"ITEM-1","itemData":{"ISSN":"0748-8491","author":[{"dropping-particle":"","family":"Zeng","given":"Songtian","non-dropping-particle":"","parse-names":false,"suffix":""},{"dropping-particle":"","family":"Benner","given":"Gregory J","non-dropping-particle":"","parse-names":false,"suffix":""},{"dropping-particle":"","family":"Silva","given":"Rayann M","non-dropping-particle":"","parse-names":false,"suffix":""}],"container-title":"Education and Treatment of Children","id":"ITEM-1","issued":{"date-parts":[["2016"]]},"page":"593-615","publisher":"JSTOR","title":"Effects of a summer learning program for students at risk for emotional and behavioral disorders","type":"article-journal"},"uris":["http://www.mendeley.com/documents/?uuid=0acc2322-c1a3-40b7-b120-dca365b8c4da"]}],"mendeley":{"formattedCitation":"(Zeng et al., 2016)","plainTextFormattedCitation":"(Zeng et al., 2016)","previouslyFormattedCitation":"(Zeng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(Zeng et al., 2016)</w:t>
      </w:r>
      <w:r w:rsidRPr="005459E6">
        <w:rPr>
          <w:rFonts w:ascii="Times New Roman" w:hAnsi="Times New Roman" w:cs="Times New Roman"/>
        </w:rPr>
        <w:fldChar w:fldCharType="end"/>
      </w:r>
      <w:r w:rsidRPr="005459E6">
        <w:rPr>
          <w:rFonts w:ascii="Times New Roman" w:hAnsi="Times New Roman" w:cs="Times New Roman"/>
        </w:rPr>
        <w:t>.</w:t>
      </w:r>
      <w:r w:rsidR="0059423E">
        <w:rPr>
          <w:rFonts w:ascii="Times New Roman" w:hAnsi="Times New Roman" w:cs="Times New Roman"/>
        </w:rPr>
        <w:t xml:space="preserve"> </w:t>
      </w: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{"citationItems":[{"id":"ITEM-1","itemData":{"DOI":"10.1159/000012393","ISSN":"00333190","PMID":"10867586","abstract":"Developments have occurred in all aspects of psychosomatic medicine. Among factors affecting individual vulnerability to all types of disease, the following have been highlighted by recent research: recent and early life events, chronic stress and allostatic load, personality, psychological well- being, health attitudes and behavior. As to the interaction between psychological and biological factors in the course and outcome of disease, the presence of psychiatric (DSM-IV) as well as subclinical (Diagnostic Criteria for Psychosomatic Research) symptoms, illness behavior and the impact on quality of life all need to be assessed. The prevention, treatment and rehabilitation of physical illness include the consideration for psychosomatic prevention, the treatment of psychiatric morbidity and abnormal illness behavior and the use of psychotropic drugs in the medically ill. In the past 60 years, psychosomatic medicine has addressed some fundamental questions, contributing to the growth of other related disciplines, such as psychoneuroendocrinology, psychoimmunology, consultation-liaison psychiatry, behavioral medicine, health psychology and quality of life research. Psychosomatic medicine may also provide a comprehensive frame of reference for several current issues of clinical medicine (the phenomenon of somatization, the increasing occurrence of mysterious symptoms, the demand for well-being and quality of life), including its new dialogue with mind- body and alternative medicine. Copyright (C) 2000 S. Karger AG, Basel.","author":[{"dropping-particle":"","family":"Fava","given":"Giovanni A.","non-dropping-particle":"","parse-names":false,"suffix":""},{"dropping-particle":"","family":"Sonino","given":"Nicoletta","non-dropping-particle":"","parse-names":false,"suffix":""}],"container-title":"Psychotherapy and Psychosomatics","id":"ITEM-1","issue":"4","issued":{"date-parts":[["2000"]]},"page":"184-197","title":"Psychosomatic medicine: Emerging trends and perspectives","type":"article-journal","volume":"69"},"uris":["http://www.mendeley.com/documents/?uuid=d3915116-b1d2-427d-b8f3-8ead71e196ff"]}],"mendeley":{"formattedCitation":"(Fava &amp; Sonino, 2000)","manualFormatting":"Fava &amp; Sonino (2000)","plainTextFormattedCitation":"(Fava &amp; Sonino, 2000)","previouslyFormattedCitation":"(Fava &amp; Sonino, 2000)"},"properties":{"noteIndex":0},"schema":"https://github.com/citation-style-language/schema/raw/master/csl-citation.json"}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Fava &amp; Sonino (2000)</w:t>
      </w:r>
      <w:r w:rsidRPr="005459E6">
        <w:rPr>
          <w:rFonts w:ascii="Times New Roman" w:hAnsi="Times New Roman" w:cs="Times New Roman"/>
        </w:rPr>
        <w:fldChar w:fldCharType="end"/>
      </w:r>
      <w:r w:rsidRPr="005459E6">
        <w:rPr>
          <w:rFonts w:ascii="Times New Roman" w:hAnsi="Times New Roman" w:cs="Times New Roman"/>
        </w:rPr>
        <w:t>, psychological well-being is one of the crucial factors influencing individual vulnerability to any disease and one can comprehend the link between chronic stress and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{"citationItems":[{"id":"ITEM-1","itemData":{"DOI":"10.1159/000448856","ISSN":"14230348","PMID":"27884006","abstract":"Psychosomatic research has advanced over the past decades in dealing with complex biopsychosocial phenomena and may provide new effective modalities of patient care. Among psychosocial variables affecting individual vulnerability, course, and outcome of any medical disease, the role of chronic stress (allostatic load/overload) has emerged as a crucial factor. Assessment strategies include the Diagnostic Criteria for Psychosomatic Research. They are presented here in an updated version based on insights derived from studies carried out so far and encompass allostatic overload, type A behavior, alexithymia, the spectrum of maladaptive illness behavior, demoralization, irritable mood, and somatic symptoms secondary to a psychiatric disorder. Macroanalysis is a helpful tool for identifying the relationships between biological and psychosocial variables and the individual targets for medical intervention. The personalized and holistic approach to the patient includes integration of medical and psychological therapies in all phases of illness. In this respect, the development of a new psychotherapeutic modality, Well-Being Therapy, seems to be promising. The growth of subspecialties, such as psychooncology and psychodermatology, drives towards the multidisciplinary organization of health care to overcome artificial boundaries. There have been major transformations in health care needs in the past decades. From psychosomatic medicine, a land of innovative hypotheses and trends, many indications for changes in the current practice of medicine are now at hand. The aim of this critical review is to outline current and potential clinical applications of psychosomatic methods.","author":[{"dropping-particle":"","family":"Fava","given":"Giovanni A.","non-dropping-particle":"","parse-names":false,"suffix":""},{"dropping-particle":"","family":"Cosci","given":"Fiammetta","non-dropping-particle":"","parse-names":false,"suffix":""},{"dropping-particle":"","family":"Sonino","given":"Nicoletta","non-dropping-particle":"","parse-names":false,"suffix":""}],"container-title":"Psychotherapy and Psychosomatics","id":"ITEM-1","issue":"1","issued":{"date-parts":[["2017"]]},"page":"13-30","title":"Current Psychosomatic Practice","type":"article-journal","volume":"86"},"uris":["http://www.mendeley.com/documents/?uuid=0335f6a4-b050-43ed-be24-4eac111ffcf9"]}],"mendeley":{"formattedCitation":"(Fava et al., 2017)","manualFormatting":"Fava et al. 2017)","plainTextFormattedCitation":"(Fava et al., 2017)","previouslyFormattedCitation":"(Fava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Fava et al. 2017)</w:t>
      </w:r>
      <w:r w:rsidRPr="005459E6">
        <w:rPr>
          <w:rFonts w:ascii="Times New Roman" w:hAnsi="Times New Roman" w:cs="Times New Roman"/>
        </w:rPr>
        <w:fldChar w:fldCharType="end"/>
      </w:r>
      <w:r w:rsidRPr="005459E6">
        <w:rPr>
          <w:rFonts w:ascii="Times New Roman" w:hAnsi="Times New Roman" w:cs="Times New Roman"/>
        </w:rPr>
        <w:t xml:space="preserve">. </w:t>
      </w:r>
    </w:p>
    <w:p w14:paraId="7FB06548" w14:textId="3D3DEA65"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Well-being is a multifaceted and complex concept. While well-being measures are both subjective and objective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{"citationItems":[{"id":"ITEM-1","itemData":{"ISSN":"1557987041","author":[{"dropping-particle":"","family":"Diener","given":"Ed","non-dropping-particle":"","parse-names":false,"suffix":""}],"container-title":"American psychologist","id":"ITEM-1","issue":"1","issued":{"date-parts":[["2000"]]},"page":"34","publisher":"American Psychological Association","title":"Subjective well-being: The science of happiness and a proposal for a national index.","type":"article-journal","volume":"55"},"uris":["http://www.mendeley.com/documents/?uuid=846ef3ff-af99-4569-83b9-aa91f9e92868"]}],"mendeley":{"formattedCitation":"(Diener, 2000)","plainTextFormattedCitation":"(Diener, 2000)","previouslyFormattedCitation":"(Diener, 2000)"},"properties":{"noteIndex":0},"schema":"https://github.com/citation-style-language/schema/raw/master/csl-citation.json"}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2000)</w:t>
      </w:r>
      <w:r w:rsidRPr="005459E6">
        <w:rPr>
          <w:rFonts w:ascii="Times New Roman" w:hAnsi="Times New Roman" w:cs="Times New Roman"/>
        </w:rPr>
        <w:fldChar w:fldCharType="end"/>
      </w:r>
      <w:r w:rsidRPr="005459E6">
        <w:rPr>
          <w:rFonts w:ascii="Times New Roman" w:hAnsi="Times New Roman" w:cs="Times New Roman"/>
        </w:rPr>
        <w:t xml:space="preserve">, they are frequently referred to as measures of psychological well-being when they address psychological characteristics (e.g., happiness)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policy","type":"article-journal","volume":"19"},"uris":["http://www.mendeley.com/documents/?uuid=dc661d3f-5659-4ad6-adc4-3f5d1ebda0c6"]}],"mendeley":{"formattedCitation":"(Trudel-Fitzgerald et al., 2019)","plainTextFormattedCitation":"(Trudel-Fitzgerald et al., 2019)","previouslyFormattedCitation":"(Trudel-Fitzgerald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(Trudel-Fitzgerald et al., 2019)</w:t>
      </w:r>
      <w:r w:rsidRPr="005459E6">
        <w:rPr>
          <w:rFonts w:ascii="Times New Roman" w:hAnsi="Times New Roman" w:cs="Times New Roman"/>
        </w:rPr>
        <w:fldChar w:fldCharType="end"/>
      </w:r>
      <w:r w:rsidRPr="005459E6">
        <w:rPr>
          <w:rFonts w:ascii="Times New Roman" w:hAnsi="Times New Roman" w:cs="Times New Roman"/>
        </w:rPr>
        <w:t>.</w:t>
      </w:r>
    </w:p>
    <w:p w14:paraId="2D2A6974" w14:textId="77777777" w:rsidR="00B42ABB" w:rsidRPr="005459E6" w:rsidRDefault="00B42ABB" w:rsidP="00B42ABB">
      <w:pPr>
        <w:spacing w:line="360" w:lineRule="auto"/>
        <w:jc w:val="both"/>
        <w:rPr>
          <w:rFonts w:ascii="Times New Roman" w:hAnsi="Times New Roman" w:cs="Times New Roman"/>
          <w:b/>
          <w:bCs/>
        </w:rPr>
      </w:pPr>
      <w:r w:rsidRPr="005459E6">
        <w:rPr>
          <w:rFonts w:ascii="Times New Roman" w:hAnsi="Times New Roman" w:cs="Times New Roman"/>
          <w:b/>
          <w:bCs/>
          <w:noProof/>
        </w:rPr>
        <w:drawing>
          <wp:inline distT="0" distB="0" distL="0" distR="0" wp14:anchorId="2C838C38" wp14:editId="5F6CF3C1">
            <wp:extent cx="4609932" cy="1619250"/>
            <wp:effectExtent l="0" t="0" r="635" b="0"/>
            <wp:docPr id="27" name="Picture 27"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730046" cy="1661440"/>
                    </a:xfrm>
                    <a:prstGeom prst="rect">
                      <a:avLst/>
                    </a:prstGeom>
                  </pic:spPr>
                </pic:pic>
              </a:graphicData>
            </a:graphic>
          </wp:inline>
        </w:drawing>
      </w:r>
    </w:p>
    <w:p w14:paraId="4F1C4901" w14:textId="7038FF3A" w:rsidR="00B42ABB" w:rsidRPr="005459E6" w:rsidRDefault="00B42ABB" w:rsidP="00B42ABB">
      <w:pPr>
        <w:pStyle w:val="Sommario1"/>
        <w:rPr>
          <w:rFonts w:ascii="Times New Roman" w:hAnsi="Times New Roman" w:cs="Times New Roman"/>
        </w:rPr>
      </w:pPr>
      <w:bookmarkStart w:id="89" w:name="_Toc96343298"/>
      <w:bookmarkStart w:id="90" w:name="_Toc99915974"/>
      <w:bookmarkStart w:id="91" w:name="_Toc104968791"/>
      <w:r w:rsidRPr="005459E6">
        <w:rPr>
          <w:rFonts w:ascii="Times New Roman" w:hAnsi="Times New Roman" w:cs="Times New Roman"/>
        </w:rPr>
        <w:t xml:space="preserve">Figure </w:t>
      </w:r>
      <w:r w:rsidRPr="005459E6">
        <w:rPr>
          <w:rFonts w:ascii="Times New Roman" w:hAnsi="Times New Roman" w:cs="Times New Roman"/>
        </w:rPr>
        <w:fldChar w:fldCharType="begin"/>
      </w:r>
      <w:r w:rsidRPr="005459E6">
        <w:rPr>
          <w:rFonts w:ascii="Times New Roman" w:hAnsi="Times New Roman" w:cs="Times New Roman"/>
        </w:rPr>
        <w:instrText xml:space="preserve"> SEQ Figure \* ARABIC </w:instrText>
      </w:r>
      <w:r w:rsidRPr="005459E6">
        <w:rPr>
          <w:rFonts w:ascii="Times New Roman" w:hAnsi="Times New Roman" w:cs="Times New Roman"/>
        </w:rPr>
        <w:fldChar w:fldCharType="separate"/>
      </w:r>
      <w:r w:rsidR="006C645B">
        <w:rPr>
          <w:rFonts w:ascii="Times New Roman" w:hAnsi="Times New Roman" w:cs="Times New Roman"/>
          <w:noProof/>
        </w:rPr>
        <w:t>5</w:t>
      </w:r>
      <w:r w:rsidRPr="005459E6">
        <w:rPr>
          <w:rFonts w:ascii="Times New Roman" w:hAnsi="Times New Roman" w:cs="Times New Roman"/>
          <w:noProof/>
        </w:rPr>
        <w:fldChar w:fldCharType="end"/>
      </w:r>
      <w:r w:rsidRPr="005459E6">
        <w:rPr>
          <w:rFonts w:ascii="Times New Roman" w:hAnsi="Times New Roman" w:cs="Times New Roman"/>
        </w:rPr>
        <w:t>: Terminologies addressing Well-being</w:t>
      </w:r>
      <w:bookmarkEnd w:id="89"/>
      <w:bookmarkEnd w:id="90"/>
      <w:bookmarkEnd w:id="91"/>
    </w:p>
    <w:p w14:paraId="0B29783E"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As displayed in </w:t>
      </w:r>
      <w:r w:rsidRPr="005459E6">
        <w:rPr>
          <w:rFonts w:ascii="Times New Roman" w:hAnsi="Times New Roman" w:cs="Times New Roman"/>
          <w:b/>
          <w:bCs/>
        </w:rPr>
        <w:t>Figure 5</w:t>
      </w:r>
      <w:r w:rsidRPr="005459E6">
        <w:rPr>
          <w:rFonts w:ascii="Times New Roman" w:hAnsi="Times New Roman" w:cs="Times New Roman"/>
        </w:rPr>
        <w:t xml:space="preserve">, subjective experiences of happiness are referred to as "Hedonic" well-being. it consists of two parts: an affective component (high positive affect and low negative affect) and a cognitive component (high positive affect and low negative affect).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{"citationItems":[{"id":"ITEM-1","itemData":{"author":[{"dropping-particle":"","family":"Carruthers","given":"Cynthia","non-dropping-particle":"","parse-names":false,"suffix":""},{"dropping-particle":"","family":"Hood","given":"Colleen Deyell","non-dropping-particle":"","parse-names":false,"suffix":""}],"container-title":"Therapeutic Recreation Journal","id":"ITEM-1","issue":"2","issued":{"date-parts":[["2004"]]},"page":"225-245","publisher":"NATIONAL RECREATION AND PARK ASSOCIATION","title":"The power of the positive: Leisure and well-being","type":"article-journal","volume":"38"},"uris":["http://www.mendeley.com/documents/?uuid=b8e71738-4f50-434c-baba-037a8e87e95a"]}],"mendeley":{"formattedCitation":"(Carruthers &amp; Hood, 2004)","manualFormatting":"Carruthers &amp; Hood (2004)","plainTextFormattedCitation":"(Carruthers &amp; Hood, 2004)","previouslyFormattedCitation":"(Carruthers &amp; Hood,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Carruthers &amp; Hood (2004)</w:t>
      </w:r>
      <w:r w:rsidRPr="005459E6">
        <w:rPr>
          <w:rFonts w:ascii="Times New Roman" w:hAnsi="Times New Roman" w:cs="Times New Roman"/>
        </w:rPr>
        <w:fldChar w:fldCharType="end"/>
      </w:r>
      <w:r w:rsidRPr="005459E6">
        <w:rPr>
          <w:rFonts w:ascii="Times New Roman" w:hAnsi="Times New Roman" w:cs="Times New Roman"/>
        </w:rPr>
        <w:t xml:space="preserve"> believe that a person's happiness is a result of positive affect experienced by him or her.  Even if one's basic psychological well-being is consistent, daily events and experiences have an impact. If one's daily circumstances are consistently distressing, even the most resilient individual may eventually feel quite low or depressed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1548-5943","author":[{"dropping-particle":"","family":"Schneiderman","given":"Neil","non-dropping-particle":"","parse-names":false,"suffix":""},{"dropping-particle":"","family":"Ironson","given":"Gail","non-dropping-particle":"","parse-names":false,"suffix":""},{"dropping-particle":"","family":"Siegel","given":"Scott D","non-dropping-particle":"","parse-names":false,"suffix":""}],"container-title":"Annu. Rev. Clin. Psychol.","id":"ITEM-1","issued":{"date-parts":[["2005"]]},"page":"607-628","publisher":"Annual Reviews","title":"Stress and health: psychological, behavioral, and biological determinants","type":"article-journal","volume":"1"},"uris":["http://www.mendeley.com/documents/?uuid=1db958aa-feac-4a12-8e83-8d6b9ab22253"]}],"mendeley":{"formattedCitation":"(Schneiderman et al., 2005a)","manualFormatting":"(Schneiderman et al., 2005)","plainTextFormattedCitation":"(Schneiderman et al., 2005a)","previouslyFormattedCitation":"(Schneiderman et al., 2005a)"},"properties":{"noteIndex":0},"schema":"https://github.com/citation-style-language/schema/raw/master/csl-citation.json"}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(Schneiderman et al., 2005)</w:t>
      </w:r>
      <w:r w:rsidRPr="005459E6">
        <w:rPr>
          <w:rFonts w:ascii="Times New Roman" w:hAnsi="Times New Roman" w:cs="Times New Roman"/>
        </w:rPr>
        <w:fldChar w:fldCharType="end"/>
      </w:r>
      <w:r w:rsidRPr="005459E6">
        <w:rPr>
          <w:rFonts w:ascii="Times New Roman" w:hAnsi="Times New Roman" w:cs="Times New Roman"/>
        </w:rPr>
        <w:t xml:space="preserve">. As per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{"citationItems":[{"id":"ITEM-1","itemData":{"ISBN":"0203095243","author":[{"dropping-particle":"","family":"Warr","given":"Peter","non-dropping-particle":"","parse-names":false,"suffix":""}],"container-title":"Research methods in occupational health psychology","id":"ITEM-1","issued":{"date-parts":[["2012"]]},"page":"100-114","publisher":"Routledge","title":"How to think about and measure psychological well-being","type":"chapter"},"uris":["http://www.mendeley.com/documents/?uuid=8a61f25b-dd47-44a9-93fc-eb5d93dc2dce"]}],"mendeley":{"formattedCitation":"(Warr, 2012)","manualFormatting":"Warr (2012)","plainTextFormattedCitation":"(Warr, 2012)","previouslyFormattedCitation":"(Warr,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Warr (2012)</w:t>
      </w:r>
      <w:r w:rsidRPr="005459E6">
        <w:rPr>
          <w:rFonts w:ascii="Times New Roman" w:hAnsi="Times New Roman" w:cs="Times New Roman"/>
        </w:rPr>
        <w:fldChar w:fldCharType="end"/>
      </w:r>
      <w:r w:rsidRPr="005459E6">
        <w:rPr>
          <w:rFonts w:ascii="Times New Roman" w:hAnsi="Times New Roman" w:cs="Times New Roman"/>
        </w:rPr>
        <w:t xml:space="preserve">, similar to the broader construct of health, well-being takes many forms and has no single index. Existing definitions of happiness, subjective well-being, and quality of life suggest conceptual overlap among these constructs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{"citationItems":[{"id":"ITEM-1","itemData":{"DOI":"10.1016/j.psyneuen.2009.04.005","ISSN":"03064530","PMID":"19450933","abstract":"Despite growing evidence that there is substantial nightly, intra-individual variability in sleep duration and fragmentation, few studies have investigated the correlates of such variability. The current study examined whether intra-individual variability in sleep parameters was associated with psychosocial and physiological indices of stress, especially among those high in negative affect. Participants were 184 adults aged 46-78 (53% men and 41% Black) in the Pittsburgh SleepSCORE study. Wrist actigraphy was used to estimate sleep duration and fragmentation for nine nights, and overnight samples of urinary norepinephrine were collected for two nights. Stressful life events, depression, and anxiety were also reported. Intra-individual differences exceeded between-person differences in actigraphy-measured sleep duration and fragmentation. Stressful life events were associated with increased nightly variability in duration and fragmentation (ps &lt; .05). Negative affect moderated associations between norepinephrine and variability in sleep, such that the greatest variability in actigraphy measures was among those with both high norepinephrine levels and high negative affect (ps &lt; .05). These data suggest that both psychosocial and physiological stress are related to increased nightly variability in individuals' sleep duration and fragmentation, particularly among those reporting negative emotions. These results may have implications for both sleep and health research. © 2009 Elsevier Ltd. All rights reserved.","author":[{"dropping-particle":"","family":"Mezick","given":"Elizabeth J.","non-dropping-particle":"","parse-names":false,"suffix":""},{"dropping-particle":"","family":"Matthews","given":"Karen A.","non-dropping-particle":"","parse-names":false,"suffix":""},{"dropping-particle":"","family":"Hall","given":"Martica","non-dropping-particle":"","parse-names":false,"suffix":""},{"dropping-particle":"","family":"Kamarck","given":"Thomas W.","non-dropping-particle":"","parse-names":false,"suffix":""},{"dropping-particle":"","family":"Buysse","given":"Daniel J.","non-dropping-particle":"","parse-names":false,"suffix":""},{"dropping-particle":"","family":"Owens","given":"Jane F.","non-dropping-particle":"","parse-names":false,"suffix":""},{"dropping-particle":"","family":"Reis","given":"Steven E.","non-dropping-particle":"","parse-names":false,"suffix":""}],"container-title":"Psychoneuroendocrinology","id":"ITEM-1","issue":"9","issued":{"date-parts":[["2009"]]},"page":"1346-1354","title":"Intra-individual variability in sleep duration and fragmentation: Associations with stress","type":"article-journal","volume":"34"},"uris":["http://www.mendeley.com/documents/?uuid=0f3df1c2-d7e2-4645-8b94-2bb4a345e8f8"]}],"mendeley":{"formattedCitation":"(Mezick et al., 2009)","plainTextFormattedCitation":"(Mezick et al., 2009)","previouslyFormattedCitation":"(Mezick et al., 2009)"},"properties":{"noteIndex":0},"schema":"https://github.com/citation-style-language/schema/raw/master/csl-citation.json"}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(Mezick et al., 2009)</w:t>
      </w:r>
      <w:r w:rsidRPr="005459E6">
        <w:rPr>
          <w:rFonts w:ascii="Times New Roman" w:hAnsi="Times New Roman" w:cs="Times New Roman"/>
        </w:rPr>
        <w:fldChar w:fldCharType="end"/>
      </w:r>
      <w:r w:rsidRPr="005459E6">
        <w:rPr>
          <w:rFonts w:ascii="Times New Roman" w:hAnsi="Times New Roman" w:cs="Times New Roman"/>
        </w:rPr>
        <w:t xml:space="preserve">. The new reconceptualization of well-being is assumed to be synonymous with happiness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{"citationItems":[{"id":"ITEM-1","itemData":{"ISSN":"1389-4978","author":[{"dropping-particle":"","family":"Diener","given":"Ed","non-dropping-particle":"","parse-names":false,"suffix":""}],"container-title":"Journal of happiness studies","id":"ITEM-1","issue":"4","issued":{"date-parts":[["2006"]]},"page":"397-404","publisher":"Springer","title":"Guidelines for national indicators of subjective well-being and ill-being","type":"article-journal","volume":"7"},"uris":["http://www.mendeley.com/documents/?uuid=740036d5-a4ac-4abf-8271-17ce95e554c0"]}],"mendeley":{"formattedCitation":"(Diener, 2006)","manualFormatting":"Diener (2006, p. 400)","plainTextFormattedCitation":"(Diener, 2006)","previouslyFormattedCitation":"(Diener,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(2006, p. 400)</w:t>
      </w:r>
      <w:r w:rsidRPr="005459E6">
        <w:rPr>
          <w:rFonts w:ascii="Times New Roman" w:hAnsi="Times New Roman" w:cs="Times New Roman"/>
        </w:rPr>
        <w:fldChar w:fldCharType="end"/>
      </w:r>
      <w:r w:rsidRPr="005459E6">
        <w:rPr>
          <w:rFonts w:ascii="Times New Roman" w:hAnsi="Times New Roman" w:cs="Times New Roman"/>
        </w:rPr>
        <w:t xml:space="preserve"> as: </w:t>
      </w:r>
    </w:p>
    <w:p w14:paraId="50F6A3EF"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w:t>
      </w:r>
      <w:r w:rsidRPr="005459E6">
        <w:rPr>
          <w:rFonts w:ascii="Times New Roman" w:hAnsi="Times New Roman" w:cs="Times New Roman"/>
          <w:i/>
          <w:iCs/>
        </w:rPr>
        <w:t>An umbrella term for different valuations that people make regarding their lives, the events happening to them, their bodies and minds, and the circumstances in which they live” resulted in greater theoretical convergence between these constructs</w:t>
      </w:r>
      <w:r w:rsidRPr="005459E6">
        <w:rPr>
          <w:rFonts w:ascii="Times New Roman" w:hAnsi="Times New Roman" w:cs="Times New Roman"/>
        </w:rPr>
        <w:t xml:space="preserve">.” </w:t>
      </w:r>
    </w:p>
    <w:p w14:paraId="6D791377" w14:textId="7F645047" w:rsidR="00895B54"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experience of positive feelings in the form of happiness and contentment is classified as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{"citationItems":[{"id":"ITEM-1","itemData":{"DOI":"10.1111/j.1758-0854.2009.01008.x","ISSN":"17580846","abstract":"This review focuses on positive aspects of well-being, or flourishing. It examines evidence for the causes of positive well-being and also its consequences, including beneficial effects for many aspects of cognitive functioning, health, and social relationships. The neurobiological basis of psychological well-being is examined, and recent data on brain activation and neurochemical pathways are presented. Individuals vary widely in their habitual level of psychological well-being, and there is evidence for a seminal role of social factors and the early environment in this process. It is often assumed that the drivers of well-being are the same as (but in the opposite direction to) the drivers of ill-being, but while this is true for some drivers, others have more selective effects. Future developments in the science of well-being and its application require a fresh approach—beyond targeting the alleviation of disorder to a focus on personal and interpersonal flourishing. A universal intervention approach is outlined which may both increase population flourishing and reduce common mental health problems.","author":[{"dropping-particle":"","family":"Huppert","given":"Felicia A","non-dropping-particle":"","parse-names":false,"suffix":""}],"container-title":"Applied Psychology: Health and Well-Being","id":"ITEM-1","issue":"2","issued":{"date-parts":[["2009"]]},"page":"137-164","title":"Psychological Well-being: Evidence Regarding its Causes and Consequences","type":"article-journal","volume":"1"},"uris":["http://www.mendeley.com/documents/?uuid=a61117fc-aa91-4c0c-8641-00fd9273002b"]}],"mendeley":{"formattedCitation":"(Huppert, 2009)","manualFormatting":"(Huppert 2009)","plainTextFormattedCitation":"(Huppert, 2009)","previouslyFormattedCitation":"(Huppert, 2009)"},"properties":{"noteIndex":0},"schema":"https://github.com/citation-style-language/schema/raw/master/csl-citation.json"}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(Huppert 2009)</w:t>
      </w:r>
      <w:r w:rsidRPr="005459E6">
        <w:rPr>
          <w:rFonts w:ascii="Times New Roman" w:hAnsi="Times New Roman" w:cs="Times New Roman"/>
        </w:rPr>
        <w:fldChar w:fldCharType="end"/>
      </w:r>
      <w:r w:rsidRPr="005459E6">
        <w:rPr>
          <w:rFonts w:ascii="Times New Roman" w:hAnsi="Times New Roman" w:cs="Times New Roman"/>
        </w:rPr>
        <w:t xml:space="preserve">. At the same time, the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{"citationItems":[{"id":"ITEM-1","itemData":{"ISBN":"9241591595","author":[{"dropping-particle":"","family":"World Health Organization","given":"","non-dropping-particle":"","parse-names":false,"suffix":""}],"id":"ITEM-1","issued":{"date-parts":[["2004"]]},"publisher":"World Health Organization","title":"Promoting mental health: Concepts, emerging evidence, practice","type":"book"},"uris":["http://www.mendeley.com/documents/?uuid=b1409bff-7dc3-44ec-aec1-9acc195e99a6"]}],"mendeley":{"formattedCitation":"(World Health Organization, 2004)","manualFormatting":"World Health Organization (2004)","plainTextFormattedCitation":"(World Health Organization, 2004)","previouslyFormattedCitation":"(World Health Organization,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World Health Organization (2004)</w:t>
      </w:r>
      <w:r w:rsidRPr="005459E6">
        <w:rPr>
          <w:rFonts w:ascii="Times New Roman" w:hAnsi="Times New Roman" w:cs="Times New Roman"/>
        </w:rPr>
        <w:fldChar w:fldCharType="end"/>
      </w:r>
      <w:r w:rsidRPr="005459E6">
        <w:rPr>
          <w:rFonts w:ascii="Times New Roman" w:hAnsi="Times New Roman" w:cs="Times New Roman"/>
        </w:rPr>
        <w:t xml:space="preserve"> defines positive mental health as “a state of well-being in which the individual realizes his or her abilities, can cope with the normal stresses of life, can work productively and fruitfully, and </w:t>
      </w:r>
      <w:r w:rsidR="00B11551">
        <w:rPr>
          <w:rFonts w:ascii="Times New Roman" w:hAnsi="Times New Roman" w:cs="Times New Roman"/>
        </w:rPr>
        <w:t>can</w:t>
      </w:r>
      <w:r w:rsidRPr="005459E6">
        <w:rPr>
          <w:rFonts w:ascii="Times New Roman" w:hAnsi="Times New Roman" w:cs="Times New Roman"/>
        </w:rPr>
        <w:t xml:space="preserve"> make a contribution to his or her community.”  </w:t>
      </w:r>
    </w:p>
    <w:p w14:paraId="537C10FE" w14:textId="77777777" w:rsidR="00B42ABB" w:rsidRPr="005459E6" w:rsidRDefault="00B42ABB" w:rsidP="00B42ABB">
      <w:pPr>
        <w:spacing w:line="360" w:lineRule="auto"/>
        <w:jc w:val="both"/>
        <w:rPr>
          <w:rFonts w:ascii="Times New Roman" w:hAnsi="Times New Roman" w:cs="Times New Roman"/>
        </w:rPr>
      </w:pPr>
    </w:p>
    <w:p w14:paraId="36507C5D" w14:textId="77777777" w:rsidR="009E2248" w:rsidRPr="005459E6" w:rsidRDefault="009E2248" w:rsidP="00B42ABB">
      <w:pPr>
        <w:spacing w:line="360" w:lineRule="auto"/>
        <w:jc w:val="both"/>
        <w:rPr>
          <w:rFonts w:ascii="Times New Roman" w:hAnsi="Times New Roman" w:cs="Times New Roman"/>
        </w:rPr>
      </w:pPr>
    </w:p>
    <w:p w14:paraId="0164F8F5" w14:textId="77777777" w:rsidR="009E2248" w:rsidRPr="005459E6" w:rsidRDefault="009E2248" w:rsidP="00B42ABB">
      <w:pPr>
        <w:spacing w:line="360" w:lineRule="auto"/>
        <w:jc w:val="both"/>
        <w:rPr>
          <w:rFonts w:ascii="Times New Roman" w:hAnsi="Times New Roman" w:cs="Times New Roman"/>
        </w:rPr>
      </w:pPr>
    </w:p>
    <w:p w14:paraId="59A4BF35"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92" w:name="_Toc88315262"/>
      <w:bookmarkStart w:id="93" w:name="_Toc104746490"/>
      <w:bookmarkStart w:id="94" w:name="_Toc104827771"/>
      <w:bookmarkStart w:id="95" w:name="_Toc107248281"/>
      <w:r w:rsidRPr="005459E6">
        <w:rPr>
          <w:rFonts w:ascii="Times New Roman" w:hAnsi="Times New Roman" w:cs="Times New Roman"/>
          <w:color w:val="auto"/>
          <w:sz w:val="22"/>
          <w:szCs w:val="22"/>
        </w:rPr>
        <w:t>SD-L and Interplay of Actors</w:t>
      </w:r>
      <w:bookmarkEnd w:id="92"/>
      <w:bookmarkEnd w:id="93"/>
      <w:bookmarkEnd w:id="94"/>
      <w:bookmarkEnd w:id="95"/>
    </w:p>
    <w:p w14:paraId="6D4011D6" w14:textId="0F49EAB6" w:rsidR="00B606C1" w:rsidRPr="005459E6" w:rsidRDefault="00B606C1" w:rsidP="00B606C1">
      <w:pPr>
        <w:spacing w:line="360" w:lineRule="auto"/>
        <w:jc w:val="both"/>
        <w:rPr>
          <w:rFonts w:ascii="Times New Roman" w:hAnsi="Times New Roman" w:cs="Times New Roman"/>
        </w:rPr>
      </w:pPr>
      <w:r w:rsidRPr="005459E6">
        <w:rPr>
          <w:rFonts w:ascii="Times New Roman" w:hAnsi="Times New Roman" w:cs="Times New Roman"/>
        </w:rPr>
        <w:t xml:space="preserve">Service science is a relatively new field that investigates the interaction, evolution, and mutual co-creation of value among service systems. This is where dynamic resource configurations for other service systems </w:t>
      </w:r>
      <w:r w:rsidR="00F42435" w:rsidRPr="005459E6">
        <w:rPr>
          <w:rFonts w:ascii="Times New Roman" w:hAnsi="Times New Roman" w:cs="Times New Roman"/>
        </w:rPr>
        <w:t>are</w:t>
      </w:r>
      <w:r w:rsidRPr="005459E6">
        <w:rPr>
          <w:rFonts w:ascii="Times New Roman" w:hAnsi="Times New Roman" w:cs="Times New Roman"/>
        </w:rPr>
        <w:t xml:space="preserve"> formed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{"citationItems":[{"id":"ITEM-1","itemData":{"ISSN":"0092-0703","author":[{"dropping-particle":"","family":"Maglio","given":"Paul P","non-dropping-particle":"","parse-names":false,"suffix":""},{"dropping-particle":"","family":"Spohrer","given":"Jim","non-dropping-particle":"","parse-names":false,"suffix":""}],"container-title":"Journal of the academy of marketing science","id":"ITEM-1","issue":"1","issued":{"date-parts":[["2008"]]},"page":"18-20","publisher":"Springer","title":"Fundamentals of service science","type":"article-journal","volume":"36"},"uris":["http://www.mendeley.com/documents/?uuid=c674f375-a61d-4b4c-9be3-40de19dccae4"]},{"id":"ITEM-2","itemData":{"DOI":"10.1007/s10257-008-0105-1","ISSN":"16179846","abstract":"Abstraction is a powerful thing. During the nineteenth century, the Industrial Revolution was built on many powerful abstractions, such as mass, energy, work, and power. During the twentieth century, the information revolution was built on many powerful abstractions, such as binary digit or bit, binary coding, and algorithmic complexity. Here, we propose an abstraction for the twenty-first century, in which there is an emerging revolution in thinking about business and economics based on a service-dominant logic. The worldview of service-dominant logic stands in sharp contrast to the worldview of the goods-dominant logic of the past, as it holds service - the application of competences for benefit of others - rather than goods to be the fundamental basis of economic exchange. Within this new worldview, we suggest the basic abstraction is the service system, a configuration of people, technologies, and other resources that interact with other service systems to create mutual value. Many systems can be viewed as service systems, including families, cities, and companies, among many others. In this paper, we show how the service-system abstraction can be used to understand how value is co-created, in the process laying the foundation for an integrated science of service. © Springer-Verlag 2009.","author":[{"dropping-particle":"","family":"Maglio","given":"Paul P.","non-dropping-particle":"","parse-names":false,"suffix":""},{"dropping-particle":"","family":"Vargo","given":"Stephen L.","non-dropping-particle":"","parse-names":false,"suffix":""},{"dropping-particle":"","family":"Caswell","given":"Nathan","non-dropping-particle":"","parse-names":false,"suffix":""},{"dropping-particle":"","family":"Spohrer","given":"Jim","non-dropping-particle":"","parse-names":false,"suffix":""}],"container-title":"Information Systems and e-Business Management","id":"ITEM-2","issue":"4 SPEC. ISS.","issued":{"date-parts":[["2009"]]},"page":"395-406","title":"The service system is the basic abstraction of service science","type":"article-journal","volume":"7"},"uris":["http://www.mendeley.com/documents/?uuid=da723fc0-1d41-4cba-a4dd-320e93bcf28e"]}],"mendeley":{"formattedCitation":"(Maglio et al., 2009; Maglio &amp; Spohrer, 2008)","plainTextFormattedCitation":"(Maglio et al., 2009; Maglio &amp; Spohrer, 2008)","previouslyFormattedCitation":"(Maglio et al., 2009; Maglio &amp; Spohrer,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(Maglio et al., 2009; Maglio &amp; Spohrer, 2008)</w:t>
      </w:r>
      <w:r w:rsidRPr="005459E6">
        <w:rPr>
          <w:rFonts w:ascii="Times New Roman" w:hAnsi="Times New Roman" w:cs="Times New Roman"/>
        </w:rPr>
        <w:fldChar w:fldCharType="end"/>
      </w:r>
      <w:r w:rsidRPr="005459E6">
        <w:rPr>
          <w:rFonts w:ascii="Times New Roman" w:hAnsi="Times New Roman" w:cs="Times New Roman"/>
        </w:rPr>
        <w:t xml:space="preserve"> to generate value. S-D logic represents such dynamic interaction of resource-integrating actors linked </w:t>
      </w:r>
      <w:r w:rsidR="00BD35F7" w:rsidRPr="005459E6">
        <w:rPr>
          <w:rFonts w:ascii="Times New Roman" w:hAnsi="Times New Roman" w:cs="Times New Roman"/>
        </w:rPr>
        <w:t>through</w:t>
      </w:r>
      <w:r w:rsidRPr="005459E6">
        <w:rPr>
          <w:rFonts w:ascii="Times New Roman" w:hAnsi="Times New Roman" w:cs="Times New Roman"/>
        </w:rPr>
        <w:t xml:space="preserve"> shared institutional arrangements and mutually creating value </w:t>
      </w:r>
      <w:r w:rsidR="00F42435" w:rsidRPr="005459E6">
        <w:rPr>
          <w:rFonts w:ascii="Times New Roman" w:hAnsi="Times New Roman" w:cs="Times New Roman"/>
        </w:rPr>
        <w:t>through</w:t>
      </w:r>
      <w:r w:rsidRPr="005459E6">
        <w:rPr>
          <w:rFonts w:ascii="Times New Roman" w:hAnsi="Times New Roman" w:cs="Times New Roman"/>
        </w:rPr>
        <w:t xml:space="preserve"> </w:t>
      </w:r>
      <w:r w:rsidR="001B2A95" w:rsidRPr="005459E6">
        <w:rPr>
          <w:rFonts w:ascii="Times New Roman" w:hAnsi="Times New Roman" w:cs="Times New Roman"/>
        </w:rPr>
        <w:t xml:space="preserve">the </w:t>
      </w:r>
      <w:r w:rsidRPr="005459E6">
        <w:rPr>
          <w:rFonts w:ascii="Times New Roman" w:hAnsi="Times New Roman" w:cs="Times New Roman"/>
        </w:rPr>
        <w:t xml:space="preserve">exchange of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{"citationItems":[{"id":"ITEM-1","itemData":{"DOI":"10.1007/s11747-015-0456-3","ISSN":"00920703","abstract":"Service-dominant logic continues its evolution, facilitated by an active community of scholars throughout the world. Along its evolutionary path, there has been increased recognition of the need for a crisper and more precise delineation of the foundational premises and specification of the axioms of S-D logic. It also has become apparent that a limitation of the current foundational premises/axioms is the absence of a clearly articulated specification of the mechanisms of (often massive-scale) coordination and cooperation involved in the cocreation of value through markets and, more broadly, in society. This is especially important because markets are even more about cooperation than about the competition that is more frequently discussed. To alleviate this limitation and facilitate a better understanding of cooperation (and coordination), an eleventh foundational premise (fifth axiom) is introduced, focusing on the role of institutions and institutional arrangements in systems of value cocreation: service ecosystems. Literature on institutions across multiple social disciplines, including marketing, is briefly reviewed and offered as further support for this fifth axiom.","author":[{"dropping-particle":"","family":"Vargo","given":"Stephen L.","non-dropping-particle":"","parse-names":false,"suffix":""},{"dropping-particle":"","family":"Lusch","given":"Robert F.","non-dropping-particle":"","parse-names":false,"suffix":""}],"container-title":"Journal of the Academy of Marketing Science","id":"ITEM-1","issue":"1","issued":{"date-parts":[["2016"]]},"page":"5-23","title":"Institutions and axioms: an extension and update of service-dominant logic","type":"article-journal","volume":"44"},"uris":["http://www.mendeley.com/documents/?uuid=8e638acb-536e-43f2-a2f5-7358e3c42b96"]}],"mendeley":{"formattedCitation":"(S. L. Vargo &amp; Lusch, 2016)","manualFormatting":"(Vargo &amp; Lusch, 2016)","plainTextFormattedCitation":"(S. L. Vargo &amp; Lusch, 2016)","previouslyFormattedCitation":"(S. L. Vargo &amp; Lusch,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2016)</w:t>
      </w:r>
      <w:r w:rsidRPr="005459E6">
        <w:rPr>
          <w:rFonts w:ascii="Times New Roman" w:hAnsi="Times New Roman" w:cs="Times New Roman"/>
        </w:rPr>
        <w:fldChar w:fldCharType="end"/>
      </w:r>
      <w:r w:rsidRPr="005459E6">
        <w:rPr>
          <w:rFonts w:ascii="Times New Roman" w:hAnsi="Times New Roman" w:cs="Times New Roman"/>
        </w:rPr>
        <w:t>.</w:t>
      </w:r>
    </w:p>
    <w:p w14:paraId="4CEA595B" w14:textId="2767CF31" w:rsidR="00A65B12" w:rsidRPr="005459E6" w:rsidRDefault="00BC18C0" w:rsidP="00BC18C0">
      <w:pPr>
        <w:spacing w:line="360" w:lineRule="auto"/>
        <w:jc w:val="both"/>
        <w:rPr>
          <w:rFonts w:ascii="Times New Roman" w:hAnsi="Times New Roman" w:cs="Times New Roman"/>
        </w:rPr>
      </w:pPr>
      <w:r w:rsidRPr="005459E6">
        <w:rPr>
          <w:rFonts w:ascii="Times New Roman" w:hAnsi="Times New Roman" w:cs="Times New Roman"/>
        </w:rPr>
        <w:t xml:space="preserve">As per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{"citationItems":[{"id":"ITEM-1","itemData":{"DOI":"10.1007/s12087-010-0046-0","ISSN":"1864-0753","abstract":"this article anchors a special issue on a service-dominant logic perspective on rela-tionship, stemming from a special session at the 9th International Conference on relationship marketing in Berlin in 2009. It also proposes and elaborates a service-dominant-logic-based, transcending conceptualization of relationship that was the basis for that special session and links it to a model of service ecosystems through which value creation can be better understood and, thus, businesses can be better informed. the foundations of the concept of \" relationship \" in academic marketing thought are gener-ally acknowledged to be found in both service marketing and business-to-business (B2B) marketing (Ballantyne et al. 2003; Gronroos 2000; mattsson 1997). Since its introduc-tion, it has transitioned to a central concept in mainstream marketing as well, in which it is most often conceptualized in terms of maximizing customer lifetime value (CLV) through repeat patronage—ongoing exchange through multiple economic transactions involving units of output (see Christopher et al. 2004). as such, the concept can be seen as at least partially goods-dominant (G-D) logic oriented. If, however, as we (e.g., Vargo and Lusch 2004a, 2008a) have suggested, marketing is evolving to a new, transcending dominant logic—what we and others have called service-dominant (S-D) logic—that reframes the conceptualizations of service(s), goods, and transactions, it suggests that a transcending, S-D-logic-compatible conceptualization of relationship is also appropriate. this article is intended to explore the implications of an S-D-logic-compatible concep-tualization of relationship and also to anchor this special issue of the Journal of Business Market Management on the same topic 1","author":[{"dropping-particle":"","family":"Vargo","given":"Stephen L.","non-dropping-particle":"","parse-names":false,"suffix":""},{"dropping-particle":"","family":"Lusch","given":"Robert F.","non-dropping-particle":"","parse-names":false,"suffix":""}],"container-title":"Journal of Business Market Management","id":"ITEM-1","issue":"4","issued":{"date-parts":[["2010"]]},"page":"169-179","title":"From Repeat Patronage to Value Co-creation in Service Ecosystems: A Transcending Conceptualization of Relationship","type":"article-journal","volume":"4"},"uris":["http://www.mendeley.com/documents/?uuid=e1a44bbe-2e40-4933-9bf4-920d3c845c50"]}],"mendeley":{"formattedCitation":"(S. L. Vargo &amp; Lusch, 2010a)","manualFormatting":"Vargo &amp; Lusch (2010)","plainTextFormattedCitation":"(S. L. Vargo &amp; Lusch, 2010a)","previouslyFormattedCitation":"(S. L. Vargo &amp; Lusch, 2010a)"},"properties":{"noteIndex":0},"schema":"https://github.com/citation-style-language/schema/raw/master/csl-citation.json"}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(2010)</w:t>
      </w:r>
      <w:r w:rsidRPr="005459E6">
        <w:rPr>
          <w:rFonts w:ascii="Times New Roman" w:hAnsi="Times New Roman" w:cs="Times New Roman"/>
        </w:rPr>
        <w:fldChar w:fldCharType="end"/>
      </w:r>
      <w:r w:rsidRPr="005459E6">
        <w:rPr>
          <w:rFonts w:ascii="Times New Roman" w:hAnsi="Times New Roman" w:cs="Times New Roman"/>
        </w:rPr>
        <w:t>, SD-L focuses on intangibles as the primary interest in a transaction,</w:t>
      </w:r>
      <w:r w:rsidR="0003618E" w:rsidRPr="005459E6">
        <w:rPr>
          <w:rFonts w:ascii="Times New Roman" w:hAnsi="Times New Roman" w:cs="Times New Roman"/>
        </w:rPr>
        <w:t xml:space="preserve"> which</w:t>
      </w:r>
      <w:r w:rsidRPr="005459E6">
        <w:rPr>
          <w:rFonts w:ascii="Times New Roman" w:hAnsi="Times New Roman" w:cs="Times New Roman"/>
        </w:rPr>
        <w:t xml:space="preserve"> has the potential to drastically alter operations and overall strategic view to achiev</w:t>
      </w:r>
      <w:r w:rsidR="00F42435" w:rsidRPr="005459E6">
        <w:rPr>
          <w:rFonts w:ascii="Times New Roman" w:hAnsi="Times New Roman" w:cs="Times New Roman"/>
        </w:rPr>
        <w:t>ing</w:t>
      </w:r>
      <w:r w:rsidRPr="005459E6">
        <w:rPr>
          <w:rFonts w:ascii="Times New Roman" w:hAnsi="Times New Roman" w:cs="Times New Roman"/>
        </w:rPr>
        <w:t xml:space="preserve"> mutual benefits. S-D logic involves the exchange of service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{"citationItems":[{"id":"ITEM-1","itemData":{"ISSN":"1470-5931","author":[{"dropping-particle":"","family":"Lusch","given":"Robert F","non-dropping-particle":"","parse-names":false,"suffix":""},{"dropping-particle":"","family":"Vargo","given":"Stephen L","non-dropping-particle":"","parse-names":false,"suffix":""}],"container-title":"Marketing theory","id":"ITEM-1","issue":"3","issued":{"date-parts":[["2006"]]},"page":"281-288","publisher":"Sage Publications Sage CA: Thousand Oaks, CA","title":"Service-dominant logic: reactions, reflections and refinements","type":"article-journal","volume":"6"},"uris":["http://www.mendeley.com/documents/?uuid=b5005e19-c053-4d26-9c12-211c7f726936"]}],"mendeley":{"formattedCitation":"(Lusch &amp; Vargo, 2006)","plainTextFormattedCitation":"(Lusch &amp; Vargo, 2006)","previouslyFormattedCitation":"(Lusch &amp; Vargo,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(Lusch &amp; Vargo, 2006)</w:t>
      </w:r>
      <w:r w:rsidRPr="005459E6">
        <w:rPr>
          <w:rFonts w:ascii="Times New Roman" w:hAnsi="Times New Roman" w:cs="Times New Roman"/>
        </w:rPr>
        <w:fldChar w:fldCharType="end"/>
      </w:r>
      <w:r w:rsidRPr="005459E6">
        <w:rPr>
          <w:rFonts w:ascii="Times New Roman" w:hAnsi="Times New Roman" w:cs="Times New Roman"/>
        </w:rPr>
        <w:t xml:space="preserve"> as well as the co-creation of customer value and satisfaction </w:t>
      </w:r>
      <w:r w:rsidRPr="005459E6">
        <w:rPr>
          <w:rFonts w:ascii="Times New Roman" w:hAnsi="Times New Roman" w:cs="Times New Roman"/>
        </w:rPr>
        <w:fldChar w:fldCharType="begin" w:fldLock="1"/>
      </w:r>
      <w:r w:rsidR="000B0CE8" w:rsidRPr="005459E6">
        <w:rPr>
          <w:rFonts w:ascii="Times New Roman" w:hAnsi="Times New Roman" w:cs="Times New Roman"/>
        </w:rPr>
        <w:instrText>ADDIN CSL_CITATION {"citationItems":[{"id":"ITEM-1","itemData":{"author":[{"dropping-particle":"","family":"Vargo","given":"Stephen","non-dropping-particle":"","parse-names":false,"suffix":""},{"dropping-particle":"","family":"Lusch","given":"Robert","non-dropping-particle":"","parse-names":false,"suffix":""}],"container-title":"Journal of the Academy of Marketing Science","id":"ITEM-1","issue":"3","issued":{"date-parts":[["2006","1","1"]]},"page":"281-288","title":"Service-dominant logic: What it is, What it is not, What it might be. The service dominant logic of marketing: Dialog debate and directions","type":"article-journal","volume":"6"},"uris":["http://www.mendeley.com/documents/?uuid=db7959ba-452c-4db1-bdff-3c4934949b78"]}],"mendeley":{"formattedCitation":"(S. Vargo &amp; Lusch, 2006)","manualFormatting":"(Vargo &amp; Lusch, 2006)","plainTextFormattedCitation":"(S. Vargo &amp; Lusch, 2006)","previouslyFormattedCitation":"(S. Vargo &amp; Lusch,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2006)</w:t>
      </w:r>
      <w:r w:rsidRPr="005459E6">
        <w:rPr>
          <w:rFonts w:ascii="Times New Roman" w:hAnsi="Times New Roman" w:cs="Times New Roman"/>
        </w:rPr>
        <w:fldChar w:fldCharType="end"/>
      </w:r>
      <w:r w:rsidRPr="005459E6">
        <w:rPr>
          <w:rFonts w:ascii="Times New Roman" w:hAnsi="Times New Roman" w:cs="Times New Roman"/>
        </w:rPr>
        <w:t xml:space="preserve"> throughout the encounter. SD-L argues that actors constantly integrate, apply, and trade available resources from diverse sources for value co-creation, highlighting the dynamic and complex character of value co-creation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Management","id":"ITEM-1","issue":"2","issued":{"date-parts":[["2011"]]},"page":"181-187","publisher":"Elsevier Inc.","title":"It's all B2B...and beyond: Toward a systems perspective of the market","type":"article-journal","volume":"40"},"uris":["http://www.mendeley.com/documents/?uuid=a97ea4e2-4b0b-4720-83c3-c42ff3bce304"]}],"mendeley":{"formattedCitation":"(S. L. Vargo &amp; Lusch, 2011)","manualFormatting":"(Vargo &amp; Lusch, 2011)","plainTextFormattedCitation":"(S. L. Vargo &amp; Lusch, 2011)","previouslyFormattedCitation":"(S. L. Vargo &amp; Lusch,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2011)</w:t>
      </w:r>
      <w:r w:rsidRPr="005459E6">
        <w:rPr>
          <w:rFonts w:ascii="Times New Roman" w:hAnsi="Times New Roman" w:cs="Times New Roman"/>
        </w:rPr>
        <w:fldChar w:fldCharType="end"/>
      </w:r>
      <w:r w:rsidRPr="005459E6">
        <w:rPr>
          <w:rFonts w:ascii="Times New Roman" w:hAnsi="Times New Roman" w:cs="Times New Roman"/>
        </w:rPr>
        <w:t xml:space="preserve">. </w:t>
      </w:r>
    </w:p>
    <w:p w14:paraId="2FF05B44" w14:textId="74C56861" w:rsidR="00BC18C0" w:rsidRPr="005459E6" w:rsidRDefault="00BC18C0" w:rsidP="00BC18C0">
      <w:pPr>
        <w:spacing w:line="360" w:lineRule="auto"/>
        <w:jc w:val="both"/>
        <w:rPr>
          <w:rFonts w:ascii="Times New Roman" w:hAnsi="Times New Roman" w:cs="Times New Roman"/>
        </w:rPr>
      </w:pPr>
      <w:r w:rsidRPr="005459E6">
        <w:rPr>
          <w:rFonts w:ascii="Times New Roman" w:hAnsi="Times New Roman" w:cs="Times New Roman"/>
        </w:rPr>
        <w:t>S-D logic</w:t>
      </w:r>
      <w:r w:rsidR="00117814" w:rsidRPr="005459E6">
        <w:rPr>
          <w:rFonts w:ascii="Times New Roman" w:hAnsi="Times New Roman" w:cs="Times New Roman"/>
        </w:rPr>
        <w:t>’s</w:t>
      </w:r>
      <w:r w:rsidRPr="005459E6">
        <w:rPr>
          <w:rFonts w:ascii="Times New Roman" w:hAnsi="Times New Roman" w:cs="Times New Roman"/>
        </w:rPr>
        <w:t xml:space="preserve"> metatheoretical framework not only accommodates institutional configurations; but also serves as a coordinating framework for a</w:t>
      </w:r>
      <w:r w:rsidR="00F42435" w:rsidRPr="005459E6">
        <w:rPr>
          <w:rFonts w:ascii="Times New Roman" w:hAnsi="Times New Roman" w:cs="Times New Roman"/>
        </w:rPr>
        <w:t>n</w:t>
      </w:r>
      <w:r w:rsidRPr="005459E6">
        <w:rPr>
          <w:rFonts w:ascii="Times New Roman" w:hAnsi="Times New Roman" w:cs="Times New Roman"/>
        </w:rPr>
        <w:t xml:space="preserve"> understanding of value co-creation processes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{"citationItems":[{"id":"ITEM-1","itemData":{"ISBN":"9780815372530","author":[{"dropping-particle":"","family":"Vargo","given":"Stephen L","non-dropping-particle":"","parse-names":false,"suffix":""},{"dropping-particle":"","family":"Koskela-huotari","given":"Kaisa","non-dropping-particle":"","parse-names":false,"suffix":""},{"dropping-particle":"","family":"Vink","given":"Josina","non-dropping-particle":"","parse-names":false,"suffix":""}],"id":"ITEM-1","issue":"April","issued":{"date-parts":[["2020"]]},"title":"Service-Dominant Logic : Foundations and Applications","type":"book"},"uris":["http://www.mendeley.com/documents/?uuid=f9436d88-fb44-4ef3-a99d-1877a0b9b28e"]}],"mendeley":{"formattedCitation":"(S. L. Vargo et al., 2020)","manualFormatting":"(Vargo et al., 2020)","plainTextFormattedCitation":"(S. L. Vargo et al., 2020)","previouslyFormattedCitation":"(S. L. Vargo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et al., 2020)</w:t>
      </w:r>
      <w:r w:rsidRPr="005459E6">
        <w:rPr>
          <w:rFonts w:ascii="Times New Roman" w:hAnsi="Times New Roman" w:cs="Times New Roman"/>
        </w:rPr>
        <w:fldChar w:fldCharType="end"/>
      </w:r>
      <w:r w:rsidRPr="005459E6">
        <w:rPr>
          <w:rFonts w:ascii="Times New Roman" w:hAnsi="Times New Roman" w:cs="Times New Roman"/>
        </w:rPr>
        <w:t xml:space="preserve">. Along the same lines given study shows how value is created at </w:t>
      </w:r>
      <w:r w:rsidR="00F159CD" w:rsidRPr="005459E6">
        <w:rPr>
          <w:rFonts w:ascii="Times New Roman" w:hAnsi="Times New Roman" w:cs="Times New Roman"/>
        </w:rPr>
        <w:t>different</w:t>
      </w:r>
      <w:r w:rsidRPr="005459E6">
        <w:rPr>
          <w:rFonts w:ascii="Times New Roman" w:hAnsi="Times New Roman" w:cs="Times New Roman"/>
        </w:rPr>
        <w:t xml:space="preserve"> levels where it relates to well-being on an individual level, but also has an organizational impact in the form of workplace productivity. These structural assemblages can be viewed as micro, meso, or macro assemblages for analytical purposes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{"citationItems":[{"id":"ITEM-1","itemData":{"ISSN":"1470-5931","author":[{"dropping-particle":"","family":"Chandler","given":"Jennifer D","non-dropping-particle":"","parse-names":false,"suffix":""},{"dropping-particle":"","family":"Vargo","given":"Stephen L","non-dropping-particle":"","parse-names":false,"suffix":""}],"container-title":"Marketing theory","id":"ITEM-1","issue":"1","issued":{"date-parts":[["2011"]]},"page":"35-49","publisher":"SAGE Publications Sage UK: London, England","title":"Contextualization and value-in-context: How context frames exchange","type":"article-journal","volume":"11"},"uris":["http://www.mendeley.com/documents/?uuid=23e2320f-37fe-49be-b0f8-8a372c579e2c"]}],"mendeley":{"formattedCitation":"(Chandler &amp; Vargo, 2011)","plainTextFormattedCitation":"(Chandler &amp; Vargo, 2011)","previouslyFormattedCitation":"(Chandler &amp; Vargo,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(Chandler &amp; Vargo, 2011)</w:t>
      </w:r>
      <w:r w:rsidRPr="005459E6">
        <w:rPr>
          <w:rFonts w:ascii="Times New Roman" w:hAnsi="Times New Roman" w:cs="Times New Roman"/>
        </w:rPr>
        <w:fldChar w:fldCharType="end"/>
      </w:r>
      <w:r w:rsidRPr="005459E6">
        <w:rPr>
          <w:rFonts w:ascii="Times New Roman" w:hAnsi="Times New Roman" w:cs="Times New Roman"/>
        </w:rPr>
        <w:t xml:space="preserve">. </w:t>
      </w:r>
    </w:p>
    <w:p w14:paraId="01360E1D" w14:textId="5442406E" w:rsidR="00370B4C" w:rsidRPr="005459E6" w:rsidRDefault="00370B4C" w:rsidP="00370B4C">
      <w:pPr>
        <w:spacing w:line="360" w:lineRule="auto"/>
        <w:jc w:val="both"/>
        <w:rPr>
          <w:rFonts w:ascii="Times New Roman" w:hAnsi="Times New Roman" w:cs="Times New Roman"/>
        </w:rPr>
      </w:pPr>
      <w:r w:rsidRPr="005459E6">
        <w:rPr>
          <w:rFonts w:ascii="Times New Roman" w:hAnsi="Times New Roman" w:cs="Times New Roman"/>
        </w:rPr>
        <w:t xml:space="preserve">S-D logic is based on the interwoven fabric of actors knitted together into networks and societies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{"citationItems":[{"id":"ITEM-1","itemData":{"ISBN":"1139952021","author":[{"dropping-particle":"","family":"Lusch","given":"Robert F","non-dropping-particle":"","parse-names":false,"suffix":""},{"dropping-particle":"","family":"Vargo","given":"Stephen L","non-dropping-particle":"","parse-names":false,"suffix":""}],"id":"ITEM-1","issued":{"date-parts":[["2014"]]},"publisher":"Cambridge University Press","title":"Service-dominant logic: Premises, perspectives, possibilities","type":"book"},"uris":["http://www.mendeley.com/documents/?uuid=4179b548-a9cc-4d65-8c69-8db61cf77de3"]}],"mendeley":{"formattedCitation":"(Lusch &amp; Vargo, 2014)","plainTextFormattedCitation":"(Lusch &amp; Vargo, 2014)","previouslyFormattedCitation":"(Lusch &amp; Vargo,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(Lusch &amp; Vargo, 2014)</w:t>
      </w:r>
      <w:r w:rsidRPr="005459E6">
        <w:rPr>
          <w:rFonts w:ascii="Times New Roman" w:hAnsi="Times New Roman" w:cs="Times New Roman"/>
        </w:rPr>
        <w:fldChar w:fldCharType="end"/>
      </w:r>
      <w:r w:rsidRPr="005459E6">
        <w:rPr>
          <w:rFonts w:ascii="Times New Roman" w:hAnsi="Times New Roman" w:cs="Times New Roman"/>
        </w:rPr>
        <w:t xml:space="preserve">. Interacting with multiple actors in the digital age </w:t>
      </w:r>
      <w:r w:rsidR="00EE0A7C" w:rsidRPr="005459E6">
        <w:rPr>
          <w:rFonts w:ascii="Times New Roman" w:hAnsi="Times New Roman" w:cs="Times New Roman"/>
        </w:rPr>
        <w:t>engages in</w:t>
      </w:r>
      <w:r w:rsidRPr="005459E6">
        <w:rPr>
          <w:rFonts w:ascii="Times New Roman" w:hAnsi="Times New Roman" w:cs="Times New Roman"/>
        </w:rPr>
        <w:t xml:space="preserve"> resource integration and, ultimately, fulfills value co-creation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{"citationItems":[{"id":"ITEM-1","itemData":{"DOI":"10.1007/978-3-030-48332-6_19","ISBN":"978-3-030-48332-6","abstract":"In the digital age, companies compete on how well their service meets customer needs and solves customer problems, interacting with ever more actors to fulfill their promise. A well-suited mid-range theory to conduct research in this “new” world is service-dominant (S-D) logic. However, there are no guidelines or a commonly agreed framework for systematically conducting S-D logic research. To fill this gap, this chapter reviews and analyzes the use of S-D logic in research. It provides recommendations for conducting S-D logic in research and proposes an organizing framework for applied research settings and beyond.","author":[{"dropping-particle":"","family":"Ehrenthal","given":"Joachim C F","non-dropping-particle":"","parse-names":false,"suffix":""},{"dropping-particle":"","family":"Gruen","given":"Thomas W","non-dropping-particle":"","parse-names":false,"suffix":""},{"dropping-particle":"","family":"Hofstetter","given":"Joerg S","non-dropping-particle":"","parse-names":false,"suffix":""}],"editor":[{"dropping-particle":"","family":"Dornberger","given":"Rolf","non-dropping-particle":"","parse-names":false,"suffix":""}],"id":"ITEM-1","issued":{"date-parts":[["2021"]]},"page":"281-297","publisher":"Springer International Publishing","publisher-place":"Cham","title":"Recommendations for Conducting Service-Dominant Logic Research BT  - New Trends in Business Information Systems and Technology: Digital Innovation and Digital Business Transformation","type":"chapter"},"uris":["http://www.mendeley.com/documents/?uuid=ab1edb79-d030-4cb2-a45a-a2e84ab44377"]}],"mendeley":{"formattedCitation":"(Ehrenthal et al., 2021)","plainTextFormattedCitation":"(Ehrenthal et al., 2021)","previouslyFormattedCitation":"(Ehrenthal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(Ehrenthal et al., 2021)</w:t>
      </w:r>
      <w:r w:rsidRPr="005459E6">
        <w:rPr>
          <w:rFonts w:ascii="Times New Roman" w:hAnsi="Times New Roman" w:cs="Times New Roman"/>
        </w:rPr>
        <w:fldChar w:fldCharType="end"/>
      </w:r>
      <w:r w:rsidRPr="005459E6">
        <w:rPr>
          <w:rFonts w:ascii="Times New Roman" w:hAnsi="Times New Roman" w:cs="Times New Roman"/>
        </w:rPr>
        <w:t xml:space="preserve">.  One of the most significant S-D logic elaborations has been zooming out to provide a holistic portrayal of </w:t>
      </w:r>
      <w:r w:rsidR="00F42435" w:rsidRPr="005459E6">
        <w:rPr>
          <w:rFonts w:ascii="Times New Roman" w:hAnsi="Times New Roman" w:cs="Times New Roman"/>
        </w:rPr>
        <w:t xml:space="preserve">the </w:t>
      </w:r>
      <w:r w:rsidRPr="005459E6">
        <w:rPr>
          <w:rFonts w:ascii="Times New Roman" w:hAnsi="Times New Roman" w:cs="Times New Roman"/>
        </w:rPr>
        <w:t xml:space="preserve">value creation </w:t>
      </w:r>
      <w:r w:rsidR="004E30D0" w:rsidRPr="005459E6">
        <w:rPr>
          <w:rFonts w:ascii="Times New Roman" w:hAnsi="Times New Roman" w:cs="Times New Roman"/>
        </w:rPr>
        <w:t xml:space="preserve">process </w:t>
      </w:r>
      <w:r w:rsidRPr="005459E6">
        <w:rPr>
          <w:rFonts w:ascii="Times New Roman" w:hAnsi="Times New Roman" w:cs="Times New Roman"/>
        </w:rPr>
        <w:t xml:space="preserve">via a broader set of actors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{"citationItems":[{"id":"ITEM-1","itemData":{"DOI":"10.1007/s11747-015-0456-3","ISSN":"00920703","abstract":"Service-dominant logic continues its evolution, facilitated by an active community of scholars throughout the world. Along its evolutionary path, there has been increased recognition of the need for a crisper and more precise delineation of the foundational premises and specification of the axioms of S-D logic. It also has become apparent that a limitation of the current foundational premises/axioms is the absence of a clearly articulated specification of the mechanisms of (often massive-scale) coordination and cooperation involved in the cocreation of value through markets and, more broadly, in society. This is especially important because markets are even more about cooperation than about the competition that is more frequently discussed. To alleviate this limitation and facilitate a better understanding of cooperation (and coordination), an eleventh foundational premise (fifth axiom) is introduced, focusing on the role of institutions and institutional arrangements in systems of value cocreation: service ecosystems. Literature on institutions across multiple social disciplines, including marketing, is briefly reviewed and offered as further support for this fifth axiom.","author":[{"dropping-particle":"","family":"Vargo","given":"Stephen L.","non-dropping-particle":"","parse-names":false,"suffix":""},{"dropping-particle":"","family":"Lusch","given":"Robert F.","non-dropping-particle":"","parse-names":false,"suffix":""}],"container-title":"Journal of the Academy of Marketing Science","id":"ITEM-1","issue":"1","issued":{"date-parts":[["2016"]]},"page":"5-23","title":"Institutions and axioms: an extension and update of service-dominant logic","type":"article-journal","volume":"44"},"uris":["http://www.mendeley.com/documents/?uuid=8e638acb-536e-43f2-a2f5-7358e3c42b96"]}],"mendeley":{"formattedCitation":"(S. L. Vargo &amp; Lusch, 2016)","manualFormatting":"(Vargo &amp; Lusch, 2016)","plainTextFormattedCitation":"(S. L. Vargo &amp; Lusch, 2016)","previouslyFormattedCitation":"(S. L. Vargo &amp; Lusch,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2016)</w:t>
      </w:r>
      <w:r w:rsidRPr="005459E6">
        <w:rPr>
          <w:rFonts w:ascii="Times New Roman" w:hAnsi="Times New Roman" w:cs="Times New Roman"/>
        </w:rPr>
        <w:fldChar w:fldCharType="end"/>
      </w:r>
      <w:r w:rsidRPr="005459E6">
        <w:rPr>
          <w:rFonts w:ascii="Times New Roman" w:hAnsi="Times New Roman" w:cs="Times New Roman"/>
        </w:rPr>
        <w:t xml:space="preserve">. According to Vargo and Akaka (2009), value is always co-created, and the venue for value creation transcends the constraints of service systems, making it a dynamic process involving service systems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Mele","given":"Cristina","non-dropping-particle":"","parse-names":false,"suffix":""},{"dropping-particle":"","family":"Corte","given":"Valentina","non-dropping-particle":"Della","parse-names":false,"suffix":""}],"container-title":"Journal of Business Market Management","id":"ITEM-1","issue":"4","issued":{"date-parts":[["2013"]]},"page":"192-213","title":"Resource-based view and Service-dominant logic: Similarities, differences and further research","type":"article-journal","volume":"6"},"uris":["http://www.mendeley.com/documents/?uuid=6f50786b-47a7-452d-b980-dcc0bdb1b7a2"]}],"mendeley":{"formattedCitation":"(Mele &amp; Della Corte, 2013)","plainTextFormattedCitation":"(Mele &amp; Della Corte, 2013)","previouslyFormattedCitation":"(Mele &amp; Della Corte,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&amp; Della Corte, 2013)</w:t>
      </w:r>
      <w:r w:rsidRPr="005459E6">
        <w:rPr>
          <w:rFonts w:ascii="Times New Roman" w:hAnsi="Times New Roman" w:cs="Times New Roman"/>
        </w:rPr>
        <w:fldChar w:fldCharType="end"/>
      </w:r>
      <w:r w:rsidRPr="005459E6">
        <w:rPr>
          <w:rFonts w:ascii="Times New Roman" w:hAnsi="Times New Roman" w:cs="Times New Roman"/>
        </w:rPr>
        <w:t>.</w:t>
      </w:r>
      <w:r w:rsidR="00206C4F" w:rsidRPr="005459E6">
        <w:rPr>
          <w:rFonts w:ascii="Times New Roman" w:hAnsi="Times New Roman" w:cs="Times New Roman"/>
        </w:rPr>
        <w:t xml:space="preserve"> </w:t>
      </w:r>
      <w:r w:rsidR="00A65B12" w:rsidRPr="005459E6">
        <w:rPr>
          <w:rFonts w:ascii="Times New Roman" w:hAnsi="Times New Roman" w:cs="Times New Roman"/>
        </w:rPr>
        <w:t xml:space="preserve"> </w:t>
      </w:r>
    </w:p>
    <w:p w14:paraId="165B3360" w14:textId="77777777" w:rsidR="001E1A4D" w:rsidRPr="005459E6" w:rsidRDefault="00B42ABB" w:rsidP="00BC18C0">
      <w:pPr>
        <w:spacing w:line="360" w:lineRule="auto"/>
        <w:jc w:val="both"/>
        <w:rPr>
          <w:rFonts w:ascii="Times New Roman" w:hAnsi="Times New Roman" w:cs="Times New Roman"/>
        </w:rPr>
      </w:pPr>
      <w:r w:rsidRPr="005459E6">
        <w:rPr>
          <w:rFonts w:ascii="Times New Roman" w:hAnsi="Times New Roman" w:cs="Times New Roman"/>
        </w:rPr>
        <w:t xml:space="preserve">Actors are the entities that constitute a system and are responsible for creating value in either a passive or active manner. When required, actors fetch their resources and seek to address resource gaps, engaging in a co-creation process that offers access to other </w:t>
      </w:r>
      <w:r w:rsidR="00860BCD" w:rsidRPr="005459E6">
        <w:rPr>
          <w:rFonts w:ascii="Times New Roman" w:hAnsi="Times New Roman" w:cs="Times New Roman"/>
        </w:rPr>
        <w:t>actors’</w:t>
      </w:r>
      <w:r w:rsidRPr="005459E6">
        <w:rPr>
          <w:rFonts w:ascii="Times New Roman" w:hAnsi="Times New Roman" w:cs="Times New Roman"/>
        </w:rPr>
        <w:t xml:space="preserve"> resources. </w:t>
      </w:r>
    </w:p>
    <w:p w14:paraId="0CE93736" w14:textId="3938961C" w:rsidR="00B42ABB" w:rsidRPr="005459E6" w:rsidRDefault="00B42ABB" w:rsidP="00BC18C0">
      <w:pPr>
        <w:spacing w:line="360" w:lineRule="auto"/>
        <w:jc w:val="both"/>
        <w:rPr>
          <w:rFonts w:ascii="Times New Roman" w:hAnsi="Times New Roman" w:cs="Times New Roman"/>
        </w:rPr>
      </w:pPr>
      <w:r w:rsidRPr="005459E6">
        <w:rPr>
          <w:rFonts w:ascii="Times New Roman" w:hAnsi="Times New Roman" w:cs="Times New Roman"/>
        </w:rPr>
        <w:t xml:space="preserve">With such shared practices, one actor can assist another by providing newer resources in improving their capabilities. As suggested by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Management","id":"ITEM-1","issue":"2","issued":{"date-parts":[["2011"]]},"page":"181-187","publisher":"Elsevier Inc.","title":"It's all B2B...and beyond: Toward a systems perspective of the market","type":"article-journal","volume":"40"},"uris":["http://www.mendeley.com/documents/?uuid=a97ea4e2-4b0b-4720-83c3-c42ff3bce304"]}],"mendeley":{"formattedCitation":"(S. L. Vargo &amp; Lusch, 2011)","manualFormatting":"Vargo &amp; Lusch (2011)","plainTextFormattedCitation":"(S. L. Vargo &amp; Lusch, 2011)","previouslyFormattedCitation":"(S. L. Vargo &amp; Lusch,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(2011)</w:t>
      </w:r>
      <w:r w:rsidRPr="005459E6">
        <w:rPr>
          <w:rFonts w:ascii="Times New Roman" w:hAnsi="Times New Roman" w:cs="Times New Roman"/>
        </w:rPr>
        <w:fldChar w:fldCharType="end"/>
      </w:r>
      <w:r w:rsidRPr="005459E6">
        <w:rPr>
          <w:rFonts w:ascii="Times New Roman" w:hAnsi="Times New Roman" w:cs="Times New Roman"/>
        </w:rPr>
        <w:t xml:space="preserve"> given study employs an actor-to-actor approach that, </w:t>
      </w:r>
      <w:r w:rsidRPr="005459E6">
        <w:rPr>
          <w:rFonts w:ascii="Times New Roman" w:hAnsi="Times New Roman" w:cs="Times New Roman"/>
        </w:rPr>
        <w:lastRenderedPageBreak/>
        <w:t xml:space="preserve">through continuous interaction, enhances the density of resources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{"citationItems":[{"id":"ITEM-1","itemData":{"ISBN":"0471485578","author":[{"dropping-particle":"","family":"Normann","given":"Richard","non-dropping-particle":"","parse-names":false,"suffix":""}],"id":"ITEM-1","issued":{"date-parts":[["2001"]]},"publisher":"John Wiley &amp; Sons","title":"Reframing business: When the map changes the landscape","type":"book"},"uris":["http://www.mendeley.com/documents/?uuid=e736bdd7-b705-4c5c-a43c-1bb64a0fc5f2"]}],"mendeley":{"formattedCitation":"(Normann, 2001)","plainTextFormattedCitation":"(Normann, 2001)","previouslyFormattedCitation":"(Normann, 2001)"},"properties":{"noteIndex":0},"schema":"https://github.com/citation-style-language/schema/raw/master/csl-citation.json"}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(Normann, 2001)</w:t>
      </w:r>
      <w:r w:rsidRPr="005459E6">
        <w:rPr>
          <w:rFonts w:ascii="Times New Roman" w:hAnsi="Times New Roman" w:cs="Times New Roman"/>
        </w:rPr>
        <w:fldChar w:fldCharType="end"/>
      </w:r>
      <w:r w:rsidRPr="005459E6">
        <w:rPr>
          <w:rFonts w:ascii="Times New Roman" w:hAnsi="Times New Roman" w:cs="Times New Roman"/>
        </w:rPr>
        <w:t xml:space="preserve">. Through the healthcare context, recent research reveals that individuals are active participants in positive outcomes and well-being. There is mounting evidence to back up the value of a patient-centered approach to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{"citationItems":[{"id":"ITEM-1","itemData":{"ISSN":"0278-2715","author":[{"dropping-particle":"","family":"Porter","given":"Michael E","non-dropping-particle":"","parse-names":false,"suffix":""},{"dropping-particle":"","family":"Pabo","given":"Erika A","non-dropping-particle":"","parse-names":false,"suffix":""},{"dropping-particle":"","family":"Lee","given":"Thomas H","non-dropping-particle":"","parse-names":false,"suffix":""}],"container-title":"Health Affairs","id":"ITEM-1","issue":"3","issued":{"date-parts":[["2013"]]},"page":"516-525","title":"Redesigning primary care: a strategic vision to improve value by organizing around patients’ needs","type":"article-journal","volume":"32"},"uris":["http://www.mendeley.com/documents/?uuid=af0213a5-90cd-4201-83be-d08b78f9468a"]}],"mendeley":{"formattedCitation":"(Porter et al., 2013)","plainTextFormattedCitation":"(Porter et al., 2013)","previouslyFormattedCitation":"(Porter et al.,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(Porter et al., 2013)</w:t>
      </w:r>
      <w:r w:rsidRPr="005459E6">
        <w:rPr>
          <w:rFonts w:ascii="Times New Roman" w:hAnsi="Times New Roman" w:cs="Times New Roman"/>
        </w:rPr>
        <w:fldChar w:fldCharType="end"/>
      </w:r>
      <w:r w:rsidRPr="005459E6">
        <w:rPr>
          <w:rFonts w:ascii="Times New Roman" w:hAnsi="Times New Roman" w:cs="Times New Roman"/>
        </w:rPr>
        <w:t>.</w:t>
      </w:r>
      <w:r w:rsidR="001E1A4D" w:rsidRPr="005459E6">
        <w:rPr>
          <w:rFonts w:ascii="Times New Roman" w:hAnsi="Times New Roman" w:cs="Times New Roman"/>
        </w:rPr>
        <w:t xml:space="preserve"> </w:t>
      </w:r>
      <w:r w:rsidRPr="005459E6">
        <w:rPr>
          <w:rFonts w:ascii="Times New Roman" w:hAnsi="Times New Roman" w:cs="Times New Roman"/>
        </w:rPr>
        <w:t>Health professionals employ cutting-edge medical equipment with built-in technological prowess (such as Healthcare IoT) and process the data (using A</w:t>
      </w:r>
      <w:r w:rsidR="00B11551">
        <w:rPr>
          <w:rFonts w:ascii="Times New Roman" w:hAnsi="Times New Roman" w:cs="Times New Roman"/>
        </w:rPr>
        <w:t>.</w:t>
      </w:r>
      <w:r w:rsidRPr="005459E6">
        <w:rPr>
          <w:rFonts w:ascii="Times New Roman" w:hAnsi="Times New Roman" w:cs="Times New Roman"/>
        </w:rPr>
        <w:t>I</w:t>
      </w:r>
      <w:r w:rsidR="00B11551">
        <w:rPr>
          <w:rFonts w:ascii="Times New Roman" w:hAnsi="Times New Roman" w:cs="Times New Roman"/>
        </w:rPr>
        <w:t>.</w:t>
      </w:r>
      <w:r w:rsidRPr="005459E6">
        <w:rPr>
          <w:rFonts w:ascii="Times New Roman" w:hAnsi="Times New Roman" w:cs="Times New Roman"/>
        </w:rPr>
        <w:t xml:space="preserve">)  in novel ways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{"citationItems":[{"id":"ITEM-1","itemData":{"DOI":"10.1108/JBIM-01-2019-0048","ISSN":"08858624","abstract":"Purpose: Over recent years, few industries have seen such dramatic changes as the healthcare industry. The potential connectivity of digital technologies is completely transforming the healthcare ecosystem. This has resulted in companies increasingly investing in digital transformations to exploit data across channels, operations and patient outreach, by building on a practice approach and actor-network theory and being informed by service-dominant logic, this study aims to contribute by advancing the agential role of third-party actors to prompt innovation and shape service ecosystems. Design/methodology/approach: This research is grounded in an epistemological contextualism. To gain situated knowledge and address the role of context in knowledge, understanding and meaning the authors adopted a qualitative methodology to study actors in their different contexts. The empirical research was based on case theory. The authors also took guidance from practice scholars about how to investigate actors’ practices. The unit of analysis moves from dyadic relationships to focus on practices across different networks of actors. Findings: This study expands on the conceptualization of triad as proposed by Siltaloppi and Vargo (2017) by moving from the form of triadic relationships – brokerage, mediation and coalition – to the agency of e-health third-parties; and their practices to innovate in the healthcare ecosystem. This study focuses on the actors and the performativity of actions and grounding the conceptual view on an empirical base. Practical implications: Third-party actors bring about innovative ways of doing business in the healthcare ecosystem. Their actions challenge the status quo and run counter to long-time practices. Third-parties support the complex set of interconnections between different healthcare actors for the provision of new service co-creation opportunities. Considering how these e-health third-parties performs has implications for health managers, patients and other actors. Originality/value: This study focuses on the actors and the performativity of actions and grounding the conceptual view on an empirical base. The agency of third-party actors is their ability to act among others and to connect multiple social and material structures to boost innovation. They prompt innovation and shape service ecosystems by brokering, mediating and coalescing among a great variety of resources, practices and institutions.","author":[{"dropping-particle":"","family":"Spena","given":"Tiziana Russo","non-dropping-particle":"","parse-names":false,"suffix":""},{"dropping-particle":"","family":"Mele","given":"Cristina","non-dropping-particle":"","parse-names":false,"suffix":""}],"container-title":"Journal of Business and Industrial Marketing","id":"ITEM-1","issue":"3","issued":{"date-parts":[["2019"]]},"page":"390-403","title":"Practising innovation in the healthcare ecosystem: the agency of third-party actors","type":"article-journal","volume":"35"},"uris":["http://www.mendeley.com/documents/?uuid=fcd62358-1707-42bd-bae8-483e96086f3f"]}],"mendeley":{"formattedCitation":"(Spena &amp; Mele, 2019)","plainTextFormattedCitation":"(Spena &amp; Mele, 2019)","previouslyFormattedCitation":"(Spena &amp; Mele,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(Spena &amp; Mele, 2019)</w:t>
      </w:r>
      <w:r w:rsidRPr="005459E6">
        <w:rPr>
          <w:rFonts w:ascii="Times New Roman" w:hAnsi="Times New Roman" w:cs="Times New Roman"/>
        </w:rPr>
        <w:fldChar w:fldCharType="end"/>
      </w:r>
      <w:r w:rsidRPr="005459E6">
        <w:rPr>
          <w:rFonts w:ascii="Times New Roman" w:hAnsi="Times New Roman" w:cs="Times New Roman"/>
        </w:rPr>
        <w:t xml:space="preserve">. By offering additional resources that align and support the behaviors of another actor, an actor can foster co-creation activities within an environment. Through shared practices, an actor can help another actor improve their own practices and conjure new activities. Such resource sharing and co-creation behaviors can influence and also alter the relationships between actors and their resources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Management","id":"ITEM-1","issued":{"date-parts":[["2016"]]},"page":"24-39","publisher":"Elsevier B.V.","title":"Co-creation practices: Their role in shaping a health care ecosystem","type":"article-journal","volume":"56"},"uris":["http://www.mendeley.com/documents/?uuid=50d2a632-659f-354b-a5b1-46fe29629cde"]}],"mendeley":{"formattedCitation":"(Frow et al., 2016a)","manualFormatting":"(Frow et al., 2016)","plainTextFormattedCitation":"(Frow et al., 2016a)","previouslyFormattedCitation":"(Frow et al., 2016a)"},"properties":{"noteIndex":0},"schema":"https://github.com/citation-style-language/schema/raw/master/csl-citation.json"}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(Frow et al., 2016)</w:t>
      </w:r>
      <w:r w:rsidRPr="005459E6">
        <w:rPr>
          <w:rFonts w:ascii="Times New Roman" w:hAnsi="Times New Roman" w:cs="Times New Roman"/>
        </w:rPr>
        <w:fldChar w:fldCharType="end"/>
      </w:r>
      <w:r w:rsidRPr="005459E6">
        <w:rPr>
          <w:rFonts w:ascii="Times New Roman" w:hAnsi="Times New Roman" w:cs="Times New Roman"/>
        </w:rPr>
        <w:t>. Greater value in these processes’ correlates to a higher density of resources that are relevant to a combination of certain actors, time, and circumstances. The value of a resource can be ascertained in terms of the actor's objectives.</w:t>
      </w:r>
    </w:p>
    <w:p w14:paraId="69F7D3F4" w14:textId="0CAEAB15" w:rsidR="00B42ABB" w:rsidRPr="005459E6" w:rsidRDefault="00B42ABB" w:rsidP="00BC18C0">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{"citationItems":[{"id":"ITEM-1","itemData":{"ISBN":"0471485578","author":[{"dropping-particle":"","family":"Normann","given":"Richard","non-dropping-particle":"","parse-names":false,"suffix":""}],"id":"ITEM-1","issued":{"date-parts":[["2001"]]},"publisher":"John Wiley &amp; Sons","title":"Reframing business: When the map changes the landscape","type":"book"},"uris":["http://www.mendeley.com/documents/?uuid=e736bdd7-b705-4c5c-a43c-1bb64a0fc5f2"]}],"mendeley":{"formattedCitation":"(Normann, 2001)","manualFormatting":"Normann (2001)","plainTextFormattedCitation":"(Normann, 2001)","previouslyFormattedCitation":"(Normann, 2001)"},"properties":{"noteIndex":0},"schema":"https://github.com/citation-style-language/schema/raw/master/csl-citation.json"}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Normann (2001)</w:t>
      </w:r>
      <w:r w:rsidRPr="005459E6">
        <w:rPr>
          <w:rFonts w:ascii="Times New Roman" w:hAnsi="Times New Roman" w:cs="Times New Roman"/>
        </w:rPr>
        <w:fldChar w:fldCharType="end"/>
      </w:r>
      <w:r w:rsidRPr="005459E6">
        <w:rPr>
          <w:rFonts w:ascii="Times New Roman" w:hAnsi="Times New Roman" w:cs="Times New Roman"/>
        </w:rPr>
        <w:t xml:space="preserve">, the purpose of these practices is to gain access to resources, remedy resource deficiencies and improve resource density, and with the ideal result, they provide valuable benefits for the actors. Thus, his idea of value constellations suggests that value creation should be viewed as a dynamic constellation of activities involving consumers directly in value production and service delivery.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{"citationItems":[{"id":"ITEM-1","itemData":{"DOI":"10.1002/dir.20015","ISSN":"10949968","abstract":"Consumers today have more choices of products and services than ever before, but they seem dissatisfied. Firms invest in greater product variety but are less able to differentiate themselves. Growth and value creation have become the dominant themes for managers. In this paper, we explain this paradox. The meaning of value and the process of value creation are rapidly shifting from a product- and firm-centric view to personalized consumer experiences. Informed, networked, empowered, and active consumers are increasingly co-creating value with the firm. The interaction between the firm and the consumer is becoming the locus of value creation and value extraction. As value shifts to experiences, the market is becoming a forum for conversation and interactions between consumers, consumer communities, and firms. It is this dialogue, access, transparency, and understanding of risk-benefits that is central to the next practice in value creation. © 2004 Wiley Periodicals, Inc. and Direct Marketing Educational Foundation, Inc.","author":[{"dropping-particle":"","family":"Prahalad","given":"C. K.","non-dropping-particle":"","parse-names":false,"suffix":""},{"dropping-particle":"","family":"Ramaswamy","given":"Venkat","non-dropping-particle":"","parse-names":false,"suffix":""}],"container-title":"Journal of Interactive Marketing","id":"ITEM-1","issue":"3","issued":{"date-parts":[["2004"]]},"page":"5-14","publisher":"Elsevier","title":"Co-creation experiences: The next practice in value creation","type":"article-journal","volume":"18"},"uris":["http://www.mendeley.com/documents/?uuid=60277bad-90a8-4618-9381-e5e1b6449248"]}],"mendeley":{"formattedCitation":"(Prahalad &amp; Ramaswamy, 2004)","manualFormatting":"Prahalad &amp; Ramaswamy (2004)","plainTextFormattedCitation":"(Prahalad &amp; Ramaswamy, 2004)","previouslyFormattedCitation":"(Prahalad &amp; Ramaswamy,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Prahalad &amp; Ramaswamy (2004)</w:t>
      </w:r>
      <w:r w:rsidRPr="005459E6">
        <w:rPr>
          <w:rFonts w:ascii="Times New Roman" w:hAnsi="Times New Roman" w:cs="Times New Roman"/>
        </w:rPr>
        <w:fldChar w:fldCharType="end"/>
      </w:r>
      <w:r w:rsidRPr="005459E6">
        <w:rPr>
          <w:rFonts w:ascii="Times New Roman" w:hAnsi="Times New Roman" w:cs="Times New Roman"/>
        </w:rPr>
        <w:t xml:space="preserve">,  the availability of resources influences how an actor chooses to participate in the ecosystem. As actors seek solutions to their resource shortages, ecosystems respond and adapt. As suggested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{"citationItems":[{"id":"ITEM-1","itemData":{"DOI":"10.1108/S1548-6435(2012)0000009007","ISBN":"9781780529127","ISSN":"15486435","abstract":"Purpose - The aim of this chapter is to investigate how a focal market actor may design or redesign business models for improved value co-creation. Findings - We posit that value is co-created in use as actors integrate resources in practices, which makes practices a fundamental unit of value creation. Greater density of resources, relevant to a specific practice and to the goals or mission of the actor, corresponds to greater value. The role of a provider is to support other actors in their value-creation processes by providing resources that 'fit' into their practices. We identify 12 categories of business model design elements that need to be defined and developed in parallel. We conclude that a focal actor needs to strive for both intra-actor and inter-actor (meso-level) configurational fit of business model elements in order to enable purposeful co-creation in specific practices. Finally, we propose that meso-level configurations develop in a threephase process of origination, mobilization and stabilization. A focal actor wishing to improve co-creation in a network needs to develop value propositions not only for customers but also for other actor domains. Overall, the performative power of a market actor is dependent on its network position, the relative strength of its business model and the actor's ability to author compelling meanings. Originality - The research contributes to the discussion on value cocreation by identifying three shifts in the unit of analysis: (1) we argue that use-value is co-created as actors integrate resources in practices, rendering practices a fundamental unit of analysis, (2) as practices are outcomes of business models, we identified business model design as a key unit of analysis for the improvement of value co-creation and (3) our view on business models is network-centric and we focus on how to introduce new business model elements in a specific actor network. Practical implications - The realization of the fact that value creation occurs in networks of interdependent actors pinpoints the need for increased transparency both between functional silos and between actors. The business model framework identifies 12 design elements, which can act as a 'checklist' for managers wanting to engage in co-creative business models. Copyright © 2012 by Emerald Group Publishing Limited.","author":[{"dropping-particle":"","family":"Storbacka","given":"Kaj","non-dropping-particle":"","parse-names":false,"suffix":""},{"dropping-particle":"","family":"Frow","given":"Pennie","non-dropping-particle":"","parse-names":false,"suffix":""},{"dropping-particle":"","family":"Nenonen","given":"Suvi","non-dropping-particle":"","parse-names":false,"suffix":""},{"dropping-particle":"","family":"Payne","given":"Adrian","non-dropping-particle":"","parse-names":false,"suffix":""}],"container-title":"Review of Marketing Research","id":"ITEM-1","issue":"June","issued":{"date-parts":[["2012"]]},"page":"51-78","title":"Designing business models for value co-creation","type":"article-journal","volume":"9"},"uris":["http://www.mendeley.com/documents/?uuid=4078cdf2-8192-40e5-98da-509e2f212022"]}],"mendeley":{"formattedCitation":"(Storbacka et al., 2012)","manualFormatting":"Storbacka et al. (2012)","plainTextFormattedCitation":"(Storbacka et al., 2012)","previouslyFormattedCitation":"(Storbacka et al.,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Storbacka et al. (2012)</w:t>
      </w:r>
      <w:r w:rsidRPr="005459E6">
        <w:rPr>
          <w:rFonts w:ascii="Times New Roman" w:hAnsi="Times New Roman" w:cs="Times New Roman"/>
        </w:rPr>
        <w:fldChar w:fldCharType="end"/>
      </w:r>
      <w:r w:rsidRPr="005459E6">
        <w:rPr>
          <w:rFonts w:ascii="Times New Roman" w:hAnsi="Times New Roman" w:cs="Times New Roman"/>
        </w:rPr>
        <w:t xml:space="preserve">, the importance of timing cannot be overstated:  and when a resource that is available but does not assist, the actor becomes worthless and may even devalue it.  </w:t>
      </w:r>
    </w:p>
    <w:p w14:paraId="6C40C66B" w14:textId="691D66A5" w:rsidR="00413FEE" w:rsidRPr="005459E6" w:rsidRDefault="00413FEE" w:rsidP="00413FEE">
      <w:pPr>
        <w:spacing w:line="360" w:lineRule="auto"/>
        <w:jc w:val="both"/>
        <w:rPr>
          <w:rFonts w:ascii="Times New Roman" w:hAnsi="Times New Roman" w:cs="Times New Roman"/>
        </w:rPr>
      </w:pPr>
      <w:r w:rsidRPr="005459E6">
        <w:rPr>
          <w:rFonts w:ascii="Times New Roman" w:hAnsi="Times New Roman" w:cs="Times New Roman"/>
        </w:rPr>
        <w:t xml:space="preserve">Co-creation refers to the resource integration process that occurs through activities involving actors connected within a service ecosystem. This viewpoint on co-creation emphasizes resource integration </w:t>
      </w:r>
      <w:r w:rsidRPr="005459E6">
        <w:rPr>
          <w:rFonts w:ascii="Times New Roman" w:hAnsi="Times New Roman" w:cs="Times New Roman"/>
        </w:rPr>
        <w:fldChar w:fldCharType="begin" w:fldLock="1"/>
      </w:r>
      <w:r w:rsidR="005D2728">
        <w:rPr>
          <w:rFonts w:ascii="Times New Roman" w:hAnsi="Times New Roman" w:cs="Times New Roman"/>
        </w:rPr>
        <w:instrText>ADDIN CSL_CITATION {"citationItems":[{"id":"ITEM-1","itemData":{"ISSN":"0092-0703","author":[{"dropping-particle":"","family":"Vargo","given":"Stephen L","non-dropping-particle":"","parse-names":false,"suffix":""},{"dropping-particle":"","family":"Lusch","given":"Robert F","non-dropping-particle":"","parse-names":false,"suffix":""}],"container-title":"Journal of the Academy of marketing Science","id":"ITEM-1","issue":"1","issued":{"date-parts":[["2008"]]},"page":"1-10","publisher":"Springer","title":"Service-dominant logic: continuing the evolution","type":"article-journal","volume":"36"},"uris":["http://www.mendeley.com/documents/?uuid=d319439f-4604-4c24-a19e-dda8bb170ebf"]}],"mendeley":{"formattedCitation":"(S. L. Vargo &amp; Lusch, 2008)","manualFormatting":"(Vargo &amp; Lusch, 2008)","plainTextFormattedCitation":"(S. L. Vargo &amp; Lusch, 2008)","previouslyFormattedCitation":"(S. L. Vargo &amp; Lusch,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(Vargo &amp; Lusch, 2008)</w:t>
      </w:r>
      <w:r w:rsidRPr="005459E6">
        <w:rPr>
          <w:rFonts w:ascii="Times New Roman" w:hAnsi="Times New Roman" w:cs="Times New Roman"/>
        </w:rPr>
        <w:fldChar w:fldCharType="end"/>
      </w:r>
      <w:r w:rsidRPr="005459E6">
        <w:rPr>
          <w:rFonts w:ascii="Times New Roman" w:hAnsi="Times New Roman" w:cs="Times New Roman"/>
        </w:rPr>
        <w:t xml:space="preserve">, and the interconnectedness of ecosystem players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{"citationItems":[{"id":"ITEM-1","itemData":{"ISSN":"0092-0703","author":[{"dropping-particle":"","family":"Maglio","given":"Paul P","non-dropping-particle":"","parse-names":false,"suffix":""},{"dropping-particle":"","family":"Spohrer","given":"Jim","non-dropping-particle":"","parse-names":false,"suffix":""}],"container-title":"Journal of the academy of marketing science","id":"ITEM-1","issue":"1","issued":{"date-parts":[["2008"]]},"page":"18-20","publisher":"Springer","title":"Fundamentals of service science","type":"article-journal","volume":"36"},"uris":["http://www.mendeley.com/documents/?uuid=c674f375-a61d-4b4c-9be3-40de19dccae4"]}],"mendeley":{"formattedCitation":"(Maglio &amp; Spohrer, 2008)","plainTextFormattedCitation":"(Maglio &amp; Spohrer, 2008)","previouslyFormattedCitation":"(Maglio &amp; Spohrer,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(Maglio &amp; Spohrer, 2008)</w:t>
      </w:r>
      <w:r w:rsidRPr="005459E6">
        <w:rPr>
          <w:rFonts w:ascii="Times New Roman" w:hAnsi="Times New Roman" w:cs="Times New Roman"/>
        </w:rPr>
        <w:fldChar w:fldCharType="end"/>
      </w:r>
      <w:r w:rsidRPr="005459E6">
        <w:rPr>
          <w:rFonts w:ascii="Times New Roman" w:hAnsi="Times New Roman" w:cs="Times New Roman"/>
        </w:rPr>
        <w:t xml:space="preserve">. The goal of these activities is to reap value benefits for the actors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{"citationItems":[{"id":"ITEM-1","itemData":{"ISBN":"0471485578","author":[{"dropping-particle":"","family":"Normann","given":"Richard","non-dropping-particle":"","parse-names":false,"suffix":""}],"id":"ITEM-1","issued":{"date-parts":[["2001"]]},"publisher":"John Wiley &amp; Sons","title":"Reframing business: When the map changes the landscape","type":"book"},"uris":["http://www.mendeley.com/documents/?uuid=e736bdd7-b705-4c5c-a43c-1bb64a0fc5f2"]}],"mendeley":{"formattedCitation":"(Normann, 2001)","plainTextFormattedCitation":"(Normann, 2001)","previouslyFormattedCitation":"(Normann, 2001)"},"properties":{"noteIndex":0},"schema":"https://github.com/citation-style-language/schema/raw/master/csl-citation.json"}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(Normann, 2001)</w:t>
      </w:r>
      <w:r w:rsidRPr="005459E6">
        <w:rPr>
          <w:rFonts w:ascii="Times New Roman" w:hAnsi="Times New Roman" w:cs="Times New Roman"/>
        </w:rPr>
        <w:fldChar w:fldCharType="end"/>
      </w:r>
      <w:r w:rsidRPr="005459E6">
        <w:rPr>
          <w:rFonts w:ascii="Times New Roman" w:hAnsi="Times New Roman" w:cs="Times New Roman"/>
        </w:rPr>
        <w:t>. These activities</w:t>
      </w:r>
      <w:r w:rsidR="00990F13" w:rsidRPr="005459E6">
        <w:rPr>
          <w:rFonts w:ascii="Times New Roman" w:hAnsi="Times New Roman" w:cs="Times New Roman"/>
        </w:rPr>
        <w:t xml:space="preserve"> </w:t>
      </w:r>
      <w:r w:rsidRPr="005459E6">
        <w:rPr>
          <w:rFonts w:ascii="Times New Roman" w:hAnsi="Times New Roman" w:cs="Times New Roman"/>
        </w:rPr>
        <w:t xml:space="preserve">represent co-creation practices because they </w:t>
      </w:r>
      <w:r w:rsidR="009F75E0" w:rsidRPr="005459E6">
        <w:rPr>
          <w:rFonts w:ascii="Times New Roman" w:hAnsi="Times New Roman" w:cs="Times New Roman"/>
        </w:rPr>
        <w:t>carry out</w:t>
      </w:r>
      <w:r w:rsidRPr="005459E6">
        <w:rPr>
          <w:rFonts w:ascii="Times New Roman" w:hAnsi="Times New Roman" w:cs="Times New Roman"/>
        </w:rPr>
        <w:t xml:space="preserve"> interactions in a specific environment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{"citationItems":[{"id":"ITEM-1","itemData":{"DOI":"10.1177/1094670512442806","ISSN":"1094-6705","abstract":"This article explores in-depth what health care customers actually do when they cocreate value. Combining previously published research with data collected from depth interviews, field observation, and focus groups, the authors identify distinct styles of health care customer value cocreation practice. Importantly, the authors show how customers can contribute to their own value creation through their own (self) activities in managing their health care. Building on past work in service-dominant (S-D) logic, consumer culture theory and social practice theory, the authors identify ?roles,? ?activities,? and ?interactions? that underlie customer cocreation of value in health care. The authors uncover five groupings of customer value cocreation practices yielding a typology of practice styles and link these to quality of life. The practice styles are ?team management,? ?insular controlling,? ?partnering,? ?pragmatic adapting,? and ?passive compliance.? Two in particular, team management and partnering, should be encouraged by managers as they tend to be associated with higher quality of life. The authors provide a health care Customer Value Cocreation Practice Styles (CVCPS) typology. The usefulness of the typology is demonstrated by showing links to quality of life and its potential application to other health care settings.","author":[{"dropping-particle":"","family":"McColl-Kennedy","given":"Janet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Research","id":"ITEM-1","issue":"4","issued":{"date-parts":[["2012","5","1"]]},"note":"doi: 10.1177/1094670512442806","page":"370-389","publisher":"SAGE Publications Inc","title":"Health Care Customer Value Cocreation Practice Styles","type":"article-journal","volume":"15"},"uris":["http://www.mendeley.com/documents/?uuid=b584e423-b71f-43ce-8865-ea8285d5f98f"]}],"mendeley":{"formattedCitation":"(McColl-Kennedy et al., 2012b)","plainTextFormattedCitation":"(McColl-Kennedy et al., 2012b)","previouslyFormattedCitation":"(McColl-Kennedy et al., 2012b)"},"properties":{"noteIndex":0},"schema":"https://github.com/citation-style-language/schema/raw/master/csl-citation.json"}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(McColl-Kennedy et al., 2012b)</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-319-98512-1_23","author":[{"dropping-particle":"","family":"Mele","given":"Cristina","non-dropping-particle":"","parse-names":false,"suffix":""},{"dropping-particle":"","family":"Russo-Spena","given":"Tiziana","non-dropping-particle":"","parse-names":false,"suffix":""}],"id":"ITEM-1","issued":{"date-parts":[["2019"]]},"title":"Innovation in Sociomaterial Practices: The Case of IoE in The Healthcare Ecosystem","type":"chapter"},"uris":["http://www.mendeley.com/documents/?uuid=24894840-7b38-463a-a4a8-d845aef44894"]}],"mendeley":{"formattedCitation":"(Mele &amp; Russo-Spena, 2019)","manualFormatting":"Mele &amp; Russo-Spena (2019)","plainTextFormattedCitation":"(Mele &amp; Russo-Spena, 2019)","previouslyFormattedCitation":"(Mele &amp; Russo-Spena,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&amp; Russo-Spena (2019)</w:t>
      </w:r>
      <w:r w:rsidRPr="005459E6">
        <w:rPr>
          <w:rFonts w:ascii="Times New Roman" w:hAnsi="Times New Roman" w:cs="Times New Roman"/>
        </w:rPr>
        <w:fldChar w:fldCharType="end"/>
      </w:r>
      <w:r w:rsidRPr="005459E6">
        <w:rPr>
          <w:rFonts w:ascii="Times New Roman" w:hAnsi="Times New Roman" w:cs="Times New Roman"/>
        </w:rPr>
        <w:t xml:space="preserve"> previously addressed how technologies enable information accessibility and resourcelessness, with implications for resource integration; in healthcare service research, such an approach examines patient engagement to co-create value and improve respective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{"citationItems":[{"id":"ITEM-1","itemData":{"DOI":"10.1177/1094670512442806","ISSN":"1094-6705","abstract":"This article explores in-depth what health care customers actually do when they cocreate value. Combining previously published research with data collected from depth interviews, field observation, and focus groups, the authors identify distinct styles of health care customer value cocreation practice. Importantly, the authors show how customers can contribute to their own value creation through their own (self) activities in managing their health care. Building on past work in service-dominant (S-D) logic, consumer culture theory and social practice theory, the authors identify ?roles,? ?activities,? and ?interactions? that underlie customer cocreation of value in health care. The authors uncover five groupings of customer value cocreation practices yielding a typology of practice styles and link these to quality of life. The practice styles are ?team management,? ?insular controlling,? ?partnering,? ?pragmatic adapting,? and ?passive compliance.? Two in particular, team management and partnering, should be encouraged by managers as they tend to be associated with higher quality of life. The authors provide a health care Customer Value Cocreation Practice Styles (CVCPS) typology. The usefulness of the typology is demonstrated by showing links to quality of life and its potential application to other health care settings.","author":[{"dropping-particle":"","family":"McColl-Kennedy","given":"Janet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Research","id":"ITEM-1","issue":"4","issued":{"date-parts":[["2012","5","1"]]},"note":"doi: 10.1177/1094670512442806","page":"370-389","publisher":"SAGE Publications Inc","title":"Health Care Customer Value Cocreation Practice Styles","type":"article-journal","volume":"15"},"uris":["http://www.mendeley.com/documents/?uuid=b584e423-b71f-43ce-8865-ea8285d5f98f"]}],"mendeley":{"formattedCitation":"(McColl-Kennedy et al., 2012b)","plainTextFormattedCitation":"(McColl-Kennedy et al., 2012b)","previouslyFormattedCitation":"(McColl-Kennedy et al., 2012b)"},"properties":{"noteIndex":0},"schema":"https://github.com/citation-style-language/schema/raw/master/csl-citation.json"}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(McColl-Kennedy et al., 2012b)</w:t>
      </w:r>
      <w:r w:rsidRPr="005459E6">
        <w:rPr>
          <w:rFonts w:ascii="Times New Roman" w:hAnsi="Times New Roman" w:cs="Times New Roman"/>
        </w:rPr>
        <w:fldChar w:fldCharType="end"/>
      </w:r>
      <w:r w:rsidRPr="005459E6">
        <w:rPr>
          <w:rFonts w:ascii="Times New Roman" w:hAnsi="Times New Roman" w:cs="Times New Roman"/>
        </w:rPr>
        <w:t xml:space="preserve">. Given study considers how smart technologies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Ženka","given":"Jan","non-dropping-particle":"","parse-names":false,"suffix":""},{"dropping-particle":"","family":"Macháček","given":"Jan","non-dropping-particle":"","parse-names":false,"suffix":""},{"dropping-particle":"","family":"Michna","given":"Pavel","non-dropping-particle":"","parse-names":false,"suffix":""},{"dropping-particle":"","family":"Kořízek","given":"Pavel","non-dropping-particle":"","parse-names":false,"suffix":""}],"container-title":"International Journal of Environmental Research and Public Health","id":"ITEM-1","issue":"3","issued":{"date-parts":[["2021"]]},"page":"974","publisher":"Multidisciplinary Digital Publishing Institute","title":"Navigational Needs and Preferences of Hospital Patients and Visitors: What Prospects for Smart Technologies?","type":"article-journal","volume":"18"},"uris":["http://www.mendeley.com/documents/?uuid=1efebefd-7002-4d70-ae1d-5983b069d09c"]}],"mendeley":{"formattedCitation":"(Ženka et al., 2021)","plainTextFormattedCitation":"(Ženka et al., 2021)","previouslyFormattedCitation":"(Ženka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(Ženka et al., 2021)</w:t>
      </w:r>
      <w:r w:rsidRPr="005459E6">
        <w:rPr>
          <w:rFonts w:ascii="Times New Roman" w:hAnsi="Times New Roman" w:cs="Times New Roman"/>
        </w:rPr>
        <w:fldChar w:fldCharType="end"/>
      </w:r>
      <w:r w:rsidRPr="005459E6">
        <w:rPr>
          <w:rFonts w:ascii="Times New Roman" w:hAnsi="Times New Roman" w:cs="Times New Roman"/>
        </w:rPr>
        <w:t xml:space="preserve"> and value co-creation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Management","id":"ITEM-1","issued":{"date-parts":[["2016"]]},"page":"24-39","publisher":"Elsevier B.V.","title":"Co-creation practices: Their role in shaping a health care ecosystem","type":"article-journal","volume":"56"},"uris":["http://www.mendeley.com/documents/?uuid=50d2a632-659f-354b-a5b1-46fe29629cde"]},{"id":"ITEM-2","itemData":{"DOI":"10.1177/1094670512442806","ISSN":"1094-6705","abstract":"This article explores in-depth what health care customers actually do when they cocreate value. Combining previously published research with data collected from depth interviews, field observation, and focus groups, the authors identify distinct styles of health care customer value cocreation practice. Importantly, the authors show how customers can contribute to their own value creation through their own (self) activities in managing their health care. Building on past work in service-dominant (S-D) logic, consumer culture theory and social practice theory, the authors identify ?roles,? ?activities,? and ?interactions? that underlie customer cocreation of value in health care. The authors uncover five groupings of customer value cocreation practices yielding a typology of practice styles and link these to quality of life. The practice styles are ?team management,? ?insular controlling,? ?partnering,? ?pragmatic adapting,? and ?passive compliance.? Two in particular, team management and partnering, should be encouraged by managers as they tend to be associated with higher quality of life. The authors provide a health care Customer Value Cocreation Practice Styles (CVCPS) typology. The usefulness of the typology is demonstrated by showing links to quality of life and its potential application to other health care settings.","author":[{"dropping-particle":"","family":"McColl-Kennedy","given":"Janet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Research","id":"ITEM-2","issue":"4","issued":{"date-parts":[["2012","5","1"]]},"note":"doi: 10.1177/1094670512442806","page":"370-389","publisher":"SAGE Publications Inc","title":"Health Care Customer Value Cocreation Practice Styles","type":"article-journal","volume":"15"},"uris":["http://www.mendeley.com/documents/?uuid=b584e423-b71f-43ce-8865-ea8285d5f98f"]},{"id":"ITEM-3","itemData":{"abstract":"Drawing on three studies using data from six separate samples of 1151 health care customers, the authors investigate cocreative customer practices, modeling the effects of customer value cocreation practices on well-being. Results highlight that while positive interactions with medical staff (doctors) lead to increased well-being through engaging in coproducing treatment options, interactions with friends and family and their associated cocreated activities have an even greater positive effect on well-being. Furthermore, several other customer-directed activities have positive indirect effects. Interestingly, activities requiring change can have a negative effect on well-being, except in psychological illnesses, where the opposite is true. The authors conclude with theoretical and managerial implications, highlighting that if interactions and activities with medical professionals are supplemented with customer-directed activities, the positive effect on well-being is significantly enhanced.","author":[{"dropping-particle":"","family":"McColl-Kennedy","given":"Janet R","non-dropping-particle":"","parse-names":false,"suffix":""},{"dropping-particle":"","family":"Hogan","given":"Suellen J","non-dropping-particle":"","parse-names":false,"suffix":""},{"dropping-particle":"","family":"Witell","given":"Lars","non-dropping-particle":"","parse-names":false,"suffix":""},{"dropping-particle":"","family":"Snyder","given":"Hannah","non-dropping-particle":"","parse-names":false,"suffix":""}],"container-title":"Journal of Business Research","id":"ITEM-3","issue":"C","issued":{"date-parts":[["2017"]]},"page":"55-66","title":"Cocreative customer practices: Effects of health care customer value cocreation practices on well-being","type":"article-journal","volume":"70"},"uris":["http://www.mendeley.com/documents/?uuid=2c4b7c31-8556-45d6-a921-6541a54520fb"]}],"mendeley":{"formattedCitation":"(Frow et al., 2016a; McColl-Kennedy et al., 2012b, 2017)","plainTextFormattedCitation":"(Frow et al., 2016a; McColl-Kennedy et al., 2012b, 2017)","previouslyFormattedCitation":"(Frow et al., 2016a; McColl-Kennedy et al., 2012b,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(Frow et al., 2016a; McColl-Kennedy et al., 2012b, 2017)</w:t>
      </w:r>
      <w:r w:rsidRPr="005459E6">
        <w:rPr>
          <w:rFonts w:ascii="Times New Roman" w:hAnsi="Times New Roman" w:cs="Times New Roman"/>
        </w:rPr>
        <w:fldChar w:fldCharType="end"/>
      </w:r>
      <w:r w:rsidRPr="005459E6">
        <w:rPr>
          <w:rFonts w:ascii="Times New Roman" w:hAnsi="Times New Roman" w:cs="Times New Roman"/>
        </w:rPr>
        <w:t xml:space="preserve"> can be </w:t>
      </w:r>
      <w:r w:rsidR="00BF6E6E" w:rsidRPr="005459E6">
        <w:rPr>
          <w:rFonts w:ascii="Times New Roman" w:hAnsi="Times New Roman" w:cs="Times New Roman"/>
        </w:rPr>
        <w:t>leveraged</w:t>
      </w:r>
      <w:r w:rsidRPr="005459E6">
        <w:rPr>
          <w:rFonts w:ascii="Times New Roman" w:hAnsi="Times New Roman" w:cs="Times New Roman"/>
        </w:rPr>
        <w:t xml:space="preserve"> to empower patients (i.e., patients can play an active role in healthcare)</w:t>
      </w:r>
      <w:r w:rsidR="009F75E0" w:rsidRPr="005459E6">
        <w:rPr>
          <w:rFonts w:ascii="Times New Roman" w:hAnsi="Times New Roman" w:cs="Times New Roman"/>
        </w:rPr>
        <w:t xml:space="preserve">. </w:t>
      </w:r>
      <w:r w:rsidR="009667D1" w:rsidRPr="005459E6">
        <w:rPr>
          <w:rFonts w:ascii="Times New Roman" w:hAnsi="Times New Roman" w:cs="Times New Roman"/>
        </w:rPr>
        <w:t>To achieve maximum resource density, an actor must contribute and integrate all of the resources needed to co-create the most valuable outcome in the given context (</w:t>
      </w:r>
      <w:r w:rsidR="009667D1"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{"citationItems":[{"id":"ITEM-1","itemData":{"DOI":"10.1007/s11747-008-0131-z","ISSN":"00920703","abstract":"Both supply chain management (SCM) and marketing in general have been moving from models and purposes narrowly focused on goods to more general models and purposes associated with partnerships, value networks, service provision, and value creation. Some of this movement has been captured in what has become known as service-dominant (S-D) logic. This article applies S-D logic to thinking about SCM in terms of service provision, in which goods are seen as service distribution or provisioning mechanisms, explores and elaborates on the concept of a value network, and develops a model of the firm as an essential service provisioning agent in a complex and adaptive value network. Research and managerial opportunities are also explored. © Academy of Marketing Science 2009.","author":[{"dropping-particle":"","family":"Lusch","given":"Robert F.","non-dropping-particle":"","parse-names":false,"suffix":""},{"dropping-particle":"","family":"Vargo","given":"Stephen L.","non-dropping-particle":"","parse-names":false,"suffix":""},{"dropping-particle":"","family":"Tanniru","given":"Mohan","non-dropping-particle":"","parse-names":false,"suffix":""}],"container-title":"Journal of the Academy of Marketing Science","id":"ITEM-1","issue":"1","issued":{"date-parts":[["2010"]]},"page":"19-31","title":"Service, value networks and learning","type":"article-journal","volume":"38"},"uris":["http://www.mendeley.com/documents/?uuid=a0edb7ef-f30c-41bb-a1ed-0bf818ccf7e9"]}],"mendeley":{"formattedCitation":"(Lusch et al., 2010)","manualFormatting":"Lusch et al. 2010)","plainTextFormattedCitation":"(Lusch et al., 2010)","previouslyFormattedCitation":"(Lusch et al., 2010)"},"properties":{"noteIndex":0},"schema":"https://github.com/citation-style-language/schema/raw/master/csl-citation.json"}</w:instrText>
      </w:r>
      <w:r w:rsidR="009667D1" w:rsidRPr="005459E6">
        <w:rPr>
          <w:rFonts w:ascii="Times New Roman" w:hAnsi="Times New Roman" w:cs="Times New Roman"/>
        </w:rPr>
        <w:fldChar w:fldCharType="separate"/>
      </w:r>
      <w:r w:rsidR="009667D1" w:rsidRPr="005459E6">
        <w:rPr>
          <w:rFonts w:ascii="Times New Roman" w:hAnsi="Times New Roman" w:cs="Times New Roman"/>
          <w:noProof/>
        </w:rPr>
        <w:t>Lusch et al. 2010)</w:t>
      </w:r>
      <w:r w:rsidR="009667D1" w:rsidRPr="005459E6">
        <w:rPr>
          <w:rFonts w:ascii="Times New Roman" w:hAnsi="Times New Roman" w:cs="Times New Roman"/>
        </w:rPr>
        <w:fldChar w:fldCharType="end"/>
      </w:r>
      <w:r w:rsidR="009667D1" w:rsidRPr="005459E6">
        <w:rPr>
          <w:rFonts w:ascii="Times New Roman" w:hAnsi="Times New Roman" w:cs="Times New Roman"/>
        </w:rPr>
        <w:t>. The role of A</w:t>
      </w:r>
      <w:r w:rsidR="002D5ED7" w:rsidRPr="005459E6">
        <w:rPr>
          <w:rFonts w:ascii="Times New Roman" w:hAnsi="Times New Roman" w:cs="Times New Roman"/>
        </w:rPr>
        <w:t>.</w:t>
      </w:r>
      <w:r w:rsidR="009667D1" w:rsidRPr="005459E6">
        <w:rPr>
          <w:rFonts w:ascii="Times New Roman" w:hAnsi="Times New Roman" w:cs="Times New Roman"/>
        </w:rPr>
        <w:t>I</w:t>
      </w:r>
      <w:r w:rsidR="002D5ED7" w:rsidRPr="005459E6">
        <w:rPr>
          <w:rFonts w:ascii="Times New Roman" w:hAnsi="Times New Roman" w:cs="Times New Roman"/>
        </w:rPr>
        <w:t>.</w:t>
      </w:r>
      <w:r w:rsidR="009667D1" w:rsidRPr="005459E6">
        <w:rPr>
          <w:rFonts w:ascii="Times New Roman" w:hAnsi="Times New Roman" w:cs="Times New Roman"/>
        </w:rPr>
        <w:t>, and more specifically, Machine Learning</w:t>
      </w:r>
      <w:r w:rsidR="002D5ED7" w:rsidRPr="005459E6">
        <w:rPr>
          <w:rFonts w:ascii="Times New Roman" w:hAnsi="Times New Roman" w:cs="Times New Roman"/>
        </w:rPr>
        <w:t xml:space="preserve"> (ML)</w:t>
      </w:r>
      <w:r w:rsidR="009667D1" w:rsidRPr="005459E6">
        <w:rPr>
          <w:rFonts w:ascii="Times New Roman" w:hAnsi="Times New Roman" w:cs="Times New Roman"/>
        </w:rPr>
        <w:t xml:space="preserve">, can drive </w:t>
      </w:r>
      <w:r w:rsidR="00F42435" w:rsidRPr="005459E6">
        <w:rPr>
          <w:rFonts w:ascii="Times New Roman" w:hAnsi="Times New Roman" w:cs="Times New Roman"/>
        </w:rPr>
        <w:t xml:space="preserve">the </w:t>
      </w:r>
      <w:r w:rsidR="009667D1" w:rsidRPr="005459E6">
        <w:rPr>
          <w:rFonts w:ascii="Times New Roman" w:hAnsi="Times New Roman" w:cs="Times New Roman"/>
        </w:rPr>
        <w:t xml:space="preserve">betterment of psychological healthcare. According to </w:t>
      </w:r>
      <w:r w:rsidR="009667D1" w:rsidRPr="005459E6">
        <w:rPr>
          <w:rFonts w:ascii="Times New Roman" w:hAnsi="Times New Roman" w:cs="Times New Roman"/>
        </w:rPr>
        <w:fldChar w:fldCharType="begin" w:fldLock="1"/>
      </w:r>
      <w:r w:rsidR="009667D1" w:rsidRPr="005459E6">
        <w:rPr>
          <w:rFonts w:ascii="Times New Roman" w:hAnsi="Times New Roman" w:cs="Times New Roman"/>
        </w:rPr>
        <w:instrText>ADDIN CSL_CITATION {"citationItems":[{"id":"ITEM-1","itemData":{"ISBN":"0471485578","author":[{"dropping-particle":"","family":"Normann","given":"Richard","non-dropping-particle":"","parse-names":false,"suffix":""}],"id":"ITEM-1","issued":{"date-parts":[["2001"]]},"publisher":"John Wiley &amp; Sons","title":"Reframing business: When the map changes the landscape","type":"book"},"uris":["http://www.mendeley.com/documents/?uuid=e736bdd7-b705-4c5c-a43c-1bb64a0fc5f2"]}],"mendeley":{"formattedCitation":"(Normann, 2001)","manualFormatting":"Normann (2001)","plainTextFormattedCitation":"(Normann, 2001)","previouslyFormattedCitation":"(Normann, 2001)"},"properties":{"noteIndex":0},"schema":"https://github.com/citation-style-language/schema/raw/master/csl-citation.json"}</w:instrText>
      </w:r>
      <w:r w:rsidR="009667D1" w:rsidRPr="005459E6">
        <w:rPr>
          <w:rFonts w:ascii="Times New Roman" w:hAnsi="Times New Roman" w:cs="Times New Roman"/>
        </w:rPr>
        <w:fldChar w:fldCharType="separate"/>
      </w:r>
      <w:r w:rsidR="009667D1" w:rsidRPr="005459E6">
        <w:rPr>
          <w:rFonts w:ascii="Times New Roman" w:hAnsi="Times New Roman" w:cs="Times New Roman"/>
          <w:noProof/>
        </w:rPr>
        <w:t>Normann (2001)</w:t>
      </w:r>
      <w:r w:rsidR="009667D1" w:rsidRPr="005459E6">
        <w:rPr>
          <w:rFonts w:ascii="Times New Roman" w:hAnsi="Times New Roman" w:cs="Times New Roman"/>
        </w:rPr>
        <w:fldChar w:fldCharType="end"/>
      </w:r>
      <w:r w:rsidR="009667D1" w:rsidRPr="005459E6">
        <w:rPr>
          <w:rFonts w:ascii="Times New Roman" w:hAnsi="Times New Roman" w:cs="Times New Roman"/>
        </w:rPr>
        <w:t xml:space="preserve">, the dematerialization of </w:t>
      </w:r>
      <w:r w:rsidR="009667D1" w:rsidRPr="005459E6">
        <w:rPr>
          <w:rFonts w:ascii="Times New Roman" w:hAnsi="Times New Roman" w:cs="Times New Roman"/>
        </w:rPr>
        <w:lastRenderedPageBreak/>
        <w:t>resources, which takes two forms: unbundleability and liquification, is a major driver of density improvement. In the given study, Brain Computer Interface can achieve the same result.</w:t>
      </w:r>
    </w:p>
    <w:p w14:paraId="2D8C53A2" w14:textId="756986DC" w:rsidR="00B42ABB" w:rsidRPr="005459E6" w:rsidRDefault="00B42ABB" w:rsidP="00BC18C0">
      <w:pPr>
        <w:spacing w:line="360" w:lineRule="auto"/>
        <w:jc w:val="both"/>
        <w:rPr>
          <w:rFonts w:ascii="Times New Roman" w:hAnsi="Times New Roman" w:cs="Times New Roman"/>
        </w:rPr>
      </w:pPr>
      <w:r w:rsidRPr="005459E6">
        <w:rPr>
          <w:rFonts w:ascii="Times New Roman" w:hAnsi="Times New Roman" w:cs="Times New Roman"/>
        </w:rPr>
        <w:t xml:space="preserve">A study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{"citationItems":[{"id":"ITEM-1","itemData":{"DOI":"10.1136/gpsych-2019-100096","ISBN":"2019100096","ISSN":"2517729X","abstract":"Background Subjective well-being (SWB), also known as happiness, plays an important role in evaluating both mental and physical health. Adolescents deserve specific attention because they are under a great variety of stresses and are at risk for mental disorders during adulthood. Aim The present paper aims to predict undergraduate students' SWB by machine learning method. Methods Gradient Boosting Classifier which was an innovative yet validated machine learning approach was used to analyse data from 10 518 Chinese adolescents. The online survey included 298 factors such as depression and personality. Quality control procedure was used to minimise biases due to online survey reports. We applied feature selection to achieve the balance between optimal prediction and result interpretation. Results The top 20 happiness risks and protective factors were finally brought into the predicting model. Approximately 90% individuals' SWB can be predicted correctly, and the sensitivity and specificity were about 92% and 90%, respectively. Conclusions This result identifies at-risk individuals according to new characteristics and established the foundation for adolescent prevention strategies.","author":[{"dropping-particle":"","family":"Zhang","given":"Naixin","non-dropping-particle":"","parse-names":false,"suffix":""},{"dropping-particle":"","family":"Liu","given":"Chuanxin","non-dropping-particle":"","parse-names":false,"suffix":""},{"dropping-particle":"","family":"Chen","given":"Zhixuan","non-dropping-particle":"","parse-names":false,"suffix":""},{"dropping-particle":"","family":"An","given":"Lin","non-dropping-particle":"","parse-names":false,"suffix":""},{"dropping-particle":"","family":"Ren","given":"Decheng","non-dropping-particle":"","parse-names":false,"suffix":""},{"dropping-particle":"","family":"Yuan","given":"Fan","non-dropping-particle":"","parse-names":false,"suffix":""},{"dropping-particle":"","family":"Yuan","given":"Ruixue","non-dropping-particle":"","parse-names":false,"suffix":""},{"dropping-particle":"","family":"Ji","given":"Lei","non-dropping-particle":"","parse-names":false,"suffix":""},{"dropping-particle":"","family":"Bi","given":"Yan","non-dropping-particle":"","parse-names":false,"suffix":""},{"dropping-particle":"","family":"Guo","given":"Zhenming","non-dropping-particle":"","parse-names":false,"suffix":""},{"dropping-particle":"","family":"Ma","given":"Gaini","non-dropping-particle":"","parse-names":false,"suffix":""},{"dropping-particle":"","family":"Xu","given":"Fei","non-dropping-particle":"","parse-names":false,"suffix":""},{"dropping-particle":"","family":"Yang","given":"Fengping","non-dropping-particle":"","parse-names":false,"suffix":""},{"dropping-particle":"","family":"Zhu","given":"Liping","non-dropping-particle":"","parse-names":false,"suffix":""},{"dropping-particle":"","family":"Robert","given":"Gabirel","non-dropping-particle":"","parse-names":false,"suffix":""},{"dropping-particle":"","family":"Xu","given":"Yifeng","non-dropping-particle":"","parse-names":false,"suffix":""},{"dropping-particle":"","family":"He","given":"Lin","non-dropping-particle":"","parse-names":false,"suffix":""},{"dropping-particle":"","family":"Bai","given":"Bo","non-dropping-particle":"","parse-names":false,"suffix":""},{"dropping-particle":"","family":"Yu","given":"Tao","non-dropping-particle":"","parse-names":false,"suffix":""},{"dropping-particle":"","family":"He","given":"Guang","non-dropping-particle":"","parse-names":false,"suffix":""}],"container-title":"General Psychiatry","id":"ITEM-1","issue":"5","issued":{"date-parts":[["2019"]]},"page":"1-8","title":"Prediction of adolescent subjective well-being: A machine learning approach","type":"article-journal","volume":"32"},"uris":["http://www.mendeley.com/documents/?uuid=dc125cee-fc40-459f-a31c-8a361327dd14"]}],"mendeley":{"formattedCitation":"(Zhang et al., 2019)","manualFormatting":"Zhang et al. (2019)","plainTextFormattedCitation":"(Zhang et al., 2019)","previouslyFormattedCitation":"(Zhang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Zhang et al. (2019)</w:t>
      </w:r>
      <w:r w:rsidRPr="005459E6">
        <w:rPr>
          <w:rFonts w:ascii="Times New Roman" w:hAnsi="Times New Roman" w:cs="Times New Roman"/>
        </w:rPr>
        <w:fldChar w:fldCharType="end"/>
      </w:r>
      <w:r w:rsidRPr="005459E6">
        <w:rPr>
          <w:rFonts w:ascii="Times New Roman" w:hAnsi="Times New Roman" w:cs="Times New Roman"/>
        </w:rPr>
        <w:t xml:space="preserve"> confirms that the machine learning approach to drive the prediction of subjective well-being has previously identified at-risk individuals based on the data.</w:t>
      </w:r>
      <w:r w:rsidR="00BC01E2" w:rsidRPr="005459E6">
        <w:rPr>
          <w:rFonts w:ascii="Times New Roman" w:hAnsi="Times New Roman" w:cs="Times New Roman"/>
        </w:rPr>
        <w:t xml:space="preserve"> </w:t>
      </w:r>
      <w:r w:rsidRPr="005459E6">
        <w:rPr>
          <w:rFonts w:ascii="Times New Roman" w:hAnsi="Times New Roman" w:cs="Times New Roman"/>
        </w:rPr>
        <w:t xml:space="preserve">Another study also made a robust attempt to predict mental health based on machine learning using 32 factors, with the prediction accuracy of the proposed model being 92.55%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{"citationItems":[{"id":"ITEM-1","itemData":{"DOI":"10.3389/fpubh.2021.697850","ISSN":"22962565","PMID":"34557468","abstract":"Mental health prediction is one of the most essential parts of reducing the probability of serious mental illness. Meanwhile, mental health prediction can provide a theoretical basis for public health department to work out psychological intervention plans for medical workers. The purpose of this paper is to predict mental health of medical workers based on machine learning by 32 factors. We collected the 32 factors of 5,108 Chinese medical workers through questionnaire survey, and the results of Self-reporting Inventory was applied to characterize mental health. In this study, we propose a novel prediction model based on optimization algorithm and neural network, which can select and rank the most important factors that affect mental health of medical workers. Besides, we use stepwise logistic regression, binary bat algorithm, hybrid improved dragonfly algorithm and the proposed prediction model to predict mental health of medical workers. The results show that the prediction accuracy of the proposed model is 92.55%, which is better than the existing algorithms. This method can be used to predict mental health of global medical worker. In addition, the method proposed in this paper can also play a role in the appropriate work plan for medical worker.","author":[{"dropping-particle":"","family":"Wang","given":"Xiaofeng","non-dropping-particle":"","parse-names":false,"suffix":""},{"dropping-particle":"","family":"Li","given":"Hu","non-dropping-particle":"","parse-names":false,"suffix":""},{"dropping-particle":"","family":"Sun","given":"Chuanyong","non-dropping-particle":"","parse-names":false,"suffix":""},{"dropping-particle":"","family":"Zhang","given":"Xiumin","non-dropping-particle":"","parse-names":false,"suffix":""},{"dropping-particle":"","family":"Wang","given":"Tan","non-dropping-particle":"","parse-names":false,"suffix":""},{"dropping-particle":"","family":"Dong","given":"Chenyu","non-dropping-particle":"","parse-names":false,"suffix":""},{"dropping-particle":"","family":"Guo","given":"Dongyang","non-dropping-particle":"","parse-names":false,"suffix":""}],"container-title":"Frontiers in Public Health","id":"ITEM-1","issue":"September","issued":{"date-parts":[["2021"]]},"page":"1-13","title":"Prediction of Mental Health in Medical Workers During COVID-19 Based on Machine Learning","type":"article-journal","volume":"9"},"uris":["http://www.mendeley.com/documents/?uuid=b8a7c194-f167-4427-9142-897036c3d98f"]}],"mendeley":{"formattedCitation":"(X. Wang et al., 2021)","manualFormatting":"(Wang et al., 2021)","plainTextFormattedCitation":"(X. Wang et al., 2021)","previouslyFormattedCitation":"(X. Wang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(Wang et al., 2021)</w:t>
      </w:r>
      <w:r w:rsidRPr="005459E6">
        <w:rPr>
          <w:rFonts w:ascii="Times New Roman" w:hAnsi="Times New Roman" w:cs="Times New Roman"/>
        </w:rPr>
        <w:fldChar w:fldCharType="end"/>
      </w:r>
      <w:r w:rsidRPr="005459E6">
        <w:rPr>
          <w:rFonts w:ascii="Times New Roman" w:hAnsi="Times New Roman" w:cs="Times New Roman"/>
        </w:rPr>
        <w:t xml:space="preserve">. A systematic review of the Human-Computer Interface reconfirms Machine Learning in mental health to support the development of effective and implementable Systems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{"citationItems":[{"id":"ITEM-1","itemData":{"DOI":"10.1145/3398069","ISSN":"15577325","abstract":"High prevalence of mental illness and the need for effective mental health care, combined with recent advances in AI, has led to an increase in explorations of how the field of machine learning (ML) can assist in the detection, diagnosis and treatment of mental health problems. ML techniques can potentially offer new routes for learning patterns of human behavior; identifying mental health symptoms and risk factors; developing predictions about disease progression; and personalizing and optimizing therapies. Despite the potential opportunities for using ML within mental health, this is an emerging research area, and the development of effective ML-enabled applications that are implementable in practice is bound up with an array of complex, interwoven challenges. Aiming to guide future research and identify new directions for advancing development in this important domain, this article presents an introduction to, and a systematic review of, current ML work regarding psycho-socially based mental health conditions from the computing and HCI literature. A quantitative synthesis and qualitative narrative review of 54 papers that were included in the analysis surfaced common trends, gaps, and challenges in this space. Discussing our findings, we (i) reflect on the current state-of-the-art of ML work for mental health, (ii) provide concrete suggestions for a stronger integration of human-centered and multi-disciplinary approaches in research and development, and (iii) invite more consideration of the potentially far-reaching personal, social, and ethical implications that ML models and interventions can have, if they are to find widespread, successful adoption in real-world mental health contexts.","author":[{"dropping-particle":"","family":"Thieme","given":"Anja","non-dropping-particle":"","parse-names":false,"suffix":""},{"dropping-particle":"","family":"Belgrave","given":"Danielle","non-dropping-particle":"","parse-names":false,"suffix":""},{"dropping-particle":"","family":"Doherty","given":"Gavin","non-dropping-particle":"","parse-names":false,"suffix":""}],"container-title":"ACM Transactions on Computer-Human Interaction","id":"ITEM-1","issue":"5","issued":{"date-parts":[["2020"]]},"title":"Machine Learning in Mental Health: A systematic review of the HCI literature to support the development of effective and implementable ML Systems","type":"article-journal","volume":"27"},"uris":["http://www.mendeley.com/documents/?uuid=5e51e6bc-4d93-4142-acdf-66638087dacc"]}],"mendeley":{"formattedCitation":"(Thieme et al., 2020)","plainTextFormattedCitation":"(Thieme et al., 2020)","previouslyFormattedCitation":"(Thieme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(Thieme et al., 2020)</w:t>
      </w:r>
      <w:r w:rsidRPr="005459E6">
        <w:rPr>
          <w:rFonts w:ascii="Times New Roman" w:hAnsi="Times New Roman" w:cs="Times New Roman"/>
        </w:rPr>
        <w:fldChar w:fldCharType="end"/>
      </w:r>
      <w:r w:rsidRPr="005459E6">
        <w:rPr>
          <w:rFonts w:ascii="Times New Roman" w:hAnsi="Times New Roman" w:cs="Times New Roman"/>
        </w:rPr>
        <w:t xml:space="preserve">. There are several studies that have made use of Machine Learning to predict Well-being to Augment and Empower Humans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{"citationItems":[{"id":"ITEM-1","itemData":{"DOI":"10.2139/ssrn.2562051","abstract":"The study of well-being is an interdisciplinary ﬁeld integrating aspects from psychology, economics, and the social and political sciences. Until today, research is still struggling to provide a robust definition of well-being, explaining its variation and dependencies on e.g. personality, demographics, way of life and life events. For this study, several machine learning techniques including kernel smoothing algorithms, neural networks and feature selection methods are applied in order to expand the structural understanding of subjective well-being and its dependencies. Well-being data from a four weeks study sequence including 362 participants is analyzed for non-parametric structures upon thirteen predictor variables, including the big ﬁve personality traits, a maximizer-satisficer scale, a fairness measure and six demographic variables. Neuroticism, extraversion and conscientiousness were conﬁrmed as the most important predictors. Although identified non-parametric structures do not lead to significantly higher prediction accuracy, 54% of the well-being variance between participants was explained upon the predictors set. Surprisingly, the cross-validated machine learning algorithms were not found to achieve higher accuracy than the linear model.","author":[{"dropping-particle":"","family":"Wilckens","given":"Max","non-dropping-particle":"","parse-names":false,"suffix":""},{"dropping-particle":"","family":"Hall","given":"Margeret","non-dropping-particle":"","parse-names":false,"suffix":""}],"container-title":"SSRN Electronic Journal","id":"ITEM-1","issue":"December","issued":{"date-parts":[["2015"]]},"title":"Can Well-Being Be Predicted? A Machine Learning Approach","type":"article-journal"},"uris":["http://www.mendeley.com/documents/?uuid=9cebeb17-3685-4740-a7a8-ed021841d16b"]},{"id":"ITEM-2","itemData":{"DOI":"10.1371/journal.pone.0254795","ISBN":"1111111111","ISSN":"19326203","PMID":"34265012","abstract":"There has been increasing interest in examining physician well-being and its predictive factors. However, few studies have revealed the characteristics associated with physician wellbeing and work-life integration using a machine learning approach. To investigate predictive factors of well-being and obtain insights into work-life integration, the survey was conducted by letter mail in a sample of Japanese physicians. A total of 422 responses were collected from 846 physicians. The mean age was 47.9 years, males constituted 83.3% of the physicians, and 88.6% were considered to be well. The most accurate machine learning model showed a mean area under the curve of 0.72. The mean permutation importance of career satisfaction, work hours per week, existence of family support, gender, and existence of power harassment were 0.057, 0.022, 0.009, 0.01, and 0.006, respectively. Using a machine learning model, physician well-being could be predicted. It seems to be influenced by multiple factors, such as career satisfaction, work hours per week, family support, gender, and power harassment. Career satisfaction has the highest impact, while long work hours have a negative effect on well-being. These findings support the need for organizational interventions to promote physician well-being and improve the quality of medical care.","author":[{"dropping-particle":"","family":"Nishi","given":"Masahiro","non-dropping-particle":"","parse-names":false,"suffix":""},{"dropping-particle":"","family":"Yamano","given":"Michiyo","non-dropping-particle":"","parse-names":false,"suffix":""},{"dropping-particle":"","family":"Matoba","given":"Satoaki","non-dropping-particle":"","parse-names":false,"suffix":""}],"container-title":"PLoS ONE","id":"ITEM-2","issue":"7 July","issued":{"date-parts":[["2021"]]},"page":"1-11","title":"Prediction of well-being and insight into work-life integration among physicians using machine learning approach","type":"article-journal","volume":"16"},"uris":["http://www.mendeley.com/documents/?uuid=0ea479da-1e26-42f2-9c9c-203a23d1c560"]},{"id":"ITEM-3","itemData":{"author":[{"dropping-particle":"","family":"Crowley","given":"James","non-dropping-particle":"","parse-names":false,"suffix":""},{"dropping-particle":"","family":"Antti","given":"Oulasvirta","non-dropping-particle":"","parse-names":false,"suffix":""},{"dropping-particle":"","family":"Shawe-Taylor","given":"John","non-dropping-particle":"","parse-names":false,"suffix":""},{"dropping-particle":"","family":"Chetouani","given":"Mohamed","non-dropping-particle":"","parse-names":false,"suffix":""},{"dropping-particle":"","family":"Paiva","given":"Ana","non-dropping-particle":"","parse-names":false,"suffix":""},{"dropping-particle":"","family":"Nowak","given":"Andrzej","non-dropping-particle":"","parse-names":false,"suffix":""},{"dropping-particle":"","family":"Jonker","given":"Catholijn","non-dropping-particle":"","parse-names":false,"suffix":""},{"dropping-particle":"","family":"Pedreschi","given":"Dino","non-dropping-particle":"","parse-names":false,"suffix":""},{"dropping-particle":"","family":"Giannotti","given":"Fosca","non-dropping-particle":"","parse-names":false,"suffix":""},{"dropping-particle":"","family":"Harmelen","given":"Frank","non-dropping-particle":"van","parse-names":false,"suffix":""},{"dropping-particle":"","family":"Hajic","given":"Jan","non-dropping-particle":"","parse-names":false,"suffix":""},{"dropping-particle":"","family":"Hoven","given":"Jeroen","non-dropping-particle":"van den","parse-names":false,"suffix":""},{"dropping-particle":"","family":"Chatila","given":"Raja","non-dropping-particle":"","parse-names":false,"suffix":""},{"dropping-particle":"","family":"Rogers","given":"Yvonne","non-dropping-particle":"","parse-names":false,"suffix":""}],"id":"ITEM-3","issued":{"date-parts":[["2019"]]},"title":"Toward AI Systems that Augment and Empower Humans by Understanding Us, our Society and the World Around Us","type":"article-journal"},"uris":["http://www.mendeley.com/documents/?uuid=6d5c4664-db8e-4434-9711-9917acd7e7d6"]}],"mendeley":{"formattedCitation":"(Crowley et al., 2019; Nishi et al., 2021; Wilckens &amp; Hall, 2015)","plainTextFormattedCitation":"(Crowley et al., 2019; Nishi et al., 2021; Wilckens &amp; Hall, 2015)","previouslyFormattedCitation":"(Crowley et al., 2019; Nishi et al., 2021; Wilckens &amp; Hall,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(Crowley et al., 2019; Nishi et al., 2021; Wilckens &amp; Hall, 2015)</w:t>
      </w:r>
      <w:r w:rsidRPr="005459E6">
        <w:rPr>
          <w:rFonts w:ascii="Times New Roman" w:hAnsi="Times New Roman" w:cs="Times New Roman"/>
        </w:rPr>
        <w:fldChar w:fldCharType="end"/>
      </w:r>
      <w:r w:rsidRPr="005459E6">
        <w:rPr>
          <w:rFonts w:ascii="Times New Roman" w:hAnsi="Times New Roman" w:cs="Times New Roman"/>
        </w:rPr>
        <w:t>.</w:t>
      </w:r>
    </w:p>
    <w:p w14:paraId="27051C6E" w14:textId="77777777" w:rsidR="00B42ABB" w:rsidRPr="005459E6" w:rsidRDefault="00B42ABB" w:rsidP="00BC18C0">
      <w:pPr>
        <w:spacing w:line="360" w:lineRule="auto"/>
        <w:jc w:val="both"/>
        <w:rPr>
          <w:rFonts w:ascii="Times New Roman" w:hAnsi="Times New Roman" w:cs="Times New Roman"/>
          <w:i/>
          <w:iCs/>
        </w:rPr>
      </w:pPr>
    </w:p>
    <w:p w14:paraId="7EC41009" w14:textId="64685085" w:rsidR="00B42ABB" w:rsidRPr="005459E6" w:rsidRDefault="00B42ABB" w:rsidP="00BC01E2">
      <w:pPr>
        <w:pStyle w:val="Titolo2"/>
        <w:spacing w:line="360" w:lineRule="auto"/>
        <w:jc w:val="both"/>
        <w:rPr>
          <w:rFonts w:ascii="Times New Roman" w:hAnsi="Times New Roman" w:cs="Times New Roman"/>
          <w:color w:val="auto"/>
          <w:sz w:val="22"/>
          <w:szCs w:val="22"/>
        </w:rPr>
      </w:pPr>
      <w:bookmarkStart w:id="96" w:name="_Toc104746491"/>
      <w:bookmarkStart w:id="97" w:name="_Toc104827772"/>
      <w:bookmarkStart w:id="98" w:name="_Toc107248282"/>
      <w:r w:rsidRPr="005459E6">
        <w:rPr>
          <w:rFonts w:ascii="Times New Roman" w:hAnsi="Times New Roman" w:cs="Times New Roman"/>
          <w:color w:val="auto"/>
          <w:sz w:val="22"/>
          <w:szCs w:val="22"/>
        </w:rPr>
        <w:t>CO-CREATING VALUE</w:t>
      </w:r>
      <w:bookmarkStart w:id="99" w:name="_Toc88315264"/>
      <w:bookmarkEnd w:id="96"/>
      <w:bookmarkEnd w:id="97"/>
      <w:bookmarkEnd w:id="98"/>
    </w:p>
    <w:p w14:paraId="42A81671"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100" w:name="_Toc104746492"/>
      <w:bookmarkStart w:id="101" w:name="_Toc104827773"/>
      <w:bookmarkStart w:id="102" w:name="_Toc107248283"/>
      <w:r w:rsidRPr="005459E6">
        <w:rPr>
          <w:rFonts w:ascii="Times New Roman" w:hAnsi="Times New Roman" w:cs="Times New Roman"/>
          <w:color w:val="auto"/>
          <w:sz w:val="22"/>
          <w:szCs w:val="22"/>
        </w:rPr>
        <w:t>Workplace Productivity</w:t>
      </w:r>
      <w:bookmarkEnd w:id="99"/>
      <w:bookmarkEnd w:id="100"/>
      <w:bookmarkEnd w:id="101"/>
      <w:bookmarkEnd w:id="102"/>
    </w:p>
    <w:p w14:paraId="4571B98D" w14:textId="77777777" w:rsidR="00B42ABB"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The efficiency with which tasks and goals are completed at an organization is referred to as workplace productivity. Individual workplace productivity,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{"citationItems":[{"id":"ITEM-1","itemData":{"author":[{"dropping-particle":"","family":"Asio","given":"John Mark R","non-dropping-particle":"","parse-names":false,"suffix":""}],"container-title":"Asio, JMR (2021). Determinants of work productivity among selected tertiary education employees: A PreCOVID-19 pandemic analysis. International Journal of Didactical Studies","id":"ITEM-1","issue":"1","issued":{"date-parts":[["2021"]]},"page":"101455","title":"Determinants of work productivity among selected tertiary education employees: A PreCOVID-19 pandemic analysis","type":"article-journal","volume":"2"},"uris":["http://www.mendeley.com/documents/?uuid=4fb4a6e0-0709-4a96-bfae-43406596d448"]}],"mendeley":{"formattedCitation":"(Asio, 2021)","manualFormatting":"Asio (2021)","plainTextFormattedCitation":"(Asio, 2021)","previouslyFormattedCitation":"(Asio,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Asio (2021)</w:t>
      </w:r>
      <w:r w:rsidRPr="005459E6">
        <w:rPr>
          <w:rFonts w:ascii="Times New Roman" w:hAnsi="Times New Roman" w:cs="Times New Roman"/>
        </w:rPr>
        <w:fldChar w:fldCharType="end"/>
      </w:r>
      <w:r w:rsidRPr="005459E6">
        <w:rPr>
          <w:rFonts w:ascii="Times New Roman" w:hAnsi="Times New Roman" w:cs="Times New Roman"/>
        </w:rPr>
        <w:t xml:space="preserve">, is an organizational asset that can be equated to advancement and success. Employees, the organization, and other stakeholders all benefit from it.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{"citationItems":[{"id":"ITEM-1","itemData":{"DOI":"10.17161/kjm.vol1413424","ISSN":"1948-2035","abstract":"INTRODUCTION. The primary purpose of this study was to evaluate the association between workplace stress and productivity among employees from worksites participating in a WorkWell KS Well-Being workshop and assess any differences by gender and race. METHODS. A multi-site, cross-sectional study was conducted to survey employees across four worksites participating in a WorkWell KS Well Being workshop to assess levels of stress and productivity. Stress was measured by the Perceived Stress Scale (PSS) and productivity was measured by the Health and Work Questionnaire (HWQ). Pearson correlations were conducted to measure the association between stress and productivity scores. T-tests evaluated differences in scores by gender and race. RESULTS. Of the 186 participants who completed the survey, most reported being white (94%), female (85%), married (80%), and having a college degree (74%). A significant inverse relationship was observed between the scores for PSS and HWQ, r = -0.35, p &lt; 0.001; as stress increased, productivity appeared to decrease. Another notable inverse relationship was PSS with Work Satisfaction subscale, r = -0.61, p &lt; 0.001. One difference was observed by gender- males scored significantly higher on the HWQ Supervisor Relations subscale compared with females, 8.4 (2.1) vs. 6.9 (2.7), respectively, p = 0.005. CONCLUSIONS. Scores from PSS and the HWQ appeared to be inversely correlated; higher stress scores were significantly associated with lower productivity scores. This negative association was observed for all HWQ subscales, but was especially strong for work satisfaction. This study also suggests that males may have better supervisor relations compared with females, although no gender differences were observed by perceived levels of stress.","author":[{"dropping-particle":"","family":"Bui","given":"Tina","non-dropping-particle":"","parse-names":false,"suffix":""},{"dropping-particle":"","family":"Zackula","given":"Rosey","non-dropping-particle":"","parse-names":false,"suffix":""},{"dropping-particle":"","family":"Dugan","given":"Katelyn","non-dropping-particle":"","parse-names":false,"suffix":""},{"dropping-particle":"","family":"Ablah","given":"Elizabeth","non-dropping-particle":"","parse-names":false,"suffix":""}],"container-title":"Kansas Journal of Medicine","id":"ITEM-1","issued":{"date-parts":[["2021"]]},"page":"42-45","title":"Workplace Stress and Productivity: A Cross-Sectional Study","type":"article-journal","volume":"14"},"uris":["http://www.mendeley.com/documents/?uuid=1c1d520d-4dc4-4c31-9e0a-7ceadf87e45f"]}],"mendeley":{"formattedCitation":"(Bui et al., 2021)","manualFormatting":"Bui et al. (2021)","plainTextFormattedCitation":"(Bui et al., 2021)","previouslyFormattedCitation":"(Bui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Bui et al. (2021)</w:t>
      </w:r>
      <w:r w:rsidRPr="005459E6">
        <w:rPr>
          <w:rFonts w:ascii="Times New Roman" w:hAnsi="Times New Roman" w:cs="Times New Roman"/>
        </w:rPr>
        <w:fldChar w:fldCharType="end"/>
      </w:r>
      <w:r w:rsidRPr="005459E6">
        <w:rPr>
          <w:rFonts w:ascii="Times New Roman" w:hAnsi="Times New Roman" w:cs="Times New Roman"/>
        </w:rPr>
        <w:t xml:space="preserve">, there is a negative relationship between total stress and productivity, with higher stress levels being associated with lower output. This negative relationship was especially apparent when it came to job satisfaction. There were no racial differences observed in productivity or stress. The findings of this study suggested that efforts by employers to reduce workplace stress may boost employee productivity. Employers and organizations are directly impacted by psychological disorders due to increased absenteeism, a negative impact on productivity and revenues, and an increase in spending to address the problem. Furthermore, they have a negative impact on employee morale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{"citationItems":[{"id":"ITEM-1","itemData":{"DOI":"10.4103/0019-5278.75691","ISSN":"1998-3670","author":[{"dropping-particle":"","family":"Rajgopal","given":"T","non-dropping-particle":"","parse-names":false,"suffix":""}],"container-title":"Indian journal of occupational and environmental medicine","id":"ITEM-1","issue":"3","issued":{"date-parts":[["2010","9"]]},"language":"eng","page":"63-65","publisher":"Medknow Publications","title":"Mental well-being at the workplace","type":"article-journal","volume":"14"},"uris":["http://www.mendeley.com/documents/?uuid=e7dbbf17-3246-4df0-8c72-3dda2df24d18"]}],"mendeley":{"formattedCitation":"(Rajgopal, 2010)","plainTextFormattedCitation":"(Rajgopal, 2010)","previouslyFormattedCitation":"(Rajgopal,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(Rajgopal, 2010)</w:t>
      </w:r>
      <w:r w:rsidRPr="005459E6">
        <w:rPr>
          <w:rFonts w:ascii="Times New Roman" w:hAnsi="Times New Roman" w:cs="Times New Roman"/>
        </w:rPr>
        <w:fldChar w:fldCharType="end"/>
      </w:r>
      <w:r w:rsidRPr="005459E6">
        <w:rPr>
          <w:rFonts w:ascii="Times New Roman" w:hAnsi="Times New Roman" w:cs="Times New Roman"/>
        </w:rPr>
        <w:t xml:space="preserve">. Employee burnout,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{"citationItems":[{"id":"ITEM-1","itemData":{"ISBN":"924156296X","author":[{"dropping-particle":"","family":"WHO","given":"","non-dropping-particle":"","parse-names":false,"suffix":""}],"id":"ITEM-1","issued":{"date-parts":[["2005"]]},"publisher":"World Health Organization","title":"Mental health Atlas 2005","type":"book"},"uris":["http://www.mendeley.com/documents/?uuid=8bd9cf84-2df5-48b3-9cd2-3dda07c29e16"]}],"mendeley":{"formattedCitation":"(WHO, 2005)","manualFormatting":"WHO (2005)","plainTextFormattedCitation":"(WHO, 2005)","previouslyFormattedCitation":"(WHO,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WHO (2005)</w:t>
      </w:r>
      <w:r w:rsidRPr="005459E6">
        <w:rPr>
          <w:rFonts w:ascii="Times New Roman" w:hAnsi="Times New Roman" w:cs="Times New Roman"/>
        </w:rPr>
        <w:fldChar w:fldCharType="end"/>
      </w:r>
      <w:r w:rsidRPr="005459E6">
        <w:rPr>
          <w:rFonts w:ascii="Times New Roman" w:hAnsi="Times New Roman" w:cs="Times New Roman"/>
        </w:rPr>
        <w:t>, can lead to poor mental health, which has a substantial influence on their ability to contribute meaningfully to both their personal and professional lives.</w:t>
      </w:r>
    </w:p>
    <w:p w14:paraId="34744557" w14:textId="3D5B520E" w:rsidR="00CA5973"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{"citationItems":[{"id":"ITEM-1","itemData":{"DOI":"10.2139/ssrn.3356581","ISSN":"1556-5068","abstract":"Does higher employee wellbeing lead to higher productivity, and, ultimately, to tangible benefits to the bottom line of businesses? We survey the evidence and study this question in a metaanalysis of 339 independent research studies, including the wellbeing of 1,882,131 employees and the performance of 82,248 business units, originating from 230 independent organisations across 49 industries in the Gallup client database. We find a significant, strong positive correlation between employees' satisfaction with their company and employee productivity and customer loyalty, and a strong negative correlation with staff turnover. Ultimately, higher wellbeing at work is positively correlated with more business-unit level profitability.","author":[{"dropping-particle":"","family":"Krekel","given":"Christian","non-dropping-particle":"","parse-names":false,"suffix":""},{"dropping-particle":"","family":"Ward","given":"George","non-dropping-particle":"","parse-names":false,"suffix":""},{"dropping-particle":"","family":"Neve","given":"Jan-Emmanuel","non-dropping-particle":"De","parse-names":false,"suffix":""}],"container-title":"SSRN Electronic Journal","id":"ITEM-1","issued":{"date-parts":[["2019"]]},"title":"Employee Wellbeing, Productivity, and Firm Performance","type":"article-journal"},"uris":["http://www.mendeley.com/documents/?uuid=e9a65d51-1677-4ce2-b140-f890249a04e0"]}],"mendeley":{"formattedCitation":"(Christian Krekel et al., 2019)","manualFormatting":"Krekel et al. (2019)","plainTextFormattedCitation":"(Christian Krekel et al., 2019)","previouslyFormattedCitation":"(Christian Krekel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Krekel et al. (2019)</w:t>
      </w:r>
      <w:r w:rsidRPr="005459E6">
        <w:rPr>
          <w:rFonts w:ascii="Times New Roman" w:hAnsi="Times New Roman" w:cs="Times New Roman"/>
        </w:rPr>
        <w:fldChar w:fldCharType="end"/>
      </w:r>
      <w:r w:rsidRPr="005459E6">
        <w:rPr>
          <w:rFonts w:ascii="Times New Roman" w:hAnsi="Times New Roman" w:cs="Times New Roman"/>
        </w:rPr>
        <w:t xml:space="preserve">, these days, several businesses are placing a high value on employee happiness, thinking that happier employees may lead to increased productivity. Recently,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URL":"https://www.gallup.com/workplace/321725/gallup-q12-meta-analysis-report.aspx","accessed":{"date-parts":[["2022","1","1"]]},"author":[{"dropping-particle":"","family":"Gallup","given":"","non-dropping-particle":"","parse-names":false,"suffix":""}],"id":"ITEM-1","issued":{"date-parts":[["2020"]]},"title":"Meta-Analysis","type":"webpage"},"uris":["http://www.mendeley.com/documents/?uuid=9cea7a55-a224-446c-a985-5536c9829686"]}],"mendeley":{"formattedCitation":"(Gallup, 2020)","manualFormatting":"Gallup (2020)","plainTextFormattedCitation":"(Gallup, 2020)","previouslyFormattedCitation":"(Gallup,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Gallup (2020)</w:t>
      </w:r>
      <w:r w:rsidRPr="005459E6">
        <w:rPr>
          <w:rFonts w:ascii="Times New Roman" w:hAnsi="Times New Roman" w:cs="Times New Roman"/>
        </w:rPr>
        <w:fldChar w:fldCharType="end"/>
      </w:r>
      <w:r w:rsidRPr="005459E6">
        <w:rPr>
          <w:rFonts w:ascii="Times New Roman" w:hAnsi="Times New Roman" w:cs="Times New Roman"/>
        </w:rPr>
        <w:t xml:space="preserve"> conducted a meta-analysis of independent studies covering well-being and productivity that identified a robust link between employee happiness, productivity, and company performance. This is in line with the human relations theory; higher employee happiness leads to improved morale, which leads to increased outcomes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{"citationItems":[{"id":"ITEM-1","itemData":{"ISSN":"0038-0253","author":[{"dropping-particle":"","family":"Strauss","given":"Anselm","non-dropping-particle":"","parse-names":false,"suffix":""}],"container-title":"Sociological quarterly","id":"ITEM-1","issue":"1","issued":{"date-parts":[["1985"]]},"page":"1-19","publisher":"Wiley Online Library","title":"Work and the division of labor","type":"article-journal","volume":"26"},"uris":["http://www.mendeley.com/documents/?uuid=0ae27beb-0e47-4714-a72a-4b5eb42894f9"]}],"mendeley":{"formattedCitation":"(Strauss, 1985)","plainTextFormattedCitation":"(Strauss, 1985)","previouslyFormattedCitation":"(Strauss, 1985)"},"properties":{"noteIndex":0},"schema":"https://github.com/citation-style-language/schema/raw/master/csl-citation.json"}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(Strauss, 1985)</w:t>
      </w:r>
      <w:r w:rsidRPr="005459E6">
        <w:rPr>
          <w:rFonts w:ascii="Times New Roman" w:hAnsi="Times New Roman" w:cs="Times New Roman"/>
        </w:rPr>
        <w:fldChar w:fldCharType="end"/>
      </w:r>
      <w:r w:rsidRPr="005459E6">
        <w:rPr>
          <w:rFonts w:ascii="Times New Roman" w:hAnsi="Times New Roman" w:cs="Times New Roman"/>
        </w:rPr>
        <w:t xml:space="preserve">. Similarly, expectancy theories of motivation believe employee productivity is based on the expectation of perks or benefits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{"citationItems":[{"id":"ITEM-1","itemData":{"ISSN":"0019-8676","author":[{"dropping-particle":"","family":"Schwab","given":"Donald P","non-dropping-particle":"","parse-names":false,"suffix":""},{"dropping-particle":"","family":"Cummings","given":"Larry L","non-dropping-particle":"","parse-names":false,"suffix":""}],"container-title":"Industrial Relations: A journal of economy and society","id":"ITEM-1","issue":"4","issued":{"date-parts":[["1970"]]},"page":"408-430","publisher":"Wiley Online Library","title":"Theories of performance and satisfaction: A review","type":"article-journal","volume":"9"},"uris":["http://www.mendeley.com/documents/?uuid=7d1fc863-034e-476f-9387-ed185df2988d"]}],"mendeley":{"formattedCitation":"(Schwab &amp; Cummings, 1970)","plainTextFormattedCitation":"(Schwab &amp; Cummings, 1970)","previouslyFormattedCitation":"(Schwab &amp; Cummings, 1970)"},"properties":{"noteIndex":0},"schema":"https://github.com/citation-style-language/schema/raw/master/csl-citation.json"}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(Schwab &amp; Cummings, 1970)</w:t>
      </w:r>
      <w:r w:rsidRPr="005459E6">
        <w:rPr>
          <w:rFonts w:ascii="Times New Roman" w:hAnsi="Times New Roman" w:cs="Times New Roman"/>
        </w:rPr>
        <w:fldChar w:fldCharType="end"/>
      </w:r>
      <w:r w:rsidRPr="005459E6">
        <w:rPr>
          <w:rFonts w:ascii="Times New Roman" w:hAnsi="Times New Roman" w:cs="Times New Roman"/>
        </w:rPr>
        <w:t xml:space="preserve">. </w:t>
      </w:r>
    </w:p>
    <w:p w14:paraId="4B13DADD" w14:textId="77777777" w:rsidR="00CA5973" w:rsidRPr="005459E6" w:rsidRDefault="00CA5973" w:rsidP="00B42ABB">
      <w:pPr>
        <w:spacing w:line="360" w:lineRule="auto"/>
        <w:jc w:val="both"/>
        <w:rPr>
          <w:rFonts w:ascii="Times New Roman" w:hAnsi="Times New Roman" w:cs="Times New Roman"/>
        </w:rPr>
      </w:pPr>
    </w:p>
    <w:p w14:paraId="5E242CCF" w14:textId="31E31AC0" w:rsidR="00117F8E"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Employees' emotional states have an impact on their productivity, according to Emotions Theory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{"citationItems":[{"id":"ITEM-1","itemData":{"ISSN":"1047-7039","author":[{"dropping-particle":"","family":"Staw","given":"Barry M","non-dropping-particle":"","parse-names":false,"suffix":""},{"dropping-particle":"","family":"Sutton","given":"Robert I","non-dropping-particle":"","parse-names":false,"suffix":""},{"dropping-particle":"","family":"Pelled","given":"Lisa H","non-dropping-particle":"","parse-names":false,"suffix":""}],"container-title":"Organization science","id":"ITEM-1","issue":"1","issued":{"date-parts":[["1994"]]},"page":"51-71","publisher":"INFORMS","title":"Employee positive emotion and favorable outcomes at the workplace","type":"article-journal","volume":"5"},"uris":["http://www.mendeley.com/documents/?uuid=2381c8c4-d2ba-41ca-807b-2c0c60c69397"]}],"mendeley":{"formattedCitation":"(Staw et al., 1994)","plainTextFormattedCitation":"(Staw et al., 1994)","previouslyFormattedCitation":"(Staw et al., 1994)"},"properties":{"noteIndex":0},"schema":"https://github.com/citation-style-language/schema/raw/master/csl-citation.json"}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(Staw et al., 1994)</w:t>
      </w:r>
      <w:r w:rsidRPr="005459E6">
        <w:rPr>
          <w:rFonts w:ascii="Times New Roman" w:hAnsi="Times New Roman" w:cs="Times New Roman"/>
        </w:rPr>
        <w:fldChar w:fldCharType="end"/>
      </w:r>
      <w:r w:rsidRPr="005459E6">
        <w:rPr>
          <w:rFonts w:ascii="Times New Roman" w:hAnsi="Times New Roman" w:cs="Times New Roman"/>
        </w:rPr>
        <w:t xml:space="preserve">, and it has also been observed that pleasant emotions lead to increased motivation, which leads to improved job outcomes and organizational performance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{"citationItems":[{"id":"ITEM-1","itemData":{"ISSN":"1573-3378","author":[{"dropping-particle":"","family":"Baron","given":"Robert A","non-dropping-particle":"","parse-names":false,"suffix":""}],"container-title":"Employee Responsibilities and Rights Journal","id":"ITEM-1","issue":"1","issued":{"date-parts":[["1991"]]},"page":"25-36","publisher":"Springer","title":"Positive effects of conflict: A cognitive perspective","type":"article-journal","volume":"4"},"uris":["http://www.mendeley.com/documents/?uuid=eb63ba82-6408-4258-8c3c-66a4e749934c"]}],"mendeley":{"formattedCitation":"(Baron, 1991)","plainTextFormattedCitation":"(Baron, 1991)","previouslyFormattedCitation":"(Baron, 1991)"},"properties":{"noteIndex":0},"schema":"https://github.com/citation-style-language/schema/raw/master/csl-citation.json"}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(Baron, 1991)</w:t>
      </w:r>
      <w:r w:rsidRPr="005459E6">
        <w:rPr>
          <w:rFonts w:ascii="Times New Roman" w:hAnsi="Times New Roman" w:cs="Times New Roman"/>
        </w:rPr>
        <w:fldChar w:fldCharType="end"/>
      </w:r>
      <w:r w:rsidRPr="005459E6">
        <w:rPr>
          <w:rFonts w:ascii="Times New Roman" w:hAnsi="Times New Roman" w:cs="Times New Roman"/>
        </w:rPr>
        <w:t xml:space="preserve">. </w:t>
      </w:r>
    </w:p>
    <w:p w14:paraId="5756BF93" w14:textId="126C41C7" w:rsidR="00895B54" w:rsidRPr="005459E6" w:rsidRDefault="00B42ABB" w:rsidP="00B42ABB">
      <w:pPr>
        <w:spacing w:line="360" w:lineRule="auto"/>
        <w:jc w:val="both"/>
        <w:rPr>
          <w:rFonts w:ascii="Times New Roman" w:hAnsi="Times New Roman" w:cs="Times New Roman"/>
        </w:rPr>
      </w:pPr>
      <w:r w:rsidRPr="005459E6">
        <w:rPr>
          <w:rFonts w:ascii="Times New Roman" w:hAnsi="Times New Roman" w:cs="Times New Roman"/>
        </w:rPr>
        <w:t xml:space="preserve">Recently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{"citationItems":[{"id":"ITEM-1","itemData":{"DOI":"10.1108/JOEPP-07-2016-0042","ISSN":"2051-6614","abstract":"Purpose The purpose of this paper is to position well-being as a necessary component of the productivity debate and highlights the need for a deeper understanding of the nature of such a link. It first considers productivity at the national level in order to show how this affects both the climate and the economic policies within which organisations operate. Design/methodology/approach The paper presents an overview of current research and practice in the area. It treats the organisation as the primary level of analysis, and before highlights some of the apparent challenges in conceptualising well-being. Findings The importance of well-being is rising up national and employer agendas. Organisations need people to perform at their best in a sustainable way. The paper argues that an organisation with well-being at its core will reap productivity gains. It supports the view in the literature that improvements at national level can only be made on the back of sophisticated strategies across numerous organisations. However, for this to happen shared actions and understanding of these challenges has first to be created and acted upon across institutions and organisations. There are notable costs of poor well-being to productivity, and identifiable benefits of promoting and supporting employee well-being for productivity. Practical implications There is a clear practice implementation gap. Some organisations are embracing the opportunities to invest in their staff, but those who make employee well-being a business priority and a fundamental part of how the organisation operates are in the minority. There is also an ongoing challenge of measuring the impact of well-being programmes which can inform ROI assessments and enable organisations to demonstrate the business benefits of employee well-being. Originality/value There remain many unanswered questions about both the nature of the link between well-being and productivity and the economic impact of an association. This paper sparks further interest in expanding the understanding of the well-being and productivity link or peripheral issues.","author":[{"dropping-particle":"","family":"Miller","given":"Jill","non-dropping-particle":"","parse-names":false,"suffix":""}],"container-title":"Journal of Organizational Effectiveness: People and Performance","id":"ITEM-1","issue":"3","issued":{"date-parts":[["2016","1","1"]]},"page":"289-311","publisher":"Emerald Group Publishing Limited","title":"The well-being and productivity link: a significant opportunity for research-into-practice","type":"article-journal","volume":"3"},"uris":["http://www.mendeley.com/documents/?uuid=4e85c94b-2677-4caf-a389-6555af5d3aa6"]}],"mendeley":{"formattedCitation":"(Miller, 2016)","manualFormatting":"Miller (2016)","plainTextFormattedCitation":"(Miller, 2016)","previouslyFormattedCitation":"(Miller,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Miller (2016)</w:t>
      </w:r>
      <w:r w:rsidRPr="005459E6">
        <w:rPr>
          <w:rFonts w:ascii="Times New Roman" w:hAnsi="Times New Roman" w:cs="Times New Roman"/>
        </w:rPr>
        <w:fldChar w:fldCharType="end"/>
      </w:r>
      <w:r w:rsidRPr="005459E6">
        <w:rPr>
          <w:rFonts w:ascii="Times New Roman" w:hAnsi="Times New Roman" w:cs="Times New Roman"/>
        </w:rPr>
        <w:t xml:space="preserve"> claimed that a company that prioritizes well-being is likely to experience increased productivity. There are measurable costs of low employee well-being on workplace productivity, as well as measurable productivity advantages from fostering and supporting employee well-being.  Furthermore,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{"citationItems":[{"id":"ITEM-1","itemData":{"DOI":"10.1037/1072-5245.12.4.409","ISSN":"10725245","abstract":"In this study (N = 16,001), the predictors of productivity (i.e., work performance) were investigated with A Shortened Stress Evaluation Tool (E. B. Faragher, C. L. Cooper, &amp; S. Cartwright, 2004), which incorporates individual work stressors, stress outcomes (physical and psychological wellbeing), and commitment (both to and from an organization). Psychological well-being, commitment from the organization to the employee, and resources were found to be predictive. Physical health, individual work stressors (with the exception of resources), and commitment from the employee to the organization were not identified as important. The findings are discussed with reference to both previous and future research. The large sample size and broad range of occupations included suggest the findings are generalizable to other employee groupings. Implications for both stress and management theory are discussed. Copyright 2005 by the Educational Publishing Foundation.","author":[{"dropping-particle":"","family":"Donald","given":"Ian","non-dropping-particle":"","parse-names":false,"suffix":""},{"dropping-particle":"","family":"Taylor","given":"Paul","non-dropping-particle":"","parse-names":false,"suffix":""},{"dropping-particle":"","family":"Johnson","given":"Sheena","non-dropping-particle":"","parse-names":false,"suffix":""},{"dropping-particle":"","family":"Cooper","given":"Cary","non-dropping-particle":"","parse-names":false,"suffix":""},{"dropping-particle":"","family":"Cartwright","given":"Susan","non-dropping-particle":"","parse-names":false,"suffix":""},{"dropping-particle":"","family":"Robertson","given":"Susannah","non-dropping-particle":"","parse-names":false,"suffix":""}],"container-title":"International Journal of Stress Management","id":"ITEM-1","issue":"4","issued":{"date-parts":[["2005"]]},"page":"409-423","title":"Work environments, stress, and productivity: An examination using ASSET","type":"article-journal","volume":"12"},"uris":["http://www.mendeley.com/documents/?uuid=47deb52f-182b-4fec-aa75-f254b6c68377"]}],"mendeley":{"formattedCitation":"(Donald et al., 2005)","manualFormatting":"Donald et al. (2005)","plainTextFormattedCitation":"(Donald et al., 2005)","previouslyFormattedCitation":"(Donald et al.,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Donald et al. (2005)</w:t>
      </w:r>
      <w:r w:rsidRPr="005459E6">
        <w:rPr>
          <w:rFonts w:ascii="Times New Roman" w:hAnsi="Times New Roman" w:cs="Times New Roman"/>
        </w:rPr>
        <w:fldChar w:fldCharType="end"/>
      </w:r>
      <w:r w:rsidRPr="005459E6">
        <w:rPr>
          <w:rFonts w:ascii="Times New Roman" w:hAnsi="Times New Roman" w:cs="Times New Roman"/>
        </w:rPr>
        <w:t xml:space="preserve"> ha</w:t>
      </w:r>
      <w:r w:rsidR="001B2A95" w:rsidRPr="005459E6">
        <w:rPr>
          <w:rFonts w:ascii="Times New Roman" w:hAnsi="Times New Roman" w:cs="Times New Roman"/>
        </w:rPr>
        <w:t>ve</w:t>
      </w:r>
      <w:r w:rsidRPr="005459E6">
        <w:rPr>
          <w:rFonts w:ascii="Times New Roman" w:hAnsi="Times New Roman" w:cs="Times New Roman"/>
        </w:rPr>
        <w:t xml:space="preserve"> added to the body of evidence supporting the link between well-being and productivity, as well as providing new insight into the link between commitment and productivity. </w:t>
      </w:r>
    </w:p>
    <w:p w14:paraId="0726695B"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103" w:name="_Toc88315265"/>
    </w:p>
    <w:p w14:paraId="67A479F5" w14:textId="77777777" w:rsidR="00B42ABB" w:rsidRPr="005459E6" w:rsidRDefault="00B42ABB" w:rsidP="00B42ABB">
      <w:pPr>
        <w:pStyle w:val="Titolo3"/>
        <w:spacing w:line="360" w:lineRule="auto"/>
        <w:jc w:val="both"/>
        <w:rPr>
          <w:rFonts w:ascii="Times New Roman" w:hAnsi="Times New Roman" w:cs="Times New Roman"/>
          <w:color w:val="auto"/>
          <w:sz w:val="22"/>
          <w:szCs w:val="22"/>
        </w:rPr>
      </w:pPr>
      <w:bookmarkStart w:id="104" w:name="_Toc104746493"/>
      <w:bookmarkStart w:id="105" w:name="_Toc104827774"/>
      <w:bookmarkStart w:id="106" w:name="_Toc107248284"/>
      <w:r w:rsidRPr="005459E6">
        <w:rPr>
          <w:rFonts w:ascii="Times New Roman" w:hAnsi="Times New Roman" w:cs="Times New Roman"/>
          <w:color w:val="auto"/>
          <w:sz w:val="22"/>
          <w:szCs w:val="22"/>
        </w:rPr>
        <w:t>Organizational Performance</w:t>
      </w:r>
      <w:bookmarkEnd w:id="103"/>
      <w:bookmarkEnd w:id="104"/>
      <w:bookmarkEnd w:id="105"/>
      <w:bookmarkEnd w:id="106"/>
    </w:p>
    <w:p w14:paraId="6D02D61B" w14:textId="20DCAA3E" w:rsidR="000130E5" w:rsidRPr="005459E6" w:rsidRDefault="00B42ABB" w:rsidP="00042CB0">
      <w:pPr>
        <w:spacing w:line="360" w:lineRule="auto"/>
        <w:jc w:val="both"/>
        <w:rPr>
          <w:rFonts w:ascii="Times New Roman" w:hAnsi="Times New Roman" w:cs="Times New Roman"/>
        </w:rPr>
      </w:pPr>
      <w:r w:rsidRPr="005459E6">
        <w:rPr>
          <w:rFonts w:ascii="Times New Roman" w:hAnsi="Times New Roman" w:cs="Times New Roman"/>
        </w:rPr>
        <w:t xml:space="preserve">Evidence suggests that long-term exposure to work-related stresses negatively influences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{"citationItems":[{"id":"ITEM-1","itemData":{"DOI":"10.1186/s12889-020-09769-0","ISSN":"14712458","PMID":"33148247","abstract":"Background: Work-related stress and its detrimental effects on human health have rapidly increased during the past several years. It causes many different stress reactions, related diseases and unhealthy behavior among workers, but especially women workers. Thus, the aim of this study was to examine the effects of the work-related stress model based Workplace Mental Health Promotion Programme on the job stress, social support, reactions, salivary immunoglobulin A and Cortisol levels, work absenteeism, job performance and coping profiles of women workers. Methods: This study had a “pre-test post-test non-equivalent control groups” design and included 70 women workers (35 in each study group) selected by randomized sampling from two factories. The programme was delivered as an intervention including 12 weeks of follow-up. Reminder messages, videos, and WhatsApp texts were used at the follow-up stage. The research measurements were; the assessment form, the Brief Job Stress Questionnaire, the Brief Coping Profile Scale, salivary ELISA kits, and a self-reported check-list. Results: There were no differences in sociodemographic characteristics, general health or working conditions between the Intervention and control groups(p &gt;.05). Three months after the intervention, there was a significant decrease in job stress(p ≤.001), physical and mental reactions’ scores(p ≤.001) and work absenteeism(p &lt;.05), and there was an increase in job performance(p &lt;.05), social support(p ≤.001) among the intervention group. The programme showed positive effects on coping profiles(p &lt;.05). After the intervention salivary-cortisol and IgA levels showed a statistically significant decrease(p &lt;.05). A majority of effect sizes were very large (ηp2 &gt;.14). Conclusions: Work-ProMentH was found to be effective and useful in job stress management and promotion of effective coping profiles. It enables its users to holistically assess worker stress and to plan and examine intervention programmes via a systematic approach. There is a need for more empirical studies that may support the data of the present study, but it is thought that the intervention can be maintained for the long-term. We recommend that occupational health professionals at workplaces should consider using this model-based cost-effective intervention, which seems easy and practical to apply in real-life situations. Trial registration: ISRCTN registration ID: ISRCTN14333710 (2020/10/03, retrospective registration).","author":[{"dropping-particle":"","family":"Ornek","given":"Ozlem Koseoglu","non-dropping-particle":"","parse-names":false,"suffix":""},{"dropping-particle":"","family":"Esin","given":"Melek Nihal","non-dropping-particle":"","parse-names":false,"suffix":""}],"container-title":"BMC Public Health","id":"ITEM-1","issue":"1","issued":{"date-parts":[["2020"]]},"page":"1-14","publisher":"BMC Public Health","title":"Effects of a work-related stress model based mental health promotion program on job stress, stress reactions and coping profiles of women workers: a control groups study","type":"article-journal","volume":"20"},"uris":["http://www.mendeley.com/documents/?uuid=0634cf47-6450-411f-ba92-446e1ac43565"]},{"id":"ITEM-2","itemData":{"abstract":"Long working hours are known to have a negative effect on health. However, there is no clear evidence for a direct link between mental health and long working hours in the young adult populations. Therefore, we aimed to determine whether long working hours are associated with mental health in young adult workers. Data were collected from a 2012 follow-up survey of the Youth Panel 2007. A total of 3,332 young adult employees (aged 20 to 35) were enrolled in the study. We analyzed stress, depression, and suicidal thoughts by multivariate logistic regression analysis based on working hours (41 to 50, 51 to 60 and over 60 hours, compared to 31 to 40 hours per week), which was adjusted for sex, age, marriage status, region, and educational level. From the 3,332 young adult employees, about 60% of the workers worked more than 40 hours and 17% of the workers worked more than 50 hours per week. In a Chi-square test, stress level, depression, and suicidal thoughts increased with increasing working hours (p-value &lt;0.001, 0.007, and 0.018, respectively). The multivariate logistic regression model showed that, compared to the 31 to 40 hours per week group, the adjusted odds ratios of the 41 to 50, 51 to 60, and over 60 hours per week groups for stress were 1.46(1.23–1.74), 2.25(1.79–2.83) and 2.55(1.72–3.77), respectively. A similar trend was shown in depression [odds ratios: 2.08(1.23–3.53), 2.79(1.44–5.39) and 4.09(1.59–10.55), respectively] and suicidal ideation [odds ratios: 1.98(0.95–4.10), 3.48(1.48–8.19) and 5.30(1.61–17.42), respectively]. We concluded that long working hours were associated with stress, depression, and suicidal ideation in young employees, aged 20 to 35.","author":[{"dropping-particle":"","family":"Park","given":"Sungjin","non-dropping-particle":"","parse-names":false,"suffix":""},{"dropping-particle":"","family":"Kook","given":"Hyungdon","non-dropping-particle":"","parse-names":false,"suffix":""},{"dropping-particle":"","family":"Seok","given":"Hongdeok","non-dropping-particle":"","parse-names":false,"suffix":""},{"dropping-particle":"","family":"Lee","given":"Jae Hyoung","non-dropping-particle":"","parse-names":false,"suffix":""},{"dropping-particle":"","family":"Lim","given":"Daeun","non-dropping-particle":"","parse-names":false,"suffix":""},{"dropping-particle":"","family":"Cho","given":"Dong-Hyuk","non-dropping-particle":"","parse-names":false,"suffix":""},{"dropping-particle":"","family":"Oh","given":"Suk-Kyu","non-dropping-particle":"","parse-names":false,"suffix":""}],"container-title":"PLOS ONE","id":"ITEM-2","issue":"8","issued":{"date-parts":[["2020","8","4"]]},"page":"e0236931","publisher":"Public Library of Science","title":"The negative impact of long working hours on mental health in young Korean workers","type":"article-journal","volume":"15"},"uris":["http://www.mendeley.com/documents/?uuid=d502fb5d-6a1b-445d-afee-cd266e489328"]},{"id":"ITEM-3","itemData":{"DOI":"10.1146/annurev.clinpsy.1.102803.144141","ISSN":"1548-5943","PMID":"17716101","abstract":"Stressors have a major influence upon mood, our sense of well-being, behavior, and health. Acute stress responses in young, healthy individuals may be adaptive and typically do not impose a health burden. However, if the threat is unremitting, particularly in older or unhealthy individuals, the long-term effects of stressors can damage health. The relationship between psychosocial stressors and disease is affected by the nature, number, and persistence of the stressors as well as by the individual's biological vulnerability (i.e., genetics, constitutional factors), psychosocial resources, and learned patterns of coping. Psychosocial interventions have proven useful for treating stress-related disorders and may influence the course of chronic diseases.","author":[{"dropping-particle":"","family":"Schneiderman","given":"Neil","non-dropping-particle":"","parse-names":false,"suffix":""},{"dropping-particle":"","family":"Ironson","given":"Gail","non-dropping-particle":"","parse-names":false,"suffix":""},{"dropping-particle":"","family":"Siegel","given":"Scott D.","non-dropping-particle":"","parse-names":false,"suffix":""}],"container-title":"Annual Review of Clinical Psychology","id":"ITEM-3","issue":"1","issued":{"date-parts":[["2005"]]},"page":"607-628","title":"Stress and Health: Psychological, Behavioral, and Biological Determinants","type":"article-journal","volume":"1"},"uris":["http://www.mendeley.com/documents/?uuid=3254cd42-85c7-4cf6-b56c-f795bee489ef"]}],"mendeley":{"formattedCitation":"(Ornek &amp; Esin, 2020; Park et al., 2020; Schneiderman et al., 2005b)","plainTextFormattedCitation":"(Ornek &amp; Esin, 2020; Park et al., 2020; Schneiderman et al., 2005b)","previouslyFormattedCitation":"(Ornek &amp; Esin, 2020; Park et al., 2020; Schneiderman et al., 2005b)"},"properties":{"noteIndex":0},"schema":"https://github.com/citation-style-language/schema/raw/master/csl-citation.json"}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(Ornek &amp; Esin, 2020; Park et al., 2020; Schneiderman et al., 2005b)</w:t>
      </w:r>
      <w:r w:rsidRPr="005459E6">
        <w:rPr>
          <w:rFonts w:ascii="Times New Roman" w:hAnsi="Times New Roman" w:cs="Times New Roman"/>
        </w:rPr>
        <w:fldChar w:fldCharType="end"/>
      </w:r>
      <w:r w:rsidRPr="005459E6">
        <w:rPr>
          <w:rFonts w:ascii="Times New Roman" w:hAnsi="Times New Roman" w:cs="Times New Roman"/>
        </w:rPr>
        <w:t xml:space="preserve">. A  laboratory experiment found that well-being was strongly associated with increases in productivity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{"citationItems":[{"id":"ITEM-1","itemData":{"ISSN":"0734-306X","author":[{"dropping-particle":"","family":"Oswald","given":"Andrew J","non-dropping-particle":"","parse-names":false,"suffix":""},{"dropping-particle":"","family":"Proto","given":"Eugenio","non-dropping-particle":"","parse-names":false,"suffix":""},{"dropping-particle":"","family":"Sgroi","given":"Daniel","non-dropping-particle":"","parse-names":false,"suffix":""}],"container-title":"Journal of labor economics","id":"ITEM-1","issue":"4","issued":{"date-parts":[["2015"]]},"page":"789-822","publisher":"University of Chicago Press Chicago, IL","title":"Happiness and productivity","type":"article-journal","volume":"33"},"uris":["http://www.mendeley.com/documents/?uuid=e8d23729-63aa-4bfa-886a-f8f424a3633f"]}],"mendeley":{"formattedCitation":"(Oswald et al., 2015)","plainTextFormattedCitation":"(Oswald et al., 2015)","previouslyFormattedCitation":"(Oswald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(Oswald et al., 2015)</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{"citationItems":[{"id":"ITEM-1","itemData":{"ISSN":"0005-0067","author":[{"dropping-particle":"","family":"Cotton","given":"Peter","non-dropping-particle":"","parse-names":false,"suffix":""},{"dropping-particle":"","family":"Hart","given":"Peter M","non-dropping-particle":"","parse-names":false,"suffix":""}],"container-title":"Australian Psychologist","id":"ITEM-1","issue":"2","issued":{"date-parts":[["2003"]]},"page":"118-127","publisher":"Taylor &amp; Francis","title":"Occupational wellbeing and performance: A review of organisational health research","type":"article-journal","volume":"38"},"uris":["http://www.mendeley.com/documents/?uuid=a5b10f89-be3a-4dba-a237-aa0965e2578d"]}],"mendeley":{"formattedCitation":"(Cotton &amp; Hart, 2003)","manualFormatting":"Cotton &amp; Hart (2003)","plainTextFormattedCitation":"(Cotton &amp; Hart, 2003)","previouslyFormattedCitation":"(Cotton &amp; Hart, 2003)"},"properties":{"noteIndex":0},"schema":"https://github.com/citation-style-language/schema/raw/master/csl-citation.json"}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Cotton &amp; Hart (2003)</w:t>
      </w:r>
      <w:r w:rsidRPr="005459E6">
        <w:rPr>
          <w:rFonts w:ascii="Times New Roman" w:hAnsi="Times New Roman" w:cs="Times New Roman"/>
        </w:rPr>
        <w:fldChar w:fldCharType="end"/>
      </w:r>
      <w:r w:rsidRPr="005459E6">
        <w:rPr>
          <w:rFonts w:ascii="Times New Roman" w:hAnsi="Times New Roman" w:cs="Times New Roman"/>
        </w:rPr>
        <w:t xml:space="preserve"> notes that when Employee performance goes hand in hand with sick leave, profits and stress-related compensation claims. Reducing job pressures and avoiding stressful circumstances aren't the only ways to improve wellness. It's also critical to cultivate favorable work experiences and feelings. </w:t>
      </w:r>
    </w:p>
    <w:p w14:paraId="73A4B6C3" w14:textId="7B11980B" w:rsidR="00AC641A" w:rsidRPr="005459E6" w:rsidRDefault="00B42ABB" w:rsidP="00042CB0">
      <w:pPr>
        <w:spacing w:line="360" w:lineRule="auto"/>
        <w:jc w:val="both"/>
        <w:rPr>
          <w:rFonts w:ascii="Times New Roman" w:hAnsi="Times New Roman" w:cs="Times New Roman"/>
        </w:rPr>
      </w:pPr>
      <w:r w:rsidRPr="005459E6">
        <w:rPr>
          <w:rFonts w:ascii="Times New Roman" w:hAnsi="Times New Roman" w:cs="Times New Roman"/>
        </w:rPr>
        <w:t xml:space="preserve">The study additionally suggests that stress is more likely to be caused by a lack of positive experiences and morale than by specific negative experiences or 'stressors.' Another study reveals lack of well-being of the employee also affects organizational performance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Temitope","given":"O","non-dropping-particle":"","parse-names":false,"suffix":""},{"dropping-particle":"","family":"Falebita","given":"O","non-dropping-particle":"","parse-names":false,"suffix":""},{"dropping-particle":"","family":"Oluwabunmi","given":"A","non-dropping-particle":"","parse-names":false,"suffix":""}],"container-title":"International Journal of Scientific &amp; Engineering Research","id":"ITEM-1","issue":"12","issued":{"date-parts":[["2019"]]},"page":"1720-1732","title":"Interactions/dynamics between employee wellbeing and organisational performance","type":"article-journal","volume":"10"},"uris":["http://www.mendeley.com/documents/?uuid=48715a93-fbb2-4dd3-921e-964999688e3f"]}],"mendeley":{"formattedCitation":"(Temitope et al., 2019)","plainTextFormattedCitation":"(Temitope et al., 2019)","previouslyFormattedCitation":"(Temitope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(Temitope et al., 2019)</w:t>
      </w:r>
      <w:r w:rsidRPr="005459E6">
        <w:rPr>
          <w:rFonts w:ascii="Times New Roman" w:hAnsi="Times New Roman" w:cs="Times New Roman"/>
        </w:rPr>
        <w:fldChar w:fldCharType="end"/>
      </w:r>
      <w:r w:rsidRPr="005459E6">
        <w:rPr>
          <w:rFonts w:ascii="Times New Roman" w:hAnsi="Times New Roman" w:cs="Times New Roman"/>
        </w:rPr>
        <w:t xml:space="preserve">. Interventions aimed at increasing productivity should focus on the key drivers of workplace happiness, such as social relationships, job variety, and work-life balance. Health and productivity are inextricably related to happiness. </w:t>
      </w:r>
    </w:p>
    <w:p w14:paraId="58D27D90" w14:textId="4B716C5C" w:rsidR="00B42ABB" w:rsidRPr="005459E6" w:rsidRDefault="00B42ABB" w:rsidP="00042CB0">
      <w:pPr>
        <w:spacing w:line="360" w:lineRule="auto"/>
        <w:jc w:val="both"/>
        <w:rPr>
          <w:rFonts w:ascii="Times New Roman" w:hAnsi="Times New Roman" w:cs="Times New Roman"/>
        </w:rPr>
      </w:pPr>
      <w:r w:rsidRPr="005459E6">
        <w:rPr>
          <w:rFonts w:ascii="Times New Roman" w:hAnsi="Times New Roman" w:cs="Times New Roman"/>
        </w:rPr>
        <w:t xml:space="preserve">Employees who are in good physical, mental, and emotional health are more likely than those who are not to produce optimal performance in the workplace, according to research. Employees who are healthy and happy have a higher quality of life, a lower risk of disease and injury, higher work productivity, and a higher likelihood of contributing to their communities than those who are unhappy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1076-2752","author":[{"dropping-particle":"","family":"Hamar","given":"Brent","non-dropping-particle":"","parse-names":false,"suffix":""},{"dropping-particle":"","family":"Coberley","given":"Carter","non-dropping-particle":"","parse-names":false,"suffix":""},{"dropping-particle":"","family":"Pope","given":"James E","non-dropping-particle":"","parse-names":false,"suffix":""},{"dropping-particle":"","family":"Rula","given":"Elizabeth Y","non-dropping-particle":"","parse-names":false,"suffix":""}],"container-title":"Journal of occupational and environmental medicine","id":"ITEM-1","issue":"4","issued":{"date-parts":[["2015"]]},"page":"367-373","publisher":"LWW","title":"Well-being improvement in a midsize employer: changes in well-being, productivity, health risk, and perceived employer support after implementation of a well-being improvement strategy","type":"article-journal","volume":"57"},"uris":["http://www.mendeley.com/documents/?uuid=4bf0f982-944c-4b18-8c54-9d4dfbbc17f4"]},{"id":"ITEM-2","itemData":{"author":[{"dropping-particle":"","family":"Litwin","given":"George H","non-dropping-particle":"","parse-names":false,"suffix":""},{"dropping-particle":"","family":"Stringer","given":"Robert A","non-dropping-particle":"","parse-names":false,"suffix":""}],"container-title":"Harvard Business Review Analytic Services. Sep2013","id":"ITEM-2","issued":{"date-parts":[["2018"]]},"title":"The Impact of Employee Engagement on Performance","type":"article-journal"},"uris":["http://www.mendeley.com/documents/?uuid=b6af7912-a369-4824-bc91-7f316d1f445a"]}],"mendeley":{"formattedCitation":"(Hamar et al., 2015; Litwin &amp; Stringer, 2018)","plainTextFormattedCitation":"(Hamar et al., 2015; Litwin &amp; Stringer, 2018)","previouslyFormattedCitation":"(Hamar et al., 2015; Litwin &amp; Stringer,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(Hamar et al., 2015; Litwin &amp; Stringer, 2018)</w:t>
      </w:r>
      <w:r w:rsidRPr="005459E6">
        <w:rPr>
          <w:rFonts w:ascii="Times New Roman" w:hAnsi="Times New Roman" w:cs="Times New Roman"/>
        </w:rPr>
        <w:fldChar w:fldCharType="end"/>
      </w:r>
      <w:r w:rsidRPr="005459E6">
        <w:rPr>
          <w:rFonts w:ascii="Times New Roman" w:hAnsi="Times New Roman" w:cs="Times New Roman"/>
        </w:rPr>
        <w:t xml:space="preserve">. Furthermore, well-being is linked to a number of beneficial outcomes in terms of physical health and longevity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{"citationItems":[{"id":"ITEM-1","itemData":{"ISSN":"1758-0846","author":[{"dropping-particle":"","family":"Diener","given":"Ed","non-dropping-particle":"","parse-names":false,"suffix":""},{"dropping-particle":"","family":"Pressman","given":"Sarah D","non-dropping-particle":"","parse-names":false,"suffix":""},{"dropping-particle":"","family":"Hunter","given":"John","non-dropping-particle":"","parse-names":false,"suffix":""},{"dropping-particle":"","family":"Delgadillo‐Chase","given":"Desiree","non-dropping-particle":"","parse-names":false,"suffix":""}],"container-title":"Applied Psychology: Health and Well‐Being","id":"ITEM-1","issue":"2","issued":{"date-parts":[["2017"]]},"page":"133-167","publisher":"Wiley Online Library","title":"If, why, and when subjective well‐being influences health, and future needed research","type":"article-journal","volume":"9"},"uris":["http://www.mendeley.com/documents/?uuid=a1ad2cbb-813d-4b21-a355-f0cb5e13d920"]}],"mendeley":{"formattedCitation":"(Diener et al., 2017)","plainTextFormattedCitation":"(Diener et al., 2017)","previouslyFormattedCitation":"(Diener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(Diener et al., 2017)</w:t>
      </w:r>
      <w:r w:rsidRPr="005459E6">
        <w:rPr>
          <w:rFonts w:ascii="Times New Roman" w:hAnsi="Times New Roman" w:cs="Times New Roman"/>
        </w:rPr>
        <w:fldChar w:fldCharType="end"/>
      </w:r>
      <w:r w:rsidRPr="005459E6">
        <w:rPr>
          <w:rFonts w:ascii="Times New Roman" w:hAnsi="Times New Roman" w:cs="Times New Roman"/>
        </w:rPr>
        <w:t xml:space="preserve"> as well as increased individual performance at work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Knapp","given":"Martin","non-dropping-particle":"","parse-names":false,"suffix":""},{"dropping-particle":"","family":"McDaid","given":"David","non-dropping-particle":"","parse-names":false,"suffix":""},{"dropping-particle":"","family":"Parsonage","given":"Michael","non-dropping-particle":"","parse-names":false,"suffix":""}],"id":"ITEM-1","issued":{"date-parts":[["2011"]]},"publisher":"Department of Health","title":"Mental health promotion and mental illness prevention: The economic case","type":"article-journal"},"uris":["http://www.mendeley.com/documents/?uuid=a2854ab0-934e-4768-9bb0-b5050efce4e0"]}],"mendeley":{"formattedCitation":"(Knapp et al., 2011)","plainTextFormattedCitation":"(Knapp et al., 2011)","previouslyFormattedCitation":"(Knapp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(Knapp et al., 2011)</w:t>
      </w:r>
      <w:r w:rsidRPr="005459E6">
        <w:rPr>
          <w:rFonts w:ascii="Times New Roman" w:hAnsi="Times New Roman" w:cs="Times New Roman"/>
        </w:rPr>
        <w:fldChar w:fldCharType="end"/>
      </w:r>
      <w:r w:rsidRPr="005459E6">
        <w:rPr>
          <w:rFonts w:ascii="Times New Roman" w:hAnsi="Times New Roman" w:cs="Times New Roman"/>
        </w:rPr>
        <w:t xml:space="preserve">, all of which have a major impact on economic performance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{"citationItems":[{"id":"ITEM-1","itemData":{"ISSN":"0895-3309","author":[{"dropping-particle":"","family":"Deaton","given":"Angus","non-dropping-particle":"","parse-names":false,"suffix":""}],"container-title":"Journal of Economic perspectives","id":"ITEM-1","issue":"2","issued":{"date-parts":[["2008"]]},"page":"53-72","title":"Income, health, and well-being around the world: Evidence from the Gallup World Poll","type":"article-journal","volume":"22"},"uris":["http://www.mendeley.com/documents/?uuid=b0232860-2eb4-417c-8e1f-e4c55d1c3d4a"]}],"mendeley":{"formattedCitation":"(Deaton, 2008)","plainTextFormattedCitation":"(Deaton, 2008)","previouslyFormattedCitation":"(Deaton,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(Deaton, 2008)</w:t>
      </w:r>
      <w:r w:rsidRPr="005459E6">
        <w:rPr>
          <w:rFonts w:ascii="Times New Roman" w:hAnsi="Times New Roman" w:cs="Times New Roman"/>
        </w:rPr>
        <w:fldChar w:fldCharType="end"/>
      </w:r>
      <w:r w:rsidRPr="005459E6">
        <w:rPr>
          <w:rFonts w:ascii="Times New Roman" w:hAnsi="Times New Roman" w:cs="Times New Roman"/>
        </w:rPr>
        <w:t>.</w:t>
      </w:r>
    </w:p>
    <w:p w14:paraId="461EDA88" w14:textId="77777777" w:rsidR="00BB50E1" w:rsidRPr="005459E6" w:rsidRDefault="00BB50E1" w:rsidP="00042CB0">
      <w:pPr>
        <w:spacing w:line="360" w:lineRule="auto"/>
        <w:jc w:val="both"/>
        <w:rPr>
          <w:rFonts w:ascii="Times New Roman" w:hAnsi="Times New Roman" w:cs="Times New Roman"/>
        </w:rPr>
      </w:pPr>
    </w:p>
    <w:p w14:paraId="46F3DE75" w14:textId="77777777" w:rsidR="000130E5" w:rsidRPr="005459E6" w:rsidRDefault="000130E5" w:rsidP="00042CB0">
      <w:pPr>
        <w:spacing w:line="360" w:lineRule="auto"/>
        <w:jc w:val="both"/>
        <w:rPr>
          <w:rFonts w:ascii="Times New Roman" w:hAnsi="Times New Roman" w:cs="Times New Roman"/>
        </w:rPr>
      </w:pPr>
    </w:p>
    <w:p w14:paraId="3E3B7D18" w14:textId="217E717F" w:rsidR="004E3713" w:rsidRPr="005459E6" w:rsidRDefault="00EF5756" w:rsidP="00042CB0">
      <w:pPr>
        <w:pStyle w:val="Titolo1"/>
        <w:spacing w:line="360" w:lineRule="auto"/>
        <w:jc w:val="both"/>
        <w:rPr>
          <w:rFonts w:ascii="Times New Roman" w:hAnsi="Times New Roman" w:cs="Times New Roman"/>
          <w:b/>
          <w:bCs/>
          <w:color w:val="auto"/>
          <w:sz w:val="22"/>
          <w:szCs w:val="22"/>
        </w:rPr>
      </w:pPr>
      <w:bookmarkStart w:id="107" w:name="_Toc107248285"/>
      <w:r w:rsidRPr="005459E6">
        <w:rPr>
          <w:rFonts w:ascii="Times New Roman" w:hAnsi="Times New Roman" w:cs="Times New Roman"/>
          <w:b/>
          <w:bCs/>
          <w:color w:val="auto"/>
          <w:sz w:val="22"/>
          <w:szCs w:val="22"/>
        </w:rPr>
        <w:lastRenderedPageBreak/>
        <w:t>RESEARCH OBJECTIVE</w:t>
      </w:r>
      <w:bookmarkEnd w:id="8"/>
      <w:bookmarkEnd w:id="9"/>
      <w:bookmarkEnd w:id="10"/>
      <w:bookmarkEnd w:id="107"/>
    </w:p>
    <w:p w14:paraId="3B03FE90" w14:textId="77777777" w:rsidR="00EF5756" w:rsidRPr="005459E6" w:rsidRDefault="00EF5756" w:rsidP="00042CB0">
      <w:pPr>
        <w:pStyle w:val="Titolo2"/>
        <w:spacing w:line="360" w:lineRule="auto"/>
        <w:jc w:val="both"/>
        <w:rPr>
          <w:rFonts w:ascii="Times New Roman" w:hAnsi="Times New Roman" w:cs="Times New Roman"/>
          <w:color w:val="auto"/>
          <w:sz w:val="22"/>
          <w:szCs w:val="22"/>
        </w:rPr>
      </w:pPr>
      <w:bookmarkStart w:id="108" w:name="_Toc85542409"/>
      <w:bookmarkStart w:id="109" w:name="_Toc87349492"/>
      <w:bookmarkStart w:id="110" w:name="_Toc87349605"/>
      <w:bookmarkStart w:id="111" w:name="_Toc87349712"/>
      <w:bookmarkStart w:id="112" w:name="_Toc107248286"/>
      <w:r w:rsidRPr="005459E6">
        <w:rPr>
          <w:rFonts w:ascii="Times New Roman" w:hAnsi="Times New Roman" w:cs="Times New Roman"/>
          <w:color w:val="auto"/>
          <w:sz w:val="22"/>
          <w:szCs w:val="22"/>
        </w:rPr>
        <w:t>Background</w:t>
      </w:r>
      <w:bookmarkEnd w:id="108"/>
      <w:bookmarkEnd w:id="109"/>
      <w:bookmarkEnd w:id="110"/>
      <w:bookmarkEnd w:id="111"/>
      <w:bookmarkEnd w:id="112"/>
      <w:r w:rsidRPr="005459E6">
        <w:rPr>
          <w:rFonts w:ascii="Times New Roman" w:hAnsi="Times New Roman" w:cs="Times New Roman"/>
          <w:color w:val="auto"/>
          <w:sz w:val="22"/>
          <w:szCs w:val="22"/>
        </w:rPr>
        <w:t xml:space="preserve"> </w:t>
      </w:r>
    </w:p>
    <w:p w14:paraId="0E0233C2" w14:textId="08E11C64" w:rsidR="0068636B" w:rsidRPr="005459E6" w:rsidRDefault="0068636B" w:rsidP="00042CB0">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{"citationItems":[{"id":"ITEM-1","itemData":{"DOI":"10.1007/s13162-019-00135-x","ISSN":"1869-814X","abstract":"Healthcare is a service setting where meeting the needs of customers (patients and their families) is uniquely challenging. But the necessity, complexity, cost, and high-emotion nature of the service, as well as technological advances and competitive dynamics in the industry, make the imperative for service innovation in healthcare especially urgent. Forward-thinking healthcare institutions around the United States are succeeding in establishing a value-creating innovation culture and in implementing operational and strategic service innovations that benefit them and their stakeholders. They view continuous innovation as a non-negotiable goal, prize institutional self-confidence, and include patients and families on the innovation team. Cancer care, in particular, faces a pressing need for service innovation, and some progressive oncology centers are demonstrating what is possible to improve the patient and family service experience. The imperatives, now, are for service innovation to become part of the fabric of how all healthcare institutions, not just the groundbreakers discussed in this article, operate---and for academics in the field of marketing to play a crucial role in that effort.","author":[{"dropping-particle":"","family":"Berry","given":"Leonard L.","non-dropping-particle":"","parse-names":false,"suffix":""}],"container-title":"AMS Review","id":"ITEM-1","issue":"1-2","issued":{"date-parts":[["2019"]]},"page":"78-92","publisher":"AMS Review","title":"Service innovation is urgent in healthcare","type":"article-journal","volume":"9"},"uris":["http://www.mendeley.com/documents/?uuid=464db32b-ca7b-4aa7-bd71-bc4424480f87"]}],"mendeley":{"formattedCitation":"(Berry, 2019)","manualFormatting":"Berry (2019)","plainTextFormattedCitation":"(Berry, 2019)","previouslyFormattedCitation":"(Berry,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Berry (2019)</w:t>
      </w:r>
      <w:r w:rsidRPr="005459E6">
        <w:rPr>
          <w:rFonts w:ascii="Times New Roman" w:hAnsi="Times New Roman" w:cs="Times New Roman"/>
        </w:rPr>
        <w:fldChar w:fldCharType="end"/>
      </w:r>
      <w:r w:rsidRPr="005459E6">
        <w:rPr>
          <w:rFonts w:ascii="Times New Roman" w:hAnsi="Times New Roman" w:cs="Times New Roman"/>
        </w:rPr>
        <w:t xml:space="preserve">, the healthcare sector has not traditionally faced intense external pressure to be innovative in service delivery; however, with a growing focus on innovation, there must be a way to provide and co-create value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{"citationItems":[{"id":"ITEM-1","itemData":{"DOI":"10.1080/10978526.2020.1802286","ISSN":"15286932","abstract":"In recent decades, healthcare innovation improvements in product technology, treatments, and care delivery have successfully increased patient life expectancy and quality of life, and made access to care, treatments, and diagnostic-path options easier. Innovation in healthcare is also generating efficiency, reducing costs and human errors. Due to this bivalent behavior, innovation is playing a fundamental role in the healthcare ecosystem scenario. With a growing focus on innovation, interaction among healthcare actors is constantly increasing and improving care outcomes, providing a more personalized care, and bringing a new way to provide and co-create value. This study presents a systematic literature review, seeking to analyze and summarize the evidence regarding how service innovation in healthcare is promoting personalized care solutions and how the increasing interaction between healthcare actors is generating new ways to co-create value.","author":[{"dropping-particle":"","family":"Guarcello","given":"Claudio","non-dropping-particle":"","parse-names":false,"suffix":""},{"dropping-particle":"","family":"Vargas","given":"Eduardo Raupp","non-dropping-particle":"de","parse-names":false,"suffix":""}],"container-title":"Latin American Business Review","id":"ITEM-1","issue":"4","issued":{"date-parts":[["2020"]]},"page":"353-369","title":"Service Innovation in Healthcare: A Systematic Literature Review","type":"article-journal","volume":"21"},"uris":["http://www.mendeley.com/documents/?uuid=70164fd7-7965-4e67-9878-2f753f3451d4"]}],"mendeley":{"formattedCitation":"(Guarcello &amp; de Vargas, 2020)","plainTextFormattedCitation":"(Guarcello &amp; de Vargas, 2020)","previouslyFormattedCitation":"(Guarcello &amp; de Vargas,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(Guarcello &amp; de Vargas, 2020)</w:t>
      </w:r>
      <w:r w:rsidRPr="005459E6">
        <w:rPr>
          <w:rFonts w:ascii="Times New Roman" w:hAnsi="Times New Roman" w:cs="Times New Roman"/>
        </w:rPr>
        <w:fldChar w:fldCharType="end"/>
      </w:r>
      <w:r w:rsidRPr="005459E6">
        <w:rPr>
          <w:rFonts w:ascii="Times New Roman" w:hAnsi="Times New Roman" w:cs="Times New Roman"/>
        </w:rPr>
        <w:t xml:space="preserve"> to delivers scalability and revolutionize future patient 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{"citationItems":[{"id":"ITEM-1","itemData":{"DOI":"10.7861/futurehosp.4-2-121","ISSN":"2055-3323","abstract":"Innovation can be defined as invention + adoption + diffusion. In healthcare, it may be a novel idea, product, service or care pathway that has clear benefits when compared to what is currently done. Successful innovations often possess two key qualities: they are both usable and desirable. How can proven innovations be quickly and effectively adopted as best practice and taken up across the whole healthcare system? How can the commercial success of our ideas be realised at home rather than abroad, as has too often been the case? This review explores important issues of funding, information governance, interoperability, medical device regulation, procurement, clinical prototyping and the systemic challenge of encouraging and scaling innovation.","author":[{"dropping-particle":"","family":"Kelly","given":"Christopher J","non-dropping-particle":"","parse-names":false,"suffix":""},{"dropping-particle":"","family":"Young","given":"Antony J","non-dropping-particle":"","parse-names":false,"suffix":""}],"container-title":"Future Hospital Journal","id":"ITEM-1","issue":"2","issued":{"date-parts":[["2017"]]},"page":"121-125","title":"Promoting innovation in healthcare","type":"article-journal","volume":"4"},"uris":["http://www.mendeley.com/documents/?uuid=72b6453b-aace-48a9-8ee3-08fced3e2e2a"]}],"mendeley":{"formattedCitation":"(Kelly &amp; Young, 2017)","plainTextFormattedCitation":"(Kelly &amp; Young, 2017)","previouslyFormattedCitation":"(Kelly &amp; Young,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(Kelly &amp; Young, 2017)</w:t>
      </w:r>
      <w:r w:rsidRPr="005459E6">
        <w:rPr>
          <w:rFonts w:ascii="Times New Roman" w:hAnsi="Times New Roman" w:cs="Times New Roman"/>
        </w:rPr>
        <w:fldChar w:fldCharType="end"/>
      </w:r>
      <w:r w:rsidRPr="005459E6">
        <w:rPr>
          <w:rFonts w:ascii="Times New Roman" w:hAnsi="Times New Roman" w:cs="Times New Roman"/>
        </w:rPr>
        <w:t xml:space="preserve">.  Reports have highlighted a significant rise in digital health funding due to Covid-19, where pandemic-initiated policy enabled competitive moves for eHealth startups in 2020. Some of these startups can address physical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{"citationItems":[{"id":"ITEM-1","itemData":{"DOI":"10.1186/s12938-018-0531-3","ISSN":"1475925X","PMID":"30064497","abstract":"The number and variety of eHealth services for adults and older adults who use hearing aids (HAs) are growing rapidly. This area holds promise to increase cost-efficiency, enable better access to care, and improve patient outcomes and satisfaction. Despite the increasing interest in this field, an up-to-date picture of recent research in the area of eHealth for adults with HAs is lacking. In this state-of-the-art review we assessed the literature from the past decade about eHealth use in the HA adult patient journey. Systematic searches were conducted in CINAHL, PubMed, Scopus, and Web of Science. A total of 34 peer-reviewed empirical records were identified from the searches and from the reference lists of searched records. Records were characterized based on: eHealth platform (i.e.: offline, Internet-based, or mobile-based), service [i.e.: education and information, screening and assessment, hearing rehabilitation, or general (tele-audiology)], and phase of the patient journey (i.e.: pre-fitting, fitting, or post-fitting). The review highlighted a growing interest in the field, as revealed by an increasing trend over the search period, from 2 records in 2009-2010 up to 17 records in 2015-2016. Internet-based platforms were the most frequently used (present in more than half of the included records), with a stable trend in the period. About one-third of the records introduced services over offline platforms, whereas mobile-based platforms were used only in 6 out of 34 records, suggesting that the clinical uptake of mobile services is still limited compared to more mature offline and Internet-based platforms. Most of the eHealth services observed were related to the areas of education and information (42.5%) and hearing rehabilitation (40.4%), whereas 10.7% were related to screening and assessment, and 6.4% to general tele-audiology services. Many services covered different phases of the patient journey, especially the fitting and post-fitting phases. Overall, this review showed that the field of eHealth in the context of HA rehabilitation in adults has grown in the recent past. Research is still needed to increase the uptake and efficacy of eHealth in clinical practice, especially in terms of technology developments, technical and clinical validation, and optimization of strategies for service delivery.","author":[{"dropping-particle":"","family":"Paglialonga","given":"Alessia","non-dropping-particle":"","parse-names":false,"suffix":""},{"dropping-particle":"","family":"Cleveland Nielsen","given":"Annette","non-dropping-particle":"","parse-names":false,"suffix":""},{"dropping-particle":"","family":"Ingo","given":"Elisabeth","non-dropping-particle":"","parse-names":false,"suffix":""},{"dropping-particle":"","family":"Barr","given":"Caitlin","non-dropping-particle":"","parse-names":false,"suffix":""},{"dropping-particle":"","family":"Laplante-Lévesque","given":"Ariane","non-dropping-particle":"","parse-names":false,"suffix":""}],"container-title":"BioMedical Engineering Online","id":"ITEM-1","issue":"1","issued":{"date-parts":[["2018"]]},"page":"1-26","publisher":"BioMed Central","title":"eHealth and the hearing aid adult patient journey: A state-of-the-art review","type":"article-journal","volume":"17"},"uris":["http://www.mendeley.com/documents/?uuid=562048b2-9bf4-4f5e-a57d-28f2c1f40c35"]},{"id":"ITEM-2","itemData":{"DOI":"10.1186/s12938-017-0418-8","ISBN":"1293801704188","ISSN":"1475925X","PMID":"29132359","abstract":"Background: Effect of neurofeedback training (NFT) on enhancement of cognitive function or amelioration of clinical symptoms is inconclusive. The trainability of brain rhythm using a neurofeedback system is uncertainty because various experimental designs are used in previous studies. The current study aimed to develop a portable wireless NFT system for alpha rhythm and to validate effect of the NFT system on memory with a sham-controlled group. Methods: The proposed system contained an EEG signal analysis device and a smartphone with wireless Bluetooth low-energy technology. Instantaneous 1-s EEG power and contiguous 5-min EEG power throughout the training were developed as feedback information. The training performance and its progression were kept to boost usability of our device. Participants were blinded and randomly assigned into either the control group receiving random 4-Hz power or Alpha group receiving 8-12-Hz power. Working memory and episodic memory were assessed by the backward digital span task and word-pair task, respectively. Results: The portable neurofeedback system had advantages of a tiny size and long-term recording and demonstrated trainability of alpha rhythm in terms of significant increase of power and duration of 8-12 Hz. Moreover, accuracies of the backward digital span task and word-pair task showed significant enhancement in the Alpha group after training compared to the control group. Conclusions: Our tiny portable device demonstrated success trainability of alpha rhythm and enhanced two kinds of memories. The present study suggest that the portable neurofeedback system provides an alternative intervention for memory enhancement.","author":[{"dropping-particle":"","family":"Wei","given":"Ting Ying","non-dropping-particle":"","parse-names":false,"suffix":""},{"dropping-particle":"","family":"Chang","given":"Da Wei","non-dropping-particle":"","parse-names":false,"suffix":""},{"dropping-particle":"De","family":"Liu","given":"You","non-dropping-particle":"","parse-names":false,"suffix":""},{"dropping-particle":"","family":"Liu","given":"Chen Wei","non-dropping-particle":"","parse-names":false,"suffix":""},{"dropping-particle":"","family":"Young","given":"Chung Ping","non-dropping-particle":"","parse-names":false,"suffix":""},{"dropping-particle":"","family":"Liang","given":"Sheng Fu","non-dropping-particle":"","parse-names":false,"suffix":""},{"dropping-particle":"","family":"Shaw","given":"Fu Zen","non-dropping-particle":"","parse-names":false,"suffix":""}],"container-title":"BioMedical Engineering Online","id":"ITEM-2","issue":"1","issued":{"date-parts":[["2017"]]},"page":"1-18","publisher":"BioMed Central","title":"Portable wireless neurofeedback system of EEG alpha rhythm enhances memory","type":"article-journal","volume":"16"},"uris":["http://www.mendeley.com/documents/?uuid=1059a5a3-74f9-4a92-9459-034213f5cd52"]},{"id":"ITEM-3","itemData":{"DOI":"10.1186/s12938-017-0408-x","ISBN":"1293801704","ISSN":"1475925X","PMID":"28974212","abstract":"Background: Nowadays, the whole world is being concerned with a major health problem, which is diabetes. A very common symptom of diabetes is the diabetic foot ulcer (DFU). The early detection of such foot complications can protect diabetic patients from any dangerous stages that develop later and may require foot amputation. This work aims at building a mobile thermal imaging system that can be used as an indicator for possible developing ulcers. Methods: The proposed system consists of a thermal camera connected to a Samsung smart phone, which is used to acquire thermal images. This thermal imaging system has a simulated temperature gradient of more than 2.2°C, which represents the temperature difference (in the literature) than can indicate a possible development of ulcers. The acquired images are processed and segmented using basic image processing techniques. The analysis and interpretation is conducted using two techniques: Otsu thresholding technique and Point-to-Point mean difference technique. Results: The proposed system was implemented under MATLAB Mobile platform and thermal images were analyzed and interpreted. Four testing images (feet images) were used to test this procedure; one image with any temperature variation to the feet, and three images with skin temperature increased to more than 2.2°C introduced at different locations. With the two techniques applied during the analysis and interpretation stage, the system was successful in identifying the location of the temperature increase. Conclusion: This work successfully implemented a mobile thermal imaging system that includes an automated method to identify possible ulcers in diabetic patients. This may give diabetic patients the ability for a frequent self-check of possible ulcers. Although this work was implemented in simulated conditions, it provides the necessary feasibility to be further developed and tested in a clinical environment.","author":[{"dropping-particle":"","family":"Fraiwan","given":"Luay","non-dropping-particle":"","parse-names":false,"suffix":""},{"dropping-particle":"","family":"AlKhodari","given":"Mohanad","non-dropping-particle":"","parse-names":false,"suffix":""},{"dropping-particle":"","family":"Ninan","given":"Jolu","non-dropping-particle":"","parse-names":false,"suffix":""},{"dropping-particle":"","family":"Mustafa","given":"Basil","non-dropping-particle":"","parse-names":false,"suffix":""},{"dropping-particle":"","family":"Saleh","given":"Adel","non-dropping-particle":"","parse-names":false,"suffix":""},{"dropping-particle":"","family":"Ghazal","given":"Mohammed","non-dropping-particle":"","parse-names":false,"suffix":""}],"container-title":"BioMedical Engineering Online","id":"ITEM-3","issue":"1","issued":{"date-parts":[["2017"]]},"page":"1-19","publisher":"BioMed Central","title":"Diabetic foot ulcer mobile detection system using smart phone thermal camera: A feasibility study","type":"article-journal","volume":"16"},"uris":["http://www.mendeley.com/documents/?uuid=adcfe485-ce6c-40bb-9b0b-f5a2f5023834"]},{"id":"ITEM-4","itemData":{"DOI":"10.1186/s12938-017-0371-6","ISBN":"1293801703716","ISSN":"1475925X","PMID":"28629374","abstract":"Background: The Electrocardiogram ECG is one of the most important non-invasive tools for cardiac diseases diagnosis. Taking advantage of the developed telecommunication infrastructure, several approaches that address the development of telemetry cardiac devices were introduced recently. Telemetry ECG devices allow easy and fast ECG monitoring of patients with suspected cardiac issues. Choosing the right device with the desired working mode, signal quality, and the device cost are still the main obstacles to massive usage of these devices. Methods: In this paper, we introduce design, implementation, and validation of a multi-purpose telemetry system for recording, transmission, and interpretation of ECG signals in different recording modes. The system consists of an ECG device, a cloud-based analysis pipeline, and accompanied mobile applications for physicians and patients. The proposed ECG device's mechanical design allows laypersons to easily record post-event short-term ECG signals, using dry electrodes without any preparation. Moreover, patients can use the device to record long-term signals in loop and holter modes, using wet electrodes. In order to overcome the problem of signal quality fluctuation due to using different electrodes types and different placements on subject's chest, customized ECG signal processing and interpretation pipeline is presented for each working mode. Results: We present the evaluation of the novel short-term recorder design. Recording of an ECG signal was performed for 391 patients using a standard 12-leads golden standard ECG and the proposed patient-activated short-term post-event recorder. In the validation phase, a sample of validation signals followed peer review process wherein two experts annotated the signals in terms of signal acceptability for diagnosis.We found that 96% of signals allow detecting arrhythmia and other signal's abnormal changes. Additionally, we compared and presented the correlation coefficient and the automatic QRS delineation results of both short-term post-event recorder and 12-leads golden standard ECG recorder. Conclusions: The proposed multi-purpose ECG device allows physicians to choose the working mode of the same device according to the patient status. The proposed device was designed to allow patients to manage the technical requirements of both working modes. Post-event short-term ECG recording using the proposed design provide physicians reliable three ECG leads with direct symptom-…","author":[{"dropping-particle":"","family":"Marouf","given":"Mohamed","non-dropping-particle":"","parse-names":false,"suffix":""},{"dropping-particle":"","family":"Vukomanovic","given":"Goran","non-dropping-particle":"","parse-names":false,"suffix":""},{"dropping-particle":"","family":"Saranovac","given":"Lazar","non-dropping-particle":"","parse-names":false,"suffix":""},{"dropping-particle":"","family":"Bozic","given":"Miroslav","non-dropping-particle":"","parse-names":false,"suffix":""}],"container-title":"BioMedical Engineering Online","id":"ITEM-4","issue":"1","issued":{"date-parts":[["2017"]]},"page":"1-20","publisher":"BioMed Central","title":"Multi-purpose ECG telemetry system","type":"article-journal","volume":"16"},"uris":["http://www.mendeley.com/documents/?uuid=757447ef-5f8e-4a13-b86f-dd841176a2b7"]}],"mendeley":{"formattedCitation":"(Fraiwan et al., 2017; Marouf et al., 2017; Paglialonga et al., 2018; Wei et al., 2017)","plainTextFormattedCitation":"(Fraiwan et al., 2017; Marouf et al., 2017; Paglialonga et al., 2018; Wei et al., 2017)","previouslyFormattedCitation":"(Fraiwan et al., 2017; Marouf et al., 2017; Paglialonga et al., 2018; Wei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(Fraiwan et al., 2017; Marouf et al., 2017; Paglialonga et al., 2018; Wei et al., 2017)</w:t>
      </w:r>
      <w:r w:rsidRPr="005459E6">
        <w:rPr>
          <w:rFonts w:ascii="Times New Roman" w:hAnsi="Times New Roman" w:cs="Times New Roman"/>
        </w:rPr>
        <w:fldChar w:fldCharType="end"/>
      </w:r>
      <w:r w:rsidRPr="005459E6">
        <w:rPr>
          <w:rFonts w:ascii="Times New Roman" w:hAnsi="Times New Roman" w:cs="Times New Roman"/>
        </w:rPr>
        <w:t xml:space="preserve">, while others are positioned to tackle cognitive impairments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{"citationItems":[{"id":"ITEM-1","itemData":{"DOI":"10.3390/su9050840","ISBN":"4479622594","ISSN":"20711050","abstract":"Ubiquitous or Pervasive Computing is an increasingly used term throughout the technology industry and is beginning to enter the consumer electronics space in its most recent form under the umbrella term: \"Internet of Things\". One area of focus is in augmenting the home with intelligent, networked sensors and computers to create a Smart Home which opens a host of possibilities for the role of tomorrow's dwelling. As the world's population continues to live longer and consequently experience more medical-related ailments, at the same time institutional healthcare is struggling to cope, the role of the Smart Home becomes paramount to monitoring a dweller's health and providing any necessary intervention. This study looks at the history of Smart Home Healthcare, current research areas, and potential areas of future investigation. Unique categorisations are presented in Activities of Daily Living (ADL) and Personal Sensors, and a thorough look at the application of Smart Home Healthcare is presented. Technology can augment traditional methods of healthcare delivery and in some cases completely replace it. Costs can be reduced and medical adherence can be increased, all of which contribute to a more sustainable and effective model of care.","author":[{"dropping-particle":"","family":"Bennett","given":"Jamie","non-dropping-particle":"","parse-names":false,"suffix":""},{"dropping-particle":"","family":"Rokas","given":"Osvaldas","non-dropping-particle":"","parse-names":false,"suffix":""},{"dropping-particle":"","family":"Chen","given":"Liming","non-dropping-particle":"","parse-names":false,"suffix":""}],"container-title":"Sustainability (Switzerland)","id":"ITEM-1","issue":"5","issued":{"date-parts":[["2017"]]},"page":"1-23","title":"Healthcare in the Smart Home: A study of past, present and future","type":"article-journal","volume":"9"},"uris":["http://www.mendeley.com/documents/?uuid=9d405949-0049-4131-b298-3612bf8580c5"]},{"id":"ITEM-2","itemData":{"DOI":"10.2196/17720","ISSN":"1438-8871 (Electronic)","PMID":"33064089","abstract":"BACKGROUND: Value is one of the central concepts in health care, but it is vague  within the field of summative eHealth evaluations. Moreover, the role of context in explaining the value is underexplored, and there is no explicit framework guiding the evaluation of the value of eHealth interventions. Hence, different studies conceptualize and operationalize value in different ways, ranging from measuring outcomes such as clinical efficacy or behavior change of patients or professionals to measuring the perceptions of various stakeholders or in economic terms. OBJECTIVE: The objective of our study is to identify contextual factors that determine similarities and differences in the value of an eHealth intervention between two contexts. We also aim to reflect on and contribute to the discussion about the specification, assessment, and relativity of the \"value\" concept in the evaluation of eHealth interventions. METHODS: The study concerned a 6-month eHealth intervention targeted at elderly patients (n=107) diagnosed with cognitive impairment in Italy and Sweden. The intervention introduced a case manager role and an eHealth platform to provide remote monitoring and coaching services to the patients. A model for evaluating the value of eHealth interventions was designed as monetary and nonmonetary benefits and sacrifices, based on the value conceptualizations in eHealth and marketing literature. The data was collected using the Mini-Mental State Examination (MMSE), the clock drawing test, and the 5-level EQ-5D (EQ-5D-5L). Semistructured interviews were conducted with patients and health care professionals. Monetary data was collected from the health care and technology providers. RESULTS: The value of an eHealth intervention applied to similar types of populations but differed in different contexts. In Sweden, patients improved cognitive performance (MMSE mean 0.85, SD 1.62, P&lt;.001), reduced anxiety (EQ-5D-5L mean 0.16, SD 0.54, P=.046), perceived their health better (EQ-5D-5L VAS scale mean 2.6, SD 9.7, P=.035), and both patients and health care professionals were satisfied with the care. However, the Swedish service model demonstrated an increased cost, higher workload for health care professionals, and the intervention was not cost-efficient. In Italy, the patients were satisfied with the care received, and the health care professionals felt empowered and had an acceptable workload. Moreover, the intervention was cost-effective. However, clinical efficac…","author":[{"dropping-particle":"","family":"Jurkeviciute","given":"Monika","non-dropping-particle":"","parse-names":false,"suffix":""},{"dropping-particle":"","family":"Velsen","given":"Lex","non-dropping-particle":"van","parse-names":false,"suffix":""},{"dropping-particle":"","family":"Eriksson","given":"Henrik","non-dropping-particle":"","parse-names":false,"suffix":""},{"dropping-particle":"","family":"Lifvergren","given":"Svante","non-dropping-particle":"","parse-names":false,"suffix":""},{"dropping-particle":"","family":"Trimarchi","given":"Pietro Davide","non-dropping-particle":"","parse-names":false,"suffix":""},{"dropping-particle":"","family":"Andin","given":"Ulla","non-dropping-particle":"","parse-names":false,"suffix":""},{"dropping-particle":"","family":"Svensson","given":"Johan","non-dropping-particle":"","parse-names":false,"suffix":""}],"container-title":"Journal of medical Internet research","id":"ITEM-2","issue":"10","issued":{"date-parts":[["2020","10"]]},"language":"eng","page":"e17720","title":"Identifying the Value of an eHealth Intervention Aimed at Cognitive Impairments:  Observational Study in Different Contexts and Service Models.","type":"article-journal","volume":"22"},"uris":["http://www.mendeley.com/documents/?uuid=52985b42-d6d8-476c-b150-7a096b3b969b"]}],"mendeley":{"formattedCitation":"(Bennett et al., 2017; Jurkeviciute et al., 2020)","plainTextFormattedCitation":"(Bennett et al., 2017; Jurkeviciute et al., 2020)","previouslyFormattedCitation":"(Bennett et al., 2017; Jurkeviciute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(Bennett et al., 2017; Jurkeviciute et al., 2020)</w:t>
      </w:r>
      <w:r w:rsidRPr="005459E6">
        <w:rPr>
          <w:rFonts w:ascii="Times New Roman" w:hAnsi="Times New Roman" w:cs="Times New Roman"/>
        </w:rPr>
        <w:fldChar w:fldCharType="end"/>
      </w:r>
      <w:r w:rsidRPr="005459E6">
        <w:rPr>
          <w:rFonts w:ascii="Times New Roman" w:hAnsi="Times New Roman" w:cs="Times New Roman"/>
        </w:rPr>
        <w:t xml:space="preserve"> to add value to patient care and provide self-management by eHealth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{"citationItems":[{"id":"ITEM-1","itemData":{"DOI":"10.1038/s41746-019-0206-x","ISSN":"2398-6352","author":[{"dropping-particle":"","family":"Rowland","given":"Simon P","non-dropping-particle":"","parse-names":false,"suffix":""},{"dropping-particle":"","family":"Fitzgerald","given":"J Edward","non-dropping-particle":"","parse-names":false,"suffix":""},{"dropping-particle":"","family":"Holme","given":"Thomas","non-dropping-particle":"","parse-names":false,"suffix":""}],"container-title":"npj Digital Medicine","id":"ITEM-1","issued":{"date-parts":[["2020"]]},"page":"1-6","publisher":"Springer US","title":"What is the clinical value of mHealth for patients ?","type":"article-journal"},"uris":["http://www.mendeley.com/documents/?uuid=2f93c09b-96fa-4214-8dc0-7bb1f7da409d"]},{"id":"ITEM-2","itemData":{"DOI":"10.1186/s12938-019-0635-4","ISSN":"1475925X","PMID":"30736798","abstract":"Background: My Diabetes My Way (MDMW) is the National Health Service (NHS) Scotland website for people with diabetes and their carers. It consists of an interactive information website and an electronic personal health record (ePHR) available to the 291,981 people with diabetes in Scotland. We aimed to analyse the demographic characteristics of current registrants and system usage and activity during 2016. Methods: We analysed system audit trails to monitor user activity and page accesses on the information website, and logins and activity within the ePHR. The ePHR contains data from SCI-Diabetes, NHS Scotland's flagship diabetes record, sourcing data from primary and secondary care, specialist screening services and laboratory systems. We reviewed patient registration characteristics to collate demographic data for the MWDH cohort, then compared this to aggregate data published in the 2016 Scottish Diabetes Survey. The Scottish Diabetes Survey is an annual population-based report detailing diabetes statistics for the whole diabetes population in NHS Scotland. Results: The MDMW information website received an average of 101,382 page accesses per month during 2016 (56.9% increase from 2015; n = 64,607). ePHR registrants were more likely to be younger (p &lt; 0.001) and have an ethnicity of \"white\" (p &lt; 0.001) than the background diabetes population. At the end of 2016, 11,840 people with diabetes had accessed their personal clinical information (58.6% increase since end 2015; n = 7464). During 2016, an average of 1907 people accessed their records each month (48.3% increase from 2015; n = 1286). Conclusion: My Diabetes My Way is a useful tool aid to diabetes self-management. The service is unique in offering records access to a national population, providing information from all relevant diabetes-related sources, rather than a single silo. MDMW supports the diabetes improvement, self-management, healthcare quality and eHealth strategies of the Scottish Government. The service also has potential to be adapted to work with other clinical systems and conditions.","author":[{"dropping-particle":"","family":"Cunningham","given":"Scott Gordon","non-dropping-particle":"","parse-names":false,"suffix":""},{"dropping-particle":"","family":"Brillante","given":"Massimo","non-dropping-particle":"","parse-names":false,"suffix":""},{"dropping-particle":"","family":"Allardice","given":"Brian","non-dropping-particle":"","parse-names":false,"suffix":""},{"dropping-particle":"","family":"Conway","given":"Nicholas","non-dropping-particle":"","parse-names":false,"suffix":""},{"dropping-particle":"","family":"McAlpine","given":"Ritchie Robert","non-dropping-particle":"","parse-names":false,"suffix":""},{"dropping-particle":"","family":"Wake","given":"Deborah Jane","non-dropping-particle":"","parse-names":false,"suffix":""}],"container-title":"BioMedical Engineering Online","id":"ITEM-2","issue":"1","issued":{"date-parts":[["2019"]]},"page":"1-11","publisher":"BioMed Central","title":"My Diabetes My Way: Supporting online diabetes self-management: Progress and analysis from 2016","type":"article-journal","volume":"18"},"uris":["http://www.mendeley.com/documents/?uuid=d2a54eec-b5bc-40c2-8a42-7d0a8e2b5b43"]}],"mendeley":{"formattedCitation":"(Cunningham et al., 2019; Rowland et al., 2020)","plainTextFormattedCitation":"(Cunningham et al., 2019; Rowland et al., 2020)","previouslyFormattedCitation":"(Cunningham et al., 2019; Rowland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(Cunningham et al., 2019; Rowland et al., 2020)</w:t>
      </w:r>
      <w:r w:rsidRPr="005459E6">
        <w:rPr>
          <w:rFonts w:ascii="Times New Roman" w:hAnsi="Times New Roman" w:cs="Times New Roman"/>
        </w:rPr>
        <w:fldChar w:fldCharType="end"/>
      </w:r>
      <w:r w:rsidRPr="005459E6">
        <w:rPr>
          <w:rFonts w:ascii="Times New Roman" w:hAnsi="Times New Roman" w:cs="Times New Roman"/>
        </w:rPr>
        <w:t xml:space="preserve">.  </w:t>
      </w:r>
    </w:p>
    <w:p w14:paraId="5A530EEC" w14:textId="15A0C6E2" w:rsidR="0068636B" w:rsidRPr="005459E6" w:rsidRDefault="0068636B" w:rsidP="00042CB0">
      <w:pPr>
        <w:spacing w:line="360" w:lineRule="auto"/>
        <w:jc w:val="both"/>
        <w:rPr>
          <w:rFonts w:ascii="Times New Roman" w:hAnsi="Times New Roman" w:cs="Times New Roman"/>
        </w:rPr>
      </w:pPr>
      <w:r w:rsidRPr="005459E6">
        <w:rPr>
          <w:rFonts w:ascii="Times New Roman" w:hAnsi="Times New Roman" w:cs="Times New Roman"/>
        </w:rPr>
        <w:t xml:space="preserve">At the same time, a wide range of healthcare stakeholders are forging business relationships with technology-driven companies to bridge gaps in a challenging healthcare landscape and therapeutic interventions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{"citationItems":[{"id":"ITEM-1","itemData":{"DOI":"10.1016/j.giq.2020.101481","ISSN":"0740-624X (Print)","PMID":"32313361","abstract":"How do governments in China and Western democracies differ in their technological  response to control the transmission of the pandemic? Based on an analysis of academic papers, World Health Organization reports and newspapers, this research compares two opposing approaches, whereas the Chinese cities and government have adopted a techno-driven approach, Western governments have adopted a human-driven approach to control the transmission of Covid-19. The findings highlight that although the techno driven approach may be more productive to identify, isolate and quarantine infected individuals, it also results in the suppression and censoring the citizen views. It is further emphasized that human interaction with the technology is mediated by the political and institutional context in which the technologies are implemented. This paper contributes to literature by understanding the human-technology relationship, and offers five practical observations for controlling virus transmissions during pandemics.","author":[{"dropping-particle":"","family":"Kummitha","given":"Rama Krishna Reddy","non-dropping-particle":"","parse-names":false,"suffix":""}],"container-title":"Government information quarterly","id":"ITEM-1","issue":"3","issued":{"date-parts":[["2020","7"]]},"language":"eng","page":"101481","title":"Smart technologies for fighting pandemics: The techno- and human- driven approaches  in controlling the virus transmission.","type":"article-journal","volume":"37"},"uris":["http://www.mendeley.com/documents/?uuid=9dc4a3f0-d472-4454-aa8e-ba9ebacba98f"]},{"id":"ITEM-2","itemData":{"DOI":"10.1073/pnas.2019324117","ISSN":"10916490","PMID":"33214148","abstract":"COVID-19 is a global pandemic with over 25 million cases worldwide. Currently, treatments are limited, and there is no approved vaccine. Interventions such as handwashing, masks, social distancing, and “social bubbles” are used to limit community transmission, but it is challenging to choose the best interventions for a given activity. Here, we provide a quantitative framework to determine which interventions are likely to have the most impact in which settings. We introduce the concept of “event R,” the expected number of new infections due to the presence of a single infectious individual at an event. We obtain a fundamental relationship between event R and four parameters: transmission intensity, duration of exposure, the proximity of individuals, and the degree of mixing. We use reports of small outbreaks to establish event R and transmission intensity in a range of settings. We identify principles that guide whether physical distancing, masks and other barriers to transmission, or social bubbles will be most effective. We outline how this information can be obtained and used to reopen economies with principled measures to reduce COVID-19 transmission.","author":[{"dropping-particle":"","family":"Tupper","given":"Paul","non-dropping-particle":"","parse-names":false,"suffix":""},{"dropping-particle":"","family":"Boury","given":"Himani","non-dropping-particle":"","parse-names":false,"suffix":""},{"dropping-particle":"","family":"Yerlanov","given":"Madi","non-dropping-particle":"","parse-names":false,"suffix":""},{"dropping-particle":"","family":"Colijn","given":"Caroline","non-dropping-particle":"","parse-names":false,"suffix":""}],"container-title":"Proceedings of the National Academy of Sciences of the United States of America","id":"ITEM-2","issue":"50","issued":{"date-parts":[["2020"]]},"page":"32038-32045","title":"Event-specific interventions to minimize COVID-19 transmission","type":"article-journal","volume":"117"},"uris":["http://www.mendeley.com/documents/?uuid=f06853dc-fd4b-4bfb-8203-8c4d57fdc28f"]}],"mendeley":{"formattedCitation":"(Kummitha, 2020; Tupper et al., 2020)","plainTextFormattedCitation":"(Kummitha, 2020; Tupper et al., 2020)","previouslyFormattedCitation":"(Kummitha, 2020; Tupper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(Kummitha, 2020; Tupper et al., 2020)</w:t>
      </w:r>
      <w:r w:rsidRPr="005459E6">
        <w:rPr>
          <w:rFonts w:ascii="Times New Roman" w:hAnsi="Times New Roman" w:cs="Times New Roman"/>
        </w:rPr>
        <w:fldChar w:fldCharType="end"/>
      </w:r>
      <w:r w:rsidRPr="005459E6">
        <w:rPr>
          <w:rFonts w:ascii="Times New Roman" w:hAnsi="Times New Roman" w:cs="Times New Roman"/>
        </w:rPr>
        <w:t xml:space="preserve">. These relationships illustrate the expanding range of eHealth services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{"citationItems":[{"id":"ITEM-1","itemData":{"DOI":"10.1186/s12938-018-0552-y","ISSN":"1475925X","PMID":"30208889","abstract":"Background: Evidence shows that the implementation of information and communication technologies (ICT) enabled services supporting integrated dementia care represents an opportunity that faces multi-pronged challenges. First, the provision of dementia support is fragmented and often inappropriate. Second, available ICT solutions in this field do not address the full spectrum of support needs arising across an individual's whole dementia journey. Current solutions fail to harness the potential of available validated e-health services, such as telehealth and telecare, for the purposes of dementia care. Third, there is a lack of understanding of how viable business models in this field can operate. The field comprises both professional and non-professional players that interact and have roles to play in ensuring that useful technologies are developed, implemented and used. Methods: Starting from a literature review, including relevant pilot projects for ICT-based dementia care, we define the major requirements of a system able to overcome the limitations evidenced in the literature, and how this system should be integrated in the socio-technical ecosystem characterizing this disease. From here, we define the DEDICATE architecture of such a system, and the conceptual framework mapping the architecture over the requirements. Results: We identified three macro-requirements, namely the need to overcome: deficient technology innovation, deficient service process innovation, and deficient business models innovation. The proposed architecture is a three level architecture in which the center (data layer) includes patients' and informal caregivers' preferences, memories, and other personal data relevant to sustain the dementia journey, is connected through a middleware (service layer), which guarantees core IT services and integration, to dedicated applications (application layer) to sustain dementia care (formal support services, FSS), and to existing formal care infrastructures, in order to guarantee care coordination (care coordination services, CCS). Conclusions: The proposed DEDICATE architecture and framework envisages a feasible means to overcome the present barriers by: (1) developing and integrating technologies that can follow the patient and the caregivers throughout the development of the condition, since the early stages in which the patient is able to build up preferences and memories will be used in the later stages to maximise personalization and t…","author":[{"dropping-particle":"","family":"Marceglia","given":"Sara","non-dropping-particle":"","parse-names":false,"suffix":""},{"dropping-particle":"","family":"Rigby","given":"Michael","non-dropping-particle":"","parse-names":false,"suffix":""},{"dropping-particle":"","family":"Alonso","given":"Albert","non-dropping-particle":"","parse-names":false,"suffix":""},{"dropping-particle":"","family":"Keeling","given":"Debbie","non-dropping-particle":"","parse-names":false,"suffix":""},{"dropping-particle":"","family":"Kubitschke","given":"Lutz","non-dropping-particle":"","parse-names":false,"suffix":""},{"dropping-particle":"","family":"Pozzi","given":"Giuseppe","non-dropping-particle":"","parse-names":false,"suffix":""}],"container-title":"BioMedical Engineering Online","id":"ITEM-1","issue":"1","issued":{"date-parts":[["2018"]]},"page":"1-18","publisher":"BioMed Central","title":"DEDICATE: Proposal for a conceptual framework to develop dementia-friendly integrated eCare support","type":"article-journal","volume":"17"},"uris":["http://www.mendeley.com/documents/?uuid=39b971af-f2e8-41f6-9b09-42027a67ac86"]}],"mendeley":{"formattedCitation":"(Marceglia et al., 2018)","plainTextFormattedCitation":"(Marceglia et al., 2018)","previouslyFormattedCitation":"(Marceglia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(Marceglia et al., 2018)</w:t>
      </w:r>
      <w:r w:rsidRPr="005459E6">
        <w:rPr>
          <w:rFonts w:ascii="Times New Roman" w:hAnsi="Times New Roman" w:cs="Times New Roman"/>
        </w:rPr>
        <w:fldChar w:fldCharType="end"/>
      </w:r>
      <w:r w:rsidRPr="005459E6">
        <w:rPr>
          <w:rFonts w:ascii="Times New Roman" w:hAnsi="Times New Roman" w:cs="Times New Roman"/>
        </w:rPr>
        <w:t xml:space="preserve"> and focus on prevention, personalization, and prediction in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{"citationItems":[{"id":"ITEM-1","itemData":{"DOI":"10.1007/978-3-030-27994-3","ISBN":"9783030279936","abstract":"In spite of its promise to significantly ameliorate health and care practices, the momentous rise of eHealth technologies—an umbrella term that refers to a varied set of tools and resources such as health information networks, electronic health records, telemedicine and monitoring services, wearable systems, as well as online health self-management tools—has been fraught with significant ethical and soci- etal concerns. Thriving out of the extensive use of (sensitive) personal data (i.e., Big Data approach), while also representing a major driver for reconfiguring entrenched social practices and relations within health and care systems, eHealth has been the focus, in recent years, of increased ethical, legal, and sociological scrutiny","author":[{"dropping-particle":"","family":"Pravettoni","given":"Gabriella","non-dropping-particle":"","parse-names":false,"suffix":""}],"container-title":"P5 eHealth: An Agenda for the Health Technologies of the Future","id":"ITEM-1","issued":{"date-parts":[["2020"]]},"title":"P5 eHealth: An Agenda for the Health Technologies of the Future","type":"book"},"uris":["http://www.mendeley.com/documents/?uuid=2b014b87-89e4-45bd-998d-089d4993d74d"]},{"id":"ITEM-2","itemData":{"DOI":"10.1186/s12938-018-0553-x","ISSN":"1475925X","PMID":"30189879","abstract":"The use of information and communication technologies for health (eHealth) delivered via mobile-based or digitally enhanced solutions (mHealth) have rapidly evolved. When used together across various mobile applications and devices eHealth and mHealth technologies have the ability to passively monitor behavior as an indicator of socialization and mood; accumulate a range of biomedical data such as weight and heart rate; and track metrics associated with activities including steps taken and hours slept. Yet, these technologies are insufficient for measuring the full array of data about an individual and the impact of that data on a person's current and future health. Digital health converges eHealth and mHealth with patient data about their health, healthcare, living, and environment with genomics. An innovative opportunity to unravel the complexities of disease and aging is increasingly possible with an integrative multi-omics approach informed by multidisciplinary sciences including medicine, design, biomedical informatics and engineering. The digitization of individual level data from all available sources makes possible the development of DigitalMe™, a personalized virtual avatar of a real person. The combination of longitudinally collected person generated data and molecular data derived from biospecimens offers researchers unique opportunities to better understand the mechanisms of disease while advancing person-centric hypotheses generation related to treatments, diagnostics, and prognostics.","author":[{"dropping-particle":"","family":"Okun","given":"Sally","non-dropping-particle":"","parse-names":false,"suffix":""},{"dropping-particle":"","family":"Wicks","given":"Paul","non-dropping-particle":"","parse-names":false,"suffix":""}],"container-title":"BioMedical Engineering Online","id":"ITEM-2","issue":"1","issued":{"date-parts":[["2018"]]},"page":"1-7","publisher":"BioMed Central","title":"DigitalMe: A journey towards personalized health and thriving","type":"article-journal","volume":"17"},"uris":["http://www.mendeley.com/documents/?uuid=5839db7b-3d1e-4a23-89c8-e17d48107d16"]}],"mendeley":{"formattedCitation":"(Okun &amp; Wicks, 2018; Pravettoni, 2020)","plainTextFormattedCitation":"(Okun &amp; Wicks, 2018; Pravettoni, 2020)","previouslyFormattedCitation":"(Okun &amp; Wicks, 2018; Pravettoni,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(Okun &amp; Wicks, 2018; Pravettoni, 2020)</w:t>
      </w:r>
      <w:r w:rsidRPr="005459E6">
        <w:rPr>
          <w:rFonts w:ascii="Times New Roman" w:hAnsi="Times New Roman" w:cs="Times New Roman"/>
        </w:rPr>
        <w:fldChar w:fldCharType="end"/>
      </w:r>
      <w:r w:rsidRPr="005459E6">
        <w:rPr>
          <w:rFonts w:ascii="Times New Roman" w:hAnsi="Times New Roman" w:cs="Times New Roman"/>
        </w:rPr>
        <w:t xml:space="preserve">. In data-intensive enterprises, personalization is increasingly being lauded as a vital competitive component for customer acquisition and retention, as well as for assuring patient satisfaction in healthcare settings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{"citationItems":[{"id":"ITEM-1","itemData":{"ISSN":"1552-7824","author":[{"dropping-particle":"","family":"Huang","given":"Ming-Hui","non-dropping-particle":"","parse-names":false,"suffix":""},{"dropping-particle":"","family":"Rust","given":"Roland T","non-dropping-particle":"","parse-names":false,"suffix":""}],"container-title":"Journal of the Academy of Marketing Science","id":"ITEM-1","issue":"6","issued":{"date-parts":[["2017"]]},"page":"906-924","publisher":"Springer","title":"Technology-driven service strategy","type":"article-journal","volume":"45"},"uris":["http://www.mendeley.com/documents/?uuid=465f6ae6-44b3-4f71-a5dc-5cb04d46dd4b"]},{"id":"ITEM-2","itemData":{"DOI":"10.1007/s11747-012-0307-4","ISSN":"0092-0703(Print)","abstract":"Many service interactions require customers to actively participate, yet customers often do not participate at levels that optimize their outcomes, particularly in health care. To gain insight into how customers shape a service experience with highly uncertain outcomes, we construct a model on the broaden-and-build theory of positive emotions. The model is used to empirically assess how situation-specific emotions and customer participation during a health care service experience affect perceptions of the service provider. The model is tested using data from 190 medical clinic customers. Consistent with theory, results reveal that as customers’ relative affect levels become more positive, levels of participation increase as well. In turn, higher levels of positivity and participation improve customer perceptions of the quality of the service provider and satisfaction with the co-produced service experience. Implications of this research focus managers on designing services to help clients manage their emotions in ways that facilitate positivity and participation and thus improve service perceptions. (PsycInfo Database Record (c) 2020 APA, all rights reserved)","author":[{"dropping-particle":"","family":"Gallan","given":"Andrew S","non-dropping-particle":"","parse-names":false,"suffix":""},{"dropping-particle":"","family":"Jarvis","given":"Cheryl Burke","non-dropping-particle":"","parse-names":false,"suffix":""},{"dropping-particle":"","family":"Brown","given":"Stephen W","non-dropping-particle":"","parse-names":false,"suffix":""},{"dropping-particle":"","family":"Bitner","given":"Mary Jo","non-dropping-particle":"","parse-names":false,"suffix":""}],"container-title":"Journal of the Academy of Marketing Science","id":"ITEM-2","issue":"3","issued":{"date-parts":[["2013"]]},"page":"338-356","publisher":"Springer","publisher-place":"Gallan, Andrew S.: Driehaus College of Business, DePaul University, 1 East Jackson Boulevard, Chicago, IL, US, 60604, agallan@depaul.edu","title":"Customer positivity and participation in services: An empirical test in a health care context.","type":"article-journal","volume":"41"},"uris":["http://www.mendeley.com/documents/?uuid=b2d5c176-e419-4493-80cc-6471ec44c236"]}],"mendeley":{"formattedCitation":"(Gallan et al., 2013; M.-H. Huang &amp; Rust, 2017)","manualFormatting":"(Gallan et al., 2013; Huang &amp; Rust, 2017)","plainTextFormattedCitation":"(Gallan et al., 2013; M.-H. Huang &amp; Rust, 2017)","previouslyFormattedCitation":"(Gallan et al., 2013; M.-H. Huang &amp; Rust,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(Gallan et al., 2013; Huang &amp; Rust, 2017)</w:t>
      </w:r>
      <w:r w:rsidRPr="005459E6">
        <w:rPr>
          <w:rFonts w:ascii="Times New Roman" w:hAnsi="Times New Roman" w:cs="Times New Roman"/>
        </w:rPr>
        <w:fldChar w:fldCharType="end"/>
      </w:r>
      <w:r w:rsidRPr="005459E6">
        <w:rPr>
          <w:rFonts w:ascii="Times New Roman" w:hAnsi="Times New Roman" w:cs="Times New Roman"/>
        </w:rPr>
        <w:t xml:space="preserve">. By making information more relevant, personalization increases service convenience, utility, and technology adoption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{"citationItems":[{"id":"ITEM-1","itemData":{"ISSN":"0276-7783","author":[{"dropping-particle":"","family":"Komiak","given":"Sherrie Y X","non-dropping-particle":"","parse-names":false,"suffix":""},{"dropping-particle":"","family":"Benbasat","given":"Izak","non-dropping-particle":"","parse-names":false,"suffix":""}],"container-title":"MIS quarterly","id":"ITEM-1","issued":{"date-parts":[["2006"]]},"page":"941-960","publisher":"JSTOR","title":"The effects of personalization and familiarity on trust and adoption of recommendation agents","type":"article-journal"},"uris":["http://www.mendeley.com/documents/?uuid=aac81afb-8282-4ef0-8b23-db3fdb8f698d"]}],"mendeley":{"formattedCitation":"(Komiak &amp; Benbasat, 2006)","plainTextFormattedCitation":"(Komiak &amp; Benbasat, 2006)","previouslyFormattedCitation":"(Komiak &amp; Benbasat,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(Komiak &amp; Benbasat, 2006)</w:t>
      </w:r>
      <w:r w:rsidRPr="005459E6">
        <w:rPr>
          <w:rFonts w:ascii="Times New Roman" w:hAnsi="Times New Roman" w:cs="Times New Roman"/>
        </w:rPr>
        <w:fldChar w:fldCharType="end"/>
      </w:r>
      <w:r w:rsidRPr="005459E6">
        <w:rPr>
          <w:rFonts w:ascii="Times New Roman" w:hAnsi="Times New Roman" w:cs="Times New Roman"/>
        </w:rPr>
        <w:t xml:space="preserve">. As a result, the research responds to contemporary calls for a greater understanding of psychological well-being through technology-enabled services, as well as insights into the situations in which their use might be truly encouraging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{"citationItems":[{"id":"ITEM-1","itemData":{"DOI":"10.1177/1094670515576315","ISSN":"1094-6705","abstract":"The context in which service is delivered and experienced has, in many respects, fundamentally changed. For instance, advances in technology, especially information technology, are leading to a proliferation of revolutionary services and changing how customers serve themselves before, during, and after purchase. To understand this changing landscape, the authors engaged in an international and interdisciplinary research effort to identify research priorities that have the potential to advance the service field and benefit customers, organizations, and society. The priority-setting process was informed by roundtable discussions with researchers affiliated with service research centers and networks located around the world and resulted in the following 12 service research priorities:stimulating service innovation,facilitating servitization, service infusion, and solutions,understanding organization and employee issues relevant to successful service,developing service networks and systems,leveraging service design,using big data to advance service,understanding value creation,enhancing the service experience,improving well-being through transformative service,measuring and optimizing service performance and impact,understanding service in a global context, andleveraging technology to advance service.For each priority, the authors identified important specific service topics and related research questions. Then, through an online survey, service researchers assessed the subtopics? perceived importance and the service field?s extant knowledge about them. Although all the priorities and related topics were deemed important, the results show that topics related to transformative service and measuring and optimizing service performance are particularly important for advancing the service field along with big data, which had the largest gap between importance and current knowledge of the field. The authors present key challenges that should be addressed to move the field forward and conclude with a discussion of the need for additional interdisciplinary research.","author":[{"dropping-particle":"","family":"Ostrom","given":"Amy L","non-dropping-particle":"","parse-names":false,"suffix":""},{"dropping-particle":"","family":"Parasuraman","given":"A","non-dropping-particle":"","parse-names":false,"suffix":""},{"dropping-particle":"","family":"Bowen","given":"David E","non-dropping-particle":"","parse-names":false,"suffix":""},{"dropping-particle":"","family":"Patrício","given":"Lia","non-dropping-particle":"","parse-names":false,"suffix":""},{"dropping-particle":"","family":"Voss","given":"Christopher A","non-dropping-particle":"","parse-names":false,"suffix":""}],"container-title":"Journal of Service Research","id":"ITEM-1","issue":"2","issued":{"date-parts":[["2015","4","13"]]},"note":"doi: 10.1177/1094670515576315","page":"127-159","publisher":"SAGE Publications Inc","title":"Service Research Priorities in a Rapidly Changing Context","type":"article-journal","volume":"18"},"uris":["http://www.mendeley.com/documents/?uuid=cfa1d04f-7b8c-47fc-9e20-113eca1f3152"]}],"mendeley":{"formattedCitation":"(Ostrom et al., 2015)","plainTextFormattedCitation":"(Ostrom et al., 2015)","previouslyFormattedCitation":"(Ostrom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(Ostrom et al., 2015)</w:t>
      </w:r>
      <w:r w:rsidRPr="005459E6">
        <w:rPr>
          <w:rFonts w:ascii="Times New Roman" w:hAnsi="Times New Roman" w:cs="Times New Roman"/>
        </w:rPr>
        <w:fldChar w:fldCharType="end"/>
      </w:r>
      <w:r w:rsidRPr="005459E6">
        <w:rPr>
          <w:rFonts w:ascii="Times New Roman" w:hAnsi="Times New Roman" w:cs="Times New Roman"/>
        </w:rPr>
        <w:t>.</w:t>
      </w:r>
    </w:p>
    <w:p w14:paraId="25E03A31" w14:textId="77777777" w:rsidR="009C3F4A" w:rsidRPr="005459E6" w:rsidRDefault="009C3F4A" w:rsidP="00042CB0">
      <w:pPr>
        <w:spacing w:line="360" w:lineRule="auto"/>
        <w:jc w:val="both"/>
        <w:rPr>
          <w:rFonts w:ascii="Times New Roman" w:hAnsi="Times New Roman" w:cs="Times New Roman"/>
          <w:strike/>
        </w:rPr>
      </w:pPr>
    </w:p>
    <w:p w14:paraId="0C4BF31A" w14:textId="77777777" w:rsidR="00C17C6A" w:rsidRPr="005459E6" w:rsidRDefault="00C17C6A" w:rsidP="00042CB0">
      <w:pPr>
        <w:pStyle w:val="Titolo2"/>
        <w:spacing w:line="360" w:lineRule="auto"/>
        <w:jc w:val="both"/>
        <w:rPr>
          <w:rFonts w:ascii="Times New Roman" w:hAnsi="Times New Roman" w:cs="Times New Roman"/>
          <w:color w:val="auto"/>
          <w:sz w:val="22"/>
          <w:szCs w:val="22"/>
        </w:rPr>
      </w:pPr>
      <w:bookmarkStart w:id="113" w:name="_Toc107248287"/>
      <w:r w:rsidRPr="005459E6">
        <w:rPr>
          <w:rFonts w:ascii="Times New Roman" w:hAnsi="Times New Roman" w:cs="Times New Roman"/>
          <w:color w:val="auto"/>
          <w:sz w:val="22"/>
          <w:szCs w:val="22"/>
        </w:rPr>
        <w:t>Problem Statement</w:t>
      </w:r>
      <w:bookmarkEnd w:id="113"/>
    </w:p>
    <w:p w14:paraId="481BC70B" w14:textId="54C86106" w:rsidR="004970FE" w:rsidRPr="005459E6" w:rsidRDefault="00C17C6A" w:rsidP="00042CB0">
      <w:pPr>
        <w:spacing w:line="360" w:lineRule="auto"/>
        <w:jc w:val="both"/>
        <w:rPr>
          <w:rFonts w:ascii="Times New Roman" w:hAnsi="Times New Roman" w:cs="Times New Roman"/>
        </w:rPr>
      </w:pPr>
      <w:r w:rsidRPr="005459E6">
        <w:rPr>
          <w:rFonts w:ascii="Times New Roman" w:hAnsi="Times New Roman" w:cs="Times New Roman"/>
        </w:rPr>
        <w:t>We live in turbulent times where stressors become a common source of stress</w:t>
      </w:r>
      <w:r w:rsidR="008A3F94" w:rsidRPr="005459E6">
        <w:rPr>
          <w:rFonts w:ascii="Times New Roman" w:hAnsi="Times New Roman" w:cs="Times New Roman"/>
        </w:rPr>
        <w:t xml:space="preserve"> </w:t>
      </w:r>
      <w:r w:rsidR="008A3F94" w:rsidRPr="005459E6">
        <w:rPr>
          <w:rFonts w:ascii="Times New Roman" w:hAnsi="Times New Roman" w:cs="Times New Roman"/>
        </w:rPr>
        <w:fldChar w:fldCharType="begin" w:fldLock="1"/>
      </w:r>
      <w:r w:rsidR="008A3F94" w:rsidRPr="005459E6">
        <w:rPr>
          <w:rFonts w:ascii="Times New Roman" w:hAnsi="Times New Roman" w:cs="Times New Roman"/>
        </w:rPr>
        <w:instrText>ADDIN CSL_CITATION {"citationItems":[{"id":"ITEM-1","itemData":{"DOI":"10.1146/annurev.clinpsy.1.102803.144141","ISSN":"1548-5943","PMID":"17716101","abstract":"Stressors have a major influence upon mood, our sense of well-being, behavior, and health. Acute stress responses in young, healthy individuals may be adaptive and typically do not impose a health burden. However, if the threat is unremitting, particularly in older or unhealthy individuals, the long-term effects of stressors can damage health. The relationship between psychosocial stressors and disease is affected by the nature, number, and persistence of the stressors as well as by the individual's biological vulnerability (i.e., genetics, constitutional factors), psychosocial resources, and learned patterns of coping. Psychosocial interventions have proven useful for treating stress-related disorders and may influence the course of chronic diseases.","author":[{"dropping-particle":"","family":"Schneiderman","given":"Neil","non-dropping-particle":"","parse-names":false,"suffix":""},{"dropping-particle":"","family":"Ironson","given":"Gail","non-dropping-particle":"","parse-names":false,"suffix":""},{"dropping-particle":"","family":"Siegel","given":"Scott D.","non-dropping-particle":"","parse-names":false,"suffix":""}],"container-title":"Annual Review of Clinical Psychology","id":"ITEM-1","issue":"1","issued":{"date-parts":[["2005"]]},"page":"607-628","title":"Stress and Health: Psychological, Behavioral, and Biological Determinants","type":"article-journal","volume":"1"},"uris":["http://www.mendeley.com/documents/?uuid=3254cd42-85c7-4cf6-b56c-f795bee489ef"]}],"mendeley":{"formattedCitation":"(Schneiderman et al., 2005b)","manualFormatting":"(Schneiderman et al., 2005)","plainTextFormattedCitation":"(Schneiderman et al., 2005b)","previouslyFormattedCitation":"(Schneiderman et al., 2005b)"},"properties":{"noteIndex":0},"schema":"https://github.com/citation-style-language/schema/raw/master/csl-citation.json"}</w:instrText>
      </w:r>
      <w:r w:rsidR="008A3F94" w:rsidRPr="005459E6">
        <w:rPr>
          <w:rFonts w:ascii="Times New Roman" w:hAnsi="Times New Roman" w:cs="Times New Roman"/>
        </w:rPr>
        <w:fldChar w:fldCharType="separate"/>
      </w:r>
      <w:r w:rsidR="008A3F94" w:rsidRPr="005459E6">
        <w:rPr>
          <w:rFonts w:ascii="Times New Roman" w:hAnsi="Times New Roman" w:cs="Times New Roman"/>
          <w:noProof/>
        </w:rPr>
        <w:t>(Schneiderman et al., 2005)</w:t>
      </w:r>
      <w:r w:rsidR="008A3F94" w:rsidRPr="005459E6">
        <w:rPr>
          <w:rFonts w:ascii="Times New Roman" w:hAnsi="Times New Roman" w:cs="Times New Roman"/>
        </w:rPr>
        <w:fldChar w:fldCharType="end"/>
      </w:r>
      <w:r w:rsidRPr="005459E6">
        <w:rPr>
          <w:rFonts w:ascii="Times New Roman" w:hAnsi="Times New Roman" w:cs="Times New Roman"/>
        </w:rPr>
        <w:t xml:space="preserve">.  </w:t>
      </w:r>
      <w:r w:rsidR="00410074" w:rsidRPr="005459E6">
        <w:rPr>
          <w:rFonts w:ascii="Times New Roman" w:hAnsi="Times New Roman" w:cs="Times New Roman"/>
        </w:rPr>
        <w:t>I</w:t>
      </w:r>
      <w:r w:rsidRPr="005459E6">
        <w:rPr>
          <w:rFonts w:ascii="Times New Roman" w:hAnsi="Times New Roman" w:cs="Times New Roman"/>
        </w:rPr>
        <w:t xml:space="preserve">n the background of </w:t>
      </w:r>
      <w:r w:rsidR="00A50A88" w:rsidRPr="005459E6">
        <w:rPr>
          <w:rFonts w:ascii="Times New Roman" w:hAnsi="Times New Roman" w:cs="Times New Roman"/>
        </w:rPr>
        <w:t xml:space="preserve">the </w:t>
      </w:r>
      <w:r w:rsidRPr="005459E6">
        <w:rPr>
          <w:rFonts w:ascii="Times New Roman" w:hAnsi="Times New Roman" w:cs="Times New Roman"/>
        </w:rPr>
        <w:t xml:space="preserve">recent Covid-19 pandemic, </w:t>
      </w:r>
      <w:r w:rsidR="00A50A88" w:rsidRPr="005459E6">
        <w:rPr>
          <w:rFonts w:ascii="Times New Roman" w:hAnsi="Times New Roman" w:cs="Times New Roman"/>
        </w:rPr>
        <w:t xml:space="preserve">the </w:t>
      </w:r>
      <w:r w:rsidRPr="005459E6">
        <w:rPr>
          <w:rFonts w:ascii="Times New Roman" w:hAnsi="Times New Roman" w:cs="Times New Roman"/>
        </w:rPr>
        <w:t xml:space="preserve">majority of people have been affected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{"citationItems":[{"id":"ITEM-1","itemData":{"DOI":"10.3389/fpsyg.2020.01540","ISSN":"16641078","abstract":"The outbreak of COVID-19 in Spain started at the end of February. By 9th April 2020 Spain was the second country in confirmed cases and in deaths. On March 14, 2020, the Spanish Government declared the state of alarm to limit viral transmission. During such state, citizens must stay confined at home with few justified exceptions. This whole situation drastically changed the life of the population, which can cause a wide range of psychosocial impacts. This study explored the psychological impact of the COVID-19 pandemic in the general adult population (N = 3055) during the first stages of the outbreak in Spain, as well as their anxiety, stress and depression levels. We also examined the extent to which the following variables were associated to participants’ mental health: (1) demographics; (2) degree of concern about the pandemic; (3) environmental conditions during the home confinement, (4) changes in daily life as a consequence of the pandemic; (5) contact with the COVID-19 disease; (6) actual and perceived severity of the crisis; (7) information about the COVID-19, (8) perceived health status and (9) leisure activities conducted within the last 24 h. Our results show that Spanish consider the current COVID-19 health crisis as fairly severe, and the majority felt that the COVID-19 crisis had greatly impacted on their daily life, including changes in their daily routines and cancelation of important activities. About 36% of the participants reported moderate to severe psychological impact, 25% showed mild to severe levels of anxiety, 41% reported depressive symptoms, and 41% felt stressed. Women, young, and those who that lost their job during the health crisis showed the strongest negative psychological symptoms. What worried Spaniards the most was the likelihood of suffering an economic crisis derived from the pandemic. We found factors associated with better mental health, such as being satisfied with the information received about the health crisis, conducting leisure activities, and the perception of being in good health. These findings can be used to design psychological interventions to help coping with COVID-19 pandemic, both in Spain and other countries.","author":[{"dropping-particle":"","family":"Rodríguez-Rey","given":"Rocío","non-dropping-particle":"","parse-names":false,"suffix":""},{"dropping-particle":"","family":"Garrido-Hernansaiz","given":"Helena","non-dropping-particle":"","parse-names":false,"suffix":""},{"dropping-particle":"","family":"Collado","given":"Silvia","non-dropping-particle":"","parse-names":false,"suffix":""}],"container-title":"Frontiers in Psychology","id":"ITEM-1","issue":"June","issued":{"date-parts":[["2020"]]},"title":"Psychological Impact and Associated Factors During the Initial Stage of the Coronavirus (COVID-19) Pandemic Among the General Population in Spain","type":"article-journal","volume":"11"},"uris":["http://www.mendeley.com/documents/?uuid=66094ce1-df87-4252-b0c1-8f412f85fc0e"]}],"mendeley":{"formattedCitation":"(Rodríguez-Rey et al., 2020)","plainTextFormattedCitation":"(Rodríguez-Rey et al., 2020)","previouslyFormattedCitation":"(Rodríguez-Rey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(Rodríguez-Rey et al., 2020)</w:t>
      </w:r>
      <w:r w:rsidRPr="005459E6">
        <w:rPr>
          <w:rFonts w:ascii="Times New Roman" w:hAnsi="Times New Roman" w:cs="Times New Roman"/>
        </w:rPr>
        <w:fldChar w:fldCharType="end"/>
      </w:r>
      <w:r w:rsidR="00CA2124" w:rsidRPr="005459E6">
        <w:rPr>
          <w:rFonts w:ascii="Times New Roman" w:hAnsi="Times New Roman" w:cs="Times New Roman"/>
        </w:rPr>
        <w:t xml:space="preserve"> m</w:t>
      </w:r>
      <w:r w:rsidRPr="005459E6">
        <w:rPr>
          <w:rFonts w:ascii="Times New Roman" w:hAnsi="Times New Roman" w:cs="Times New Roman"/>
        </w:rPr>
        <w:t>entally, physically, and financially giving rise to</w:t>
      </w:r>
      <w:r w:rsidR="000A47B7" w:rsidRPr="005459E6">
        <w:rPr>
          <w:rFonts w:ascii="Times New Roman" w:hAnsi="Times New Roman" w:cs="Times New Roman"/>
        </w:rPr>
        <w:t xml:space="preserve"> prominent</w:t>
      </w:r>
      <w:r w:rsidRPr="005459E6">
        <w:rPr>
          <w:rFonts w:ascii="Times New Roman" w:hAnsi="Times New Roman" w:cs="Times New Roman"/>
        </w:rPr>
        <w:t xml:space="preserve"> stressors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{"citationItems":[{"id":"ITEM-1","itemData":{"DOI":"10.1007/s40520-020-01601-4","ISBN":"0123456789","ISSN":"17208319","PMID":"32458356","abstract":"The early stages of the COVID-19 pandemic have focused on containing SARS-CoV-2 infection and identifying treatment strategies. While controlling this communicable disease is of utmost importance, the long-term effect on individuals with non-communicable diseases (NCD) is significant. Although certain NCDs appear to increase the severity of COVID-19 and mortality risk, SARS-CoV-2 infection in survivors with NCDs may also affect the progression of their pre-existing clinical conditions. Infection containment measures will have substantial short- and long-term consequences; social distancing and quarantine restrictions will reduce physical activity and increase other unhealthy lifestyles, thus increasing NCD risk factors and worsening clinical symptoms. Vitamin D levels might decrease and there might be a rise in mental health disorders. Many countries have made changes to routine management of NCD patients, e.g., cancelling non-urgent outpatient visits, which will have important implications for NCD management, diagnosis of new-onset NCDs, medication adherence, and NCD progression. We may have opportunities to learn from this unprecedented crisis on how to leverage healthcare technologies and improve procedures to optimize healthcare service provision. This article discusses how the COVID-19 outbreak and related infection control measures could hit the most frail individuals, worsening the condition of NCD patients, while further jeopardizing the sustainability of the healthcare systems. We suggest ways to define an integrated strategy that could involve both public institutional entities and the private sector to safeguard frail individuals and mitigate the impact of the outbreak.","author":[{"dropping-particle":"","family":"Palmer","given":"Katie","non-dropping-particle":"","parse-names":false,"suffix":""},{"dropping-particle":"","family":"Monaco","given":"Alessandro","non-dropping-particle":"","parse-names":false,"suffix":""},{"dropping-particle":"","family":"Kivipelto","given":"Miia","non-dropping-particle":"","parse-names":false,"suffix":""},{"dropping-particle":"","family":"Onder","given":"Graziano","non-dropping-particle":"","parse-names":false,"suffix":""},{"dropping-particle":"","family":"Maggi","given":"Stefania","non-dropping-particle":"","parse-names":false,"suffix":""},{"dropping-particle":"","family":"Michel","given":"Jean Pierre","non-dropping-particle":"","parse-names":false,"suffix":""},{"dropping-particle":"","family":"Prieto","given":"Rita","non-dropping-particle":"","parse-names":false,"suffix":""},{"dropping-particle":"","family":"Sykara","given":"Georgia","non-dropping-particle":"","parse-names":false,"suffix":""},{"dropping-particle":"","family":"Donde","given":"Shaantanu","non-dropping-particle":"","parse-names":false,"suffix":""}],"container-title":"Aging Clinical and Experimental Research","id":"ITEM-1","issue":"7","issued":{"date-parts":[["2020"]]},"page":"1189-1194","publisher":"Springer International Publishing","title":"The potential long-term impact of the COVID-19 outbreak on patients with non-communicable diseases in Europe: consequences for healthy ageing","type":"article-journal","volume":"32"},"uris":["http://www.mendeley.com/documents/?uuid=8c254a6c-a191-4354-941f-011961e6f5ab"]}],"mendeley":{"formattedCitation":"(Palmer et al., 2020)","plainTextFormattedCitation":"(Palmer et al., 2020)","previouslyFormattedCitation":"(Palmer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(Palmer et al., 2020)</w:t>
      </w:r>
      <w:r w:rsidRPr="005459E6">
        <w:rPr>
          <w:rFonts w:ascii="Times New Roman" w:hAnsi="Times New Roman" w:cs="Times New Roman"/>
        </w:rPr>
        <w:fldChar w:fldCharType="end"/>
      </w:r>
      <w:r w:rsidRPr="005459E6">
        <w:rPr>
          <w:rFonts w:ascii="Times New Roman" w:hAnsi="Times New Roman" w:cs="Times New Roman"/>
        </w:rPr>
        <w:t xml:space="preserve"> that have affected their Psychosomatic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{"citationItems":[{"id":"ITEM-1","itemData":{"DOI":"10.3389/fpsyg.2020.566212","ISSN":"16641078","abstract":"The emergence of SARS-CoV-2 in December 2019 prompted consternation in many parts of the world. Due to its fast dissemination, the World Health Organization declared a pandemic in March 2020. Aiming to contain the spread of the virus, leaders of many countries restrained social movement, targeting to flatten the curve of contamination with social distancing. This review aimed to analyze how human behavior has changed throughout this period. We also approached the key components of the emotional reaction to the pandemic, how internal and external factors, such as personality traits, gender, the media, the economy and the governmental response, influence the social perception of the pandemic and the psychological outcomes of the current scenario. Moreover, we explored in depth the groups at increased risk of suffering mental health burden secondary to these circumstances. These include the healthcare professionals, elderly individuals, children, college students, black subjects, latin and LGBTQ+ communities, economically disadvantaged groups, the homeless, prisoners, the rural population and psychiatric patients. We also discussed several measures that might minimize the emotional impact derived from this scenario. It is crucial that the health authorities, the government and the population articulate to assist the vulnerable groups and promote emotional and psychological support strategies. Moreover, it is fundamental that the population is provided with accurate information concerning the COVID-19 pandemic.","author":[{"dropping-particle":"","family":"Pedrosa","given":"Ana Luisa","non-dropping-particle":"","parse-names":false,"suffix":""},{"dropping-particle":"","family":"Bitencourt","given":"Letícia","non-dropping-particle":"","parse-names":false,"suffix":""},{"dropping-particle":"","family":"Fróes","given":"Ana Cláudia Fontoura","non-dropping-particle":"","parse-names":false,"suffix":""},{"dropping-particle":"","family":"Cazumbá","given":"Maria Luíza Barreto","non-dropping-particle":"","parse-names":false,"suffix":""},{"dropping-particle":"","family":"Campos","given":"Ramon Gustavo Bernardino","non-dropping-particle":"","parse-names":false,"suffix":""},{"dropping-particle":"","family":"Brito","given":"Stephanie Bruna Camilo Soares","non-dropping-particle":"de","parse-names":false,"suffix":""},{"dropping-particle":"","family":"Simões e Silva","given":"Ana Cristina","non-dropping-particle":"","parse-names":false,"suffix":""}],"container-title":"Frontiers in Psychology","id":"ITEM-1","issue":"October","issued":{"date-parts":[["2020"]]},"page":"1-18","title":"Emotional, Behavioral, and Psychological Impact of the COVID-19 Pandemic","type":"article-journal","volume":"11"},"uris":["http://www.mendeley.com/documents/?uuid=4b48f33a-d3bc-427b-a8e0-3b03a4422d5d","http://www.mendeley.com/documents/?uuid=27cce76c-bc79-4a08-b55c-51c3a41c3571"]}],"mendeley":{"formattedCitation":"(Pedrosa et al., 2020)","plainTextFormattedCitation":"(Pedrosa et al., 2020)","previouslyFormattedCitation":"(Pedrosa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(Pedrosa et al., 2020)</w:t>
      </w:r>
      <w:r w:rsidRPr="005459E6">
        <w:rPr>
          <w:rFonts w:ascii="Times New Roman" w:hAnsi="Times New Roman" w:cs="Times New Roman"/>
        </w:rPr>
        <w:fldChar w:fldCharType="end"/>
      </w:r>
      <w:r w:rsidRPr="005459E6">
        <w:rPr>
          <w:rFonts w:ascii="Times New Roman" w:hAnsi="Times New Roman" w:cs="Times New Roman"/>
        </w:rPr>
        <w:t xml:space="preserve"> and negatively impacted individual well-being. Such Degradation of Well</w:t>
      </w:r>
      <w:r w:rsidR="000A47B7" w:rsidRPr="005459E6">
        <w:rPr>
          <w:rFonts w:ascii="Times New Roman" w:hAnsi="Times New Roman" w:cs="Times New Roman"/>
        </w:rPr>
        <w:t>-</w:t>
      </w:r>
      <w:r w:rsidRPr="005459E6">
        <w:rPr>
          <w:rFonts w:ascii="Times New Roman" w:hAnsi="Times New Roman" w:cs="Times New Roman"/>
        </w:rPr>
        <w:t xml:space="preserve">being has resulted in a double-edged sword where on </w:t>
      </w:r>
      <w:r w:rsidR="00A50A88" w:rsidRPr="005459E6">
        <w:rPr>
          <w:rFonts w:ascii="Times New Roman" w:hAnsi="Times New Roman" w:cs="Times New Roman"/>
        </w:rPr>
        <w:t xml:space="preserve">the </w:t>
      </w:r>
      <w:r w:rsidRPr="005459E6">
        <w:rPr>
          <w:rFonts w:ascii="Times New Roman" w:hAnsi="Times New Roman" w:cs="Times New Roman"/>
        </w:rPr>
        <w:t>personal front</w:t>
      </w:r>
      <w:r w:rsidR="006475AE" w:rsidRPr="005459E6">
        <w:rPr>
          <w:rFonts w:ascii="Times New Roman" w:hAnsi="Times New Roman" w:cs="Times New Roman"/>
        </w:rPr>
        <w:t>,</w:t>
      </w:r>
      <w:r w:rsidRPr="005459E6">
        <w:rPr>
          <w:rFonts w:ascii="Times New Roman" w:hAnsi="Times New Roman" w:cs="Times New Roman"/>
        </w:rPr>
        <w:t xml:space="preserve"> it gave rise to stress, anxiety, and depression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{"citationItems":[{"id":"ITEM-1","itemData":{"DOI":"10.4155/fso.15.21","ISSN":"20565623","author":[{"dropping-particle":"","family":"Mariotti","given":"Agnese","non-dropping-particle":"","parse-names":false,"suffix":""}],"container-title":"Future Science OA","id":"ITEM-1","issue":"3","issued":{"date-parts":[["2015"]]},"title":"The effects of chronic stress on health: New insights into the molecular mechanisms of brain-body communication","type":"article-journal","volume":"1"},"uris":["http://www.mendeley.com/documents/?uuid=5bf7a262-e5ad-4d0b-8273-5bbaa3aa6294"]},{"id":"ITEM-2","itemData":{"DOI":"10.1073/pnas.2014859117","ISSN":"10916490","PMID":"33288719","abstract":"Research indicates that core dimensions of psychological well-being can be cultivated through intentional mental training. Despite growing research in this area and an increasing number of interventions designed to improve psychological well-being, the field lacks a unifying framework that clarifies the dimensions of human flourishing that can be cultivated. Here, we integrate evidence from well-being research, cognitive and affective neuroscience, and clinical psychology to highlight four core dimensions of well-being-awareness, connection, insight, and purpose. We discuss the importance of each dimension for psychological well-being, identify mechanisms that underlie their cultivation, and present evidence of their neural and psychological plasticity. This synthesis highlights key insights, as well as important gaps, in the scientific understanding of well-being and how it may be cultivated, thus highlighting future research directions.","author":[{"dropping-particle":"","family":"Dahl","given":"Cortland J.","non-dropping-particle":"","parse-names":false,"suffix":""},{"dropping-particle":"","family":"Christine","given":"D. Wilson Mendenhall","non-dropping-particle":"","parse-names":false,"suffix":""},{"dropping-particle":"","family":"Davidson","given":"Richard J.","non-dropping-particle":"","parse-names":false,"suffix":""}],"container-title":"Proceedings of the National Academy of Sciences of the United States of America","id":"ITEM-2","issue":"51","issued":{"date-parts":[["2020"]]},"page":"32197-32206","title":"The plasticity of well-being: A training-based framework for the cultivation of human flourishing","type":"article-journal","volume":"117"},"uris":["http://www.mendeley.com/documents/?uuid=9b91779e-eb90-461d-855f-35e16f50b54f","http://www.mendeley.com/documents/?uuid=553f6f47-c169-4db1-acfd-9ae56acb7f5b"]}],"mendeley":{"formattedCitation":"(Dahl et al., 2020; Mariotti, 2015)","plainTextFormattedCitation":"(Dahl et al., 2020; Mariotti, 2015)","previouslyFormattedCitation":"(Dahl et al., 2020; Mariotti,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(Dahl et al., 2020; Mariotti, 2015)</w:t>
      </w:r>
      <w:r w:rsidRPr="005459E6">
        <w:rPr>
          <w:rFonts w:ascii="Times New Roman" w:hAnsi="Times New Roman" w:cs="Times New Roman"/>
        </w:rPr>
        <w:fldChar w:fldCharType="end"/>
      </w:r>
      <w:r w:rsidRPr="005459E6">
        <w:rPr>
          <w:rFonts w:ascii="Times New Roman" w:hAnsi="Times New Roman" w:cs="Times New Roman"/>
        </w:rPr>
        <w:t xml:space="preserve"> and at professional levels resulted in a significant dip in the </w:t>
      </w:r>
      <w:r w:rsidR="0024602F" w:rsidRPr="005459E6">
        <w:rPr>
          <w:rFonts w:ascii="Times New Roman" w:hAnsi="Times New Roman" w:cs="Times New Roman"/>
        </w:rPr>
        <w:t>w</w:t>
      </w:r>
      <w:r w:rsidRPr="005459E6">
        <w:rPr>
          <w:rFonts w:ascii="Times New Roman" w:hAnsi="Times New Roman" w:cs="Times New Roman"/>
        </w:rPr>
        <w:t xml:space="preserve">orkplace productivity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{"citationItems":[{"id":"ITEM-1","itemData":{"abstract":"… emotions lead to heightened motivation, and hence better job outcomes and organisational … measurement of employee wellbeing in firms, alongside productivity and firm performance outcomes … of wellbeing at work, such as social relationships, making jobs more interesting …","author":[{"dropping-particle":"","family":"Krekel","given":"C","non-dropping-particle":"","parse-names":false,"suffix":""},{"dropping-particle":"","family":"Ward","given":"G","non-dropping-particle":"","parse-names":false,"suffix":""},{"dropping-particle":"De","family":"Neve","given":"J","non-dropping-particle":"","parse-names":false,"suffix":""}],"container-title":"… -and-firm-performance [Accessed 12 June …","id":"ITEM-1","issued":{"date-parts":[["2019"]]},"title":"Employee wellbeing, productivity, and firm performance: Evidence from 1.8 million employees","type":"article-journal"},"uris":["http://www.mendeley.com/documents/?uuid=822e92da-19e1-4bc3-8770-0366a06c91cb"]},{"id":"ITEM-2","itemData":{"DOI":"10.1177/0033354919878434","ISSN":"14682877","PMID":"31600480","author":[{"dropping-particle":"","family":"Adams","given":"Jerome M.","non-dropping-particle":"","parse-names":false,"suffix":""}],"container-title":"Public Health Reports","id":"ITEM-2","issue":"6","issued":{"date-parts":[["2019"]]},"page":"583-586","title":"The Value of Worker Well-Being","type":"article-journal","volume":"134"},"uris":["http://www.mendeley.com/documents/?uuid=0268b818-cbd1-422a-b760-443e1655e3bd"]},{"id":"ITEM-3","itemData":{"abstract":"The UK is currently facing two inter-related socio-economic challenges. One\nis the now well-documented ‘productivity puzzle’; the crisis of persistent\nlow productivity growth across the economy. The other is low levels in the\nmental and physical health of the working population, in particular.\nWellbeing has been considered as a driver of higher levels of productivity\nand thus a means of solving the productivity puzzle. However, the\nrelationship between productivity growth and wellbeing is complex and\ninvolves many moderating or mediating factors.\nThis report reviews the relationships between the different aspects of\nwellbeing, productivity, and productivity growth. It is the culmination of a\ndesk-based evidence review, survey, and a mapping workshop held with\nexperts from backgrounds including psychology, sociology, economics, and\ndesign. The focus is on wellbeing and labour productivity, although resource\nproductivity and multi-factor productivity are also touched upon at relevant\npoints within the report. Key findings and recommendations for further\nresearch are summarised below.\nKey finding 1\nWellbeing is linked to higher levels of labour productivity.\n• Individuals who have been diagnosed with a chronic physical health\nproblem and those who engage in risky health behaviours (e.g. smoking,\nunhealthy diet, and lack of exercise) in the absence of any formal\ndiagnosis both tend to report reduced labour productivity through\npresenteeism and absenteeism.\n• Poor mental health appears to be more strongly linked with lost\nproductivity through presenteeism (relative to absenteeism), as people\nare often reluctant to disclose that they are suffering from mental health\nproblems.\n• Higher levels of subjective wellbeing has been linked to greater labour\nproductivity, and the causal nature of this link has been demonstrated\nin experimental studies.\n• High levels of stress can lead to burnout and reduced labour productivity,\nbut training resilience has been shown to produce positive effects on\nwellbeing and productivity.\n• Case studies demonstrate that workplace wellness programmes can\ndeliver benefits in terms of enhanced productivity, but this seems to be \n2 | CUSP WORKING PAPER No 22\nreliant on certain conditions being met (e.g. tailoring to the specific\norganisation and senior management support).\nKey finding 2\nCertain factors may be able to explain the positive relationship\nbetween levels of wellbeing and labour productivity.\n• Human capital is an asset that is…","author":[{"dropping-particle":"","family":"Isham","given":"Amy","non-dropping-particle":"","parse-names":false,"suffix":""},{"dropping-particle":"","family":"Mair","given":"Simon","non-dropping-particle":"","parse-names":false,"suffix":""},{"dropping-particle":"","family":"Jackson","given":"Tim","non-dropping-particle":"","parse-names":false,"suffix":""}],"id":"ITEM-3","issue":"January 2020","issued":{"date-parts":[["2020"]]},"page":"1-128","title":"Wellbeing and Productivity: a review of the literature","type":"article-journal"},"uris":["http://www.mendeley.com/documents/?uuid=045697eb-12d6-4f28-93f6-bd957b27a247","http://www.mendeley.com/documents/?uuid=d0c25583-2465-46f2-8d4b-992e582d6b37"]}],"mendeley":{"formattedCitation":"(Adams, 2019; Isham et al., 2020; C Krekel et al., 2019)","manualFormatting":"(Adams, 2019; Isham et al., 2020; Krekel et al., 2019)","plainTextFormattedCitation":"(Adams, 2019; Isham et al., 2020; C Krekel et al., 2019)","previouslyFormattedCitation":"(Adams, 2019; Isham et al., 2020; C Krekel et al., 2019)"},"properties":{"noteIndex":0},"schema":"https://github.com/citation-style-language/schema/raw/master/csl-citation.json"}</w:instrText>
      </w:r>
      <w:r w:rsidRPr="005459E6">
        <w:rPr>
          <w:rFonts w:ascii="Times New Roman" w:hAnsi="Times New Roman" w:cs="Times New Roman"/>
        </w:rPr>
        <w:fldChar w:fldCharType="separate"/>
      </w:r>
      <w:r w:rsidR="00D53F97" w:rsidRPr="005459E6">
        <w:rPr>
          <w:rFonts w:ascii="Times New Roman" w:hAnsi="Times New Roman" w:cs="Times New Roman"/>
          <w:noProof/>
        </w:rPr>
        <w:t>(Adams, 2019; Isham et al., 2020; Krekel et al., 2019)</w:t>
      </w:r>
      <w:r w:rsidRPr="005459E6">
        <w:rPr>
          <w:rFonts w:ascii="Times New Roman" w:hAnsi="Times New Roman" w:cs="Times New Roman"/>
        </w:rPr>
        <w:fldChar w:fldCharType="end"/>
      </w:r>
      <w:r w:rsidRPr="005459E6">
        <w:rPr>
          <w:rFonts w:ascii="Times New Roman" w:hAnsi="Times New Roman" w:cs="Times New Roman"/>
        </w:rPr>
        <w:t xml:space="preserve">. </w:t>
      </w:r>
    </w:p>
    <w:p w14:paraId="4D6F17B3" w14:textId="2C13160C" w:rsidR="008B3222" w:rsidRPr="005459E6" w:rsidRDefault="00C17C6A" w:rsidP="00042CB0">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The cumulative effect of </w:t>
      </w:r>
      <w:r w:rsidR="00A50A88" w:rsidRPr="005459E6">
        <w:rPr>
          <w:rFonts w:ascii="Times New Roman" w:hAnsi="Times New Roman" w:cs="Times New Roman"/>
        </w:rPr>
        <w:t xml:space="preserve">the </w:t>
      </w:r>
      <w:r w:rsidRPr="005459E6">
        <w:rPr>
          <w:rFonts w:ascii="Times New Roman" w:hAnsi="Times New Roman" w:cs="Times New Roman"/>
        </w:rPr>
        <w:t>deterioration of well</w:t>
      </w:r>
      <w:r w:rsidR="0024602F" w:rsidRPr="005459E6">
        <w:rPr>
          <w:rFonts w:ascii="Times New Roman" w:hAnsi="Times New Roman" w:cs="Times New Roman"/>
        </w:rPr>
        <w:t>-</w:t>
      </w:r>
      <w:r w:rsidRPr="005459E6">
        <w:rPr>
          <w:rFonts w:ascii="Times New Roman" w:hAnsi="Times New Roman" w:cs="Times New Roman"/>
        </w:rPr>
        <w:t xml:space="preserve">being results in limited </w:t>
      </w:r>
      <w:r w:rsidR="0024602F" w:rsidRPr="005459E6">
        <w:rPr>
          <w:rFonts w:ascii="Times New Roman" w:hAnsi="Times New Roman" w:cs="Times New Roman"/>
        </w:rPr>
        <w:t>o</w:t>
      </w:r>
      <w:r w:rsidRPr="005459E6">
        <w:rPr>
          <w:rFonts w:ascii="Times New Roman" w:hAnsi="Times New Roman" w:cs="Times New Roman"/>
        </w:rPr>
        <w:t xml:space="preserve">rganizational </w:t>
      </w:r>
      <w:r w:rsidR="0024602F" w:rsidRPr="005459E6">
        <w:rPr>
          <w:rFonts w:ascii="Times New Roman" w:hAnsi="Times New Roman" w:cs="Times New Roman"/>
        </w:rPr>
        <w:t>p</w:t>
      </w:r>
      <w:r w:rsidRPr="005459E6">
        <w:rPr>
          <w:rFonts w:ascii="Times New Roman" w:hAnsi="Times New Roman" w:cs="Times New Roman"/>
        </w:rPr>
        <w:t xml:space="preserve">erformance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{"citationItems":[{"id":"ITEM-1","itemData":{"DOI":"10.1016/j.sbspro.2014.11.088","ISSN":"18770428","abstract":"This study investigated the effects of wellbeing on performance. Organizations should establish a healthy working atmosphere to stimulate performance. Hence, the aim of this study was to describe the role of wellbeing that may influence one's performance. The hypotheses were empirically tested using Partial Least Square-SEM from a survey of 166 respondents in services sector. The results of this study indicated that there is a significant relationship between wellbeing and performance. This study sheds additional insights to the importance of wellbeing on performance. Practical implications, limitations, and suggestions for future research are also discussed.","author":[{"dropping-particle":"","family":"Zakaria","given":"Maziana","non-dropping-particle":"","parse-names":false,"suffix":""},{"dropping-particle":"","family":"Abdulatiff","given":"Nik Kamaruzaman","non-dropping-particle":"","parse-names":false,"suffix":""},{"dropping-particle":"","family":"Ali","given":"Norli","non-dropping-particle":"","parse-names":false,"suffix":""}],"container-title":"Procedia - Social and Behavioral Sciences","id":"ITEM-1","issue":"August","issued":{"date-parts":[["2014"]]},"page":"358-365","title":"The Role of Wellbeing on Performance in Services Sector","type":"article-journal","volume":"164"},"uris":["http://www.mendeley.com/documents/?uuid=f4d909dc-398a-4ad1-b243-cbdb75f39dfa","http://www.mendeley.com/documents/?uuid=239d0990-60ce-41eb-b269-382de526fca5"]},{"id":"ITEM-2","itemData":{"abstract":"… emotions lead to heightened motivation, and hence better job outcomes and organisational … measurement of employee wellbeing in firms, alongside productivity and firm performance outcomes … of wellbeing at work, such as social relationships, making jobs more interesting …","author":[{"dropping-particle":"","family":"Krekel","given":"C","non-dropping-particle":"","parse-names":false,"suffix":""},{"dropping-particle":"","family":"Ward","given":"G","non-dropping-particle":"","parse-names":false,"suffix":""},{"dropping-particle":"De","family":"Neve","given":"J","non-dropping-particle":"","parse-names":false,"suffix":""}],"container-title":"… -and-firm-performance [Accessed 12 June …","id":"ITEM-2","issued":{"date-parts":[["2019"]]},"title":"Employee wellbeing, productivity, and firm performance: Evidence from 1.8 million employees","type":"article-journal"},"uris":["http://www.mendeley.com/documents/?uuid=822e92da-19e1-4bc3-8770-0366a06c91cb"]},{"id":"ITEM-3","itemData":{"DOI":"10.1111/1748-8583.12254","ISSN":"17488583","abstract":"The authors provide an up-to-date theoretically based qualitative review of research dealing with the relationship between HRM, employee well-being, and individual/organisational performance (HRM-WB-IOP research). The review is based on a systematic critical analysis of all HRM-WB-IOP studies (N = 46) published in 13 core HRM and management journals in the 2000 to 2018 period. The authors first identify different theoretical models of the HRM-WB-IOP relationship, which they then use to map research in the area. The results show that mutual gains conceptualisations play a dominant role in extant HRM-WB-IOP research, at the expense of alternative conflicting outcomes and mutual losses models, which are also shown to receive very limited empirical support across the 46 studies. As part of this mapping exercise, the authors identify important knowledge gaps in the area and conclude by setting out a number of key recommendations for future research to address these gaps.","author":[{"dropping-particle":"","family":"Peccei","given":"Riccardo","non-dropping-particle":"","parse-names":false,"suffix":""},{"dropping-particle":"","family":"Voorde","given":"Karina","non-dropping-particle":"Van De","parse-names":false,"suffix":""}],"container-title":"Human Resource Management Journal","id":"ITEM-3","issue":"4","issued":{"date-parts":[["2019"]]},"page":"539-563","title":"Human resource management–well-being–performance research revisited: Past, present, and future","type":"article-journal","volume":"29"},"uris":["http://www.mendeley.com/documents/?uuid=b380d1d5-4bf3-40a4-8782-e206608b2197","http://www.mendeley.com/documents/?uuid=5125ffe8-f285-4e85-81be-64990c75286e"]},{"id":"ITEM-4","itemData":{"ISBN":"9781315743325","ISSN":"1848721641","abstract":"The present chapter addresses the conceptualization of individual well-being and performance in the work context, and discusses theoretical perspectives linking these concepts. We first address theoretical and empirical notions on the structure of well-being, after which the conceptualization of performance and the relations between individual well-being and performance are discussed, respectively. (PsycINFO Database Record (c) 2015 APA, all ri","author":[{"dropping-particle":"","family":"Taris","given":"Toon","non-dropping-particle":"","parse-names":false,"suffix":""},{"dropping-particle":"","family":"Schaufeli","given":"Wilmar","non-dropping-particle":"","parse-names":false,"suffix":""}],"container-title":"Well-being and Performance at Work The role of context","id":"ITEM-4","issued":{"date-parts":[["2015"]]},"page":"15-34","title":"Well-being and Performance at Work: A conceptual and theoretical overview","type":"article-journal"},"uris":["http://www.mendeley.com/documents/?uuid=1cf69b00-1f0b-4d8e-9e61-8962cd3a9355","http://www.mendeley.com/documents/?uuid=83affadf-f2ea-4a50-a24c-fd189aa545fc"]}],"mendeley":{"formattedCitation":"(C Krekel et al., 2019; Peccei &amp; Van De Voorde, 2019; Taris &amp; Schaufeli, 2015; Zakaria et al., 2014)","manualFormatting":"(Krekel et al., 2019; Peccei &amp; Van De Voorde, 2019; Taris &amp; Schaufeli, 2015; Zakaria et al., 2014)","plainTextFormattedCitation":"(C Krekel et al., 2019; Peccei &amp; Van De Voorde, 2019; Taris &amp; Schaufeli, 2015; Zakaria et al., 2014)","previouslyFormattedCitation":"(C Krekel et al., 2019; Peccei &amp; Van De Voorde, 2019; Taris &amp; Schaufeli, 2015; Zakaria et al., 2014)"},"properties":{"noteIndex":0},"schema":"https://github.com/citation-style-language/schema/raw/master/csl-citation.json"}</w:instrText>
      </w:r>
      <w:r w:rsidRPr="005459E6">
        <w:rPr>
          <w:rFonts w:ascii="Times New Roman" w:hAnsi="Times New Roman" w:cs="Times New Roman"/>
        </w:rPr>
        <w:fldChar w:fldCharType="separate"/>
      </w:r>
      <w:r w:rsidR="00D53F97" w:rsidRPr="005459E6">
        <w:rPr>
          <w:rFonts w:ascii="Times New Roman" w:hAnsi="Times New Roman" w:cs="Times New Roman"/>
          <w:noProof/>
          <w:lang w:val="it-IT"/>
        </w:rPr>
        <w:t>(Krekel et al., 2019; Peccei &amp; Van De Voorde, 2019; Taris &amp; Schaufeli, 2015; Zakaria et al., 2014)</w:t>
      </w:r>
      <w:r w:rsidRPr="005459E6">
        <w:rPr>
          <w:rFonts w:ascii="Times New Roman" w:hAnsi="Times New Roman" w:cs="Times New Roman"/>
        </w:rPr>
        <w:fldChar w:fldCharType="end"/>
      </w:r>
      <w:r w:rsidRPr="005459E6">
        <w:rPr>
          <w:rFonts w:ascii="Times New Roman" w:hAnsi="Times New Roman" w:cs="Times New Roman"/>
          <w:lang w:val="it-IT"/>
        </w:rPr>
        <w:t xml:space="preserve">. </w:t>
      </w:r>
      <w:r w:rsidRPr="005459E6">
        <w:rPr>
          <w:rFonts w:ascii="Times New Roman" w:hAnsi="Times New Roman" w:cs="Times New Roman"/>
        </w:rPr>
        <w:t>Hence the research leverages the st</w:t>
      </w:r>
      <w:r w:rsidR="00F4407B" w:rsidRPr="005459E6">
        <w:rPr>
          <w:rFonts w:ascii="Times New Roman" w:hAnsi="Times New Roman" w:cs="Times New Roman"/>
        </w:rPr>
        <w:t>a</w:t>
      </w:r>
      <w:r w:rsidRPr="005459E6">
        <w:rPr>
          <w:rFonts w:ascii="Times New Roman" w:hAnsi="Times New Roman" w:cs="Times New Roman"/>
        </w:rPr>
        <w:t xml:space="preserve">t of art technologies to be able to assist therapists </w:t>
      </w:r>
      <w:r w:rsidR="004970FE" w:rsidRPr="005459E6">
        <w:rPr>
          <w:rFonts w:ascii="Times New Roman" w:hAnsi="Times New Roman" w:cs="Times New Roman"/>
        </w:rPr>
        <w:t>in addressing</w:t>
      </w:r>
      <w:r w:rsidRPr="005459E6">
        <w:rPr>
          <w:rFonts w:ascii="Times New Roman" w:hAnsi="Times New Roman" w:cs="Times New Roman"/>
        </w:rPr>
        <w:t xml:space="preserve"> </w:t>
      </w:r>
      <w:r w:rsidR="007A6846" w:rsidRPr="005459E6">
        <w:rPr>
          <w:rFonts w:ascii="Times New Roman" w:hAnsi="Times New Roman" w:cs="Times New Roman"/>
        </w:rPr>
        <w:t xml:space="preserve">psychological well-being. </w:t>
      </w:r>
      <w:r w:rsidRPr="005459E6">
        <w:rPr>
          <w:rFonts w:ascii="Times New Roman" w:hAnsi="Times New Roman" w:cs="Times New Roman"/>
        </w:rPr>
        <w:t xml:space="preserve">As Psychotherapy deals with both Cognitive and Behavioral functions, it usually takes longer to go through this type of goal-oriented setting </w:t>
      </w:r>
      <w:r w:rsidR="00C63780" w:rsidRPr="005459E6">
        <w:rPr>
          <w:rFonts w:ascii="Times New Roman" w:hAnsi="Times New Roman" w:cs="Times New Roman"/>
        </w:rPr>
        <w:fldChar w:fldCharType="begin" w:fldLock="1"/>
      </w:r>
      <w:r w:rsidR="00056EAB" w:rsidRPr="005459E6">
        <w:rPr>
          <w:rFonts w:ascii="Times New Roman" w:hAnsi="Times New Roman" w:cs="Times New Roman"/>
        </w:rPr>
        <w:instrText>ADDIN CSL_CITATION {"citationItems":[{"id":"ITEM-1","itemData":{"DOI":"10.1037/cpb0000094.The","author":[{"dropping-particle":"","family":"Justyna","given":"Widomska","non-dropping-particle":"","parse-names":false,"suffix":""}],"container-title":"Physiology &amp; behavior","id":"ITEM-1","issue":"5","issued":{"date-parts":[["2017"]]},"page":"139-148","title":"The Neuroscience of Goals and Behavior Change Elliot","type":"article-journal","volume":"176"},"uris":["http://www.mendeley.com/documents/?uuid=411ebff6-9def-4079-b8b1-dc49569817c3"]},{"id":"ITEM-2","itemData":{"abstract":"Uniting separate research streams on situational and dispositional goals, we investi gated goal setting and goal orientation together in a complex business simulation. A specific learning goal led to higher performance than did either a specific performance goal or a vague goal. Goal orientation predicted performance when the goal was vague. The performance goal attenuated correlations between goal orientation and perfor mance. The correlation between a learning goal orientation and performance was significant when a learning goal was set. Self-efficacy and information search medi ated","author":[{"dropping-particle":"","family":"Seijts","given":"Gerard H","non-dropping-particle":"","parse-names":false,"suffix":""},{"dropping-particle":"","family":"Latham","given":"Gary P","non-dropping-particle":"","parse-names":false,"suffix":""},{"dropping-particle":"","family":"Tasa","given":"Kevin","non-dropping-particle":"","parse-names":false,"suffix":""},{"dropping-particle":"","family":"Latham","given":"Brandon W","non-dropping-particle":"","parse-names":false,"suffix":""}],"container-title":"The Academy of Management Journal","id":"ITEM-2","issue":"2","issued":{"date-parts":[["2016"]]},"page":"227-239","title":"Goal Setting and Goal Orientation : An Integration of Two Different Yet Related Literatures","type":"article-journal","volume":"47"},"uris":["http://www.mendeley.com/documents/?uuid=53b3c8cf-6235-40df-badf-b26957915cc3"]}],"mendeley":{"formattedCitation":"(Justyna, 2017; Seijts et al., 2016)","plainTextFormattedCitation":"(Justyna, 2017; Seijts et al., 2016)","previouslyFormattedCitation":"(Justyna, 2017; Seijts et al., 2016)"},"properties":{"noteIndex":0},"schema":"https://github.com/citation-style-language/schema/raw/master/csl-citation.json"}</w:instrText>
      </w:r>
      <w:r w:rsidR="00C63780" w:rsidRPr="005459E6">
        <w:rPr>
          <w:rFonts w:ascii="Times New Roman" w:hAnsi="Times New Roman" w:cs="Times New Roman"/>
        </w:rPr>
        <w:fldChar w:fldCharType="separate"/>
      </w:r>
      <w:r w:rsidR="00C63780" w:rsidRPr="005459E6">
        <w:rPr>
          <w:rFonts w:ascii="Times New Roman" w:hAnsi="Times New Roman" w:cs="Times New Roman"/>
          <w:noProof/>
        </w:rPr>
        <w:t>(Justyna, 2017; Seijts et al., 2016)</w:t>
      </w:r>
      <w:r w:rsidR="00C63780" w:rsidRPr="005459E6">
        <w:rPr>
          <w:rFonts w:ascii="Times New Roman" w:hAnsi="Times New Roman" w:cs="Times New Roman"/>
        </w:rPr>
        <w:fldChar w:fldCharType="end"/>
      </w:r>
      <w:r w:rsidR="00056EAB" w:rsidRPr="005459E6">
        <w:rPr>
          <w:rFonts w:ascii="Times New Roman" w:hAnsi="Times New Roman" w:cs="Times New Roman"/>
        </w:rPr>
        <w:t xml:space="preserve">. </w:t>
      </w:r>
      <w:r w:rsidRPr="005459E6">
        <w:rPr>
          <w:rFonts w:ascii="Times New Roman" w:hAnsi="Times New Roman" w:cs="Times New Roman"/>
        </w:rPr>
        <w:t xml:space="preserve">Although many countries have implemented effective protocols, people still have limited reachability as far as psychotherapies are concerned </w:t>
      </w:r>
      <w:r w:rsidR="00056EAB" w:rsidRPr="005459E6">
        <w:rPr>
          <w:rFonts w:ascii="Times New Roman" w:hAnsi="Times New Roman" w:cs="Times New Roman"/>
        </w:rPr>
        <w:fldChar w:fldCharType="begin" w:fldLock="1"/>
      </w:r>
      <w:r w:rsidR="008B3222" w:rsidRPr="005459E6">
        <w:rPr>
          <w:rFonts w:ascii="Times New Roman" w:hAnsi="Times New Roman" w:cs="Times New Roman"/>
        </w:rPr>
        <w:instrText>ADDIN CSL_CITATION {"citationItems":[{"id":"ITEM-1","itemData":{"DOI":"10.1037/ccp0000232","ISSN":"1939-2117 (Electronic)","PMID":"28650193","abstract":"OBJECTIVE: Internet-delivered cognitive-behavioral therapy (ICBT) has been  established as both efficacious and effective in reducing symptoms of social anxiety. However, most research has been conducted in controlled settings, and little is known regarding the utility of such programs in an open-access format. The present study examined the use, adherence, and effectiveness of Joyable, an open-access, Internet-delivered, coach-supported CBT-based intervention for social anxiety. METHOD: Participants were 3,384 registered users (Mage [SD] = 29.82 [7.89]; 54% male) that created an account between 2014 and 2016. Characteristics of use, factors related to attrition and adherence, and within-group outcomes were examined. The primary outcome measure was the Social Phobia Inventory. RESULTS: On average, participants remained in the program for 81.02 days (SD = 60.50), during which they completed 12.14 activities (SD = 11.09) and 1.53 exposures (SD = 3.18). About half (57%) had contact with a coach. Full adherence to the program was achieved by 16% of participants, a rate higher than previously published open-access studies of ICBT. Social anxiety symptoms were significantly reduced for participants that engaged in the program, with medium within-group effects from baseline through the cognitive restructuring module (d = 0.63-0.76) and large effects from baseline through the exposure module (d = 1.40-1.83). Response rates were high (72%). Exposures and coach contact were significant predictors of retention and outcome. CONCLUSIONS: This open-access online CBT-based program is effective in reducing social anxiety symptoms and has the potential to extend Internet-based mental health services to socially anxious individuals unwilling or unable to seek face-to-face evidence-based therapy. (PsycINFO Database Record","author":[{"dropping-particle":"","family":"Dryman","given":"M Taylor","non-dropping-particle":"","parse-names":false,"suffix":""},{"dropping-particle":"","family":"McTeague","given":"Lisa M","non-dropping-particle":"","parse-names":false,"suffix":""},{"dropping-particle":"","family":"Olino","given":"Thomas M","non-dropping-particle":"","parse-names":false,"suffix":""},{"dropping-particle":"","family":"Heimberg","given":"Richard G","non-dropping-particle":"","parse-names":false,"suffix":""}],"container-title":"Journal of consulting and clinical psychology","id":"ITEM-1","issue":"10","issued":{"date-parts":[["2017","10"]]},"language":"eng","page":"988-999","publisher-place":"United States","title":"Evaluation of an open-access CBT-based Internet program for social anxiety: Patterns  of use, retention, and outcomes.","type":"article-journal","volume":"85"},"uris":["http://www.mendeley.com/documents/?uuid=faccf4be-341b-4973-9140-a775aca2095d"]}],"mendeley":{"formattedCitation":"(Dryman et al., 2017)","plainTextFormattedCitation":"(Dryman et al., 2017)","previouslyFormattedCitation":"(Dryman et al., 2017)"},"properties":{"noteIndex":0},"schema":"https://github.com/citation-style-language/schema/raw/master/csl-citation.json"}</w:instrText>
      </w:r>
      <w:r w:rsidR="00056EAB" w:rsidRPr="005459E6">
        <w:rPr>
          <w:rFonts w:ascii="Times New Roman" w:hAnsi="Times New Roman" w:cs="Times New Roman"/>
        </w:rPr>
        <w:fldChar w:fldCharType="separate"/>
      </w:r>
      <w:r w:rsidR="00056EAB" w:rsidRPr="005459E6">
        <w:rPr>
          <w:rFonts w:ascii="Times New Roman" w:hAnsi="Times New Roman" w:cs="Times New Roman"/>
          <w:noProof/>
        </w:rPr>
        <w:t>(Dryman et al., 2017)</w:t>
      </w:r>
      <w:r w:rsidR="00056EAB" w:rsidRPr="005459E6">
        <w:rPr>
          <w:rFonts w:ascii="Times New Roman" w:hAnsi="Times New Roman" w:cs="Times New Roman"/>
        </w:rPr>
        <w:fldChar w:fldCharType="end"/>
      </w:r>
      <w:r w:rsidR="008B3222" w:rsidRPr="005459E6">
        <w:rPr>
          <w:rFonts w:ascii="Times New Roman" w:hAnsi="Times New Roman" w:cs="Times New Roman"/>
        </w:rPr>
        <w:t>.</w:t>
      </w:r>
      <w:r w:rsidRPr="005459E6">
        <w:rPr>
          <w:rFonts w:ascii="Times New Roman" w:hAnsi="Times New Roman" w:cs="Times New Roman"/>
        </w:rPr>
        <w:t xml:space="preserve">  </w:t>
      </w:r>
      <w:r w:rsidR="008B3222"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{"citationItems":[{"id":"ITEM-1","itemData":{"DOI":"10.1136/ebmh.11.1.5","abstract":"In 1976, psychiatrist Aaron Beck posed this question about a new form of therapy that emphasised changing patients’ dysfunctional cognitions: “Can a fledgling psychotherapy challenge the giants in the field—psychoanalysis and behavior therapy?” (p 333).1 Since that time, cognitive-behavioural therapy (CBT) has emerged as one of the most dominant modes of psychological treatment. In this article, I briefly discuss the factors responsible for the current popularity of CBT, review some of the criticisms that have emerged about the treatment, and describe recent innovative work that may end up changing the nature of CBT in the years to come.Cognitive-behavioural therapy has become increasingly popular with clinicians and the general public alike over recent years. Surveys of therapists indicate that CBT is fast becoming the majority orientation of practicing psychologists.2 Partly because of its commonsense and clear principles, self-help books based on CBT approaches have also come to dominate the market.3 Even media articles frequently extol the virtues of this form of psychotherapy. A recent Washington Post article proclaimed: “For better or worse, cognitive therapy is fast becoming what people mean when they say they are ‘getting therapy’” (p HE01).4What accounts for CBT’s sustained and growing popularity? The short-term, structured nature of the treatment makes it particularly amenable to empirical investigation, and it has accumulated an impressive research base. Butler and colleagues5 report that there are now over 325 clinical trials of CBT for various clinical populations, including mood disorders, anxiety disorders, marital distress, anger, childhood disorders and chronic pain. In an examination of 16 separate meta-analyses of CBT studies, they reported that the treatment produced large effect size improvements compared to control conditions for emotional disorders in adults and adolescents. Furthermore, results indicated that CBT was somewhat superior to antidepressants, and equal in efficacy …","author":[{"dropping-particle":"","family":"Gaudiano","given":"Brandon A","non-dropping-particle":"","parse-names":false,"suffix":""}],"container-title":"Evidence Based Mental Health","id":"ITEM-1","issue":"1","issued":{"date-parts":[["2008","2","1"]]},"page":"5 LP  - 7","title":"Cognitive-behavioural therapies: achievements and challenges","type":"article-journal","volume":"11"},"uris":["http://www.mendeley.com/documents/?uuid=279f47d1-6dad-4dba-ae63-1a0e6da339fa"]}],"mendeley":{"formattedCitation":"(Gaudiano, 2008)","manualFormatting":"Gaudiano (2008)","plainTextFormattedCitation":"(Gaudiano, 2008)","previouslyFormattedCitation":"(Gaudiano, 2008)"},"properties":{"noteIndex":0},"schema":"https://github.com/citation-style-language/schema/raw/master/csl-citation.json"}</w:instrText>
      </w:r>
      <w:r w:rsidR="008B3222" w:rsidRPr="005459E6">
        <w:rPr>
          <w:rFonts w:ascii="Times New Roman" w:hAnsi="Times New Roman" w:cs="Times New Roman"/>
        </w:rPr>
        <w:fldChar w:fldCharType="separate"/>
      </w:r>
      <w:r w:rsidR="008B3222" w:rsidRPr="005459E6">
        <w:rPr>
          <w:rFonts w:ascii="Times New Roman" w:hAnsi="Times New Roman" w:cs="Times New Roman"/>
          <w:noProof/>
        </w:rPr>
        <w:t xml:space="preserve">Gaudiano </w:t>
      </w:r>
      <w:r w:rsidR="00575423" w:rsidRPr="005459E6">
        <w:rPr>
          <w:rFonts w:ascii="Times New Roman" w:hAnsi="Times New Roman" w:cs="Times New Roman"/>
          <w:noProof/>
        </w:rPr>
        <w:t>(</w:t>
      </w:r>
      <w:r w:rsidR="008B3222" w:rsidRPr="005459E6">
        <w:rPr>
          <w:rFonts w:ascii="Times New Roman" w:hAnsi="Times New Roman" w:cs="Times New Roman"/>
          <w:noProof/>
        </w:rPr>
        <w:t>2008)</w:t>
      </w:r>
      <w:r w:rsidR="008B3222" w:rsidRPr="005459E6">
        <w:rPr>
          <w:rFonts w:ascii="Times New Roman" w:hAnsi="Times New Roman" w:cs="Times New Roman"/>
        </w:rPr>
        <w:fldChar w:fldCharType="end"/>
      </w:r>
      <w:r w:rsidR="008B3222" w:rsidRPr="005459E6">
        <w:rPr>
          <w:rFonts w:ascii="Times New Roman" w:hAnsi="Times New Roman" w:cs="Times New Roman"/>
        </w:rPr>
        <w:t xml:space="preserve"> </w:t>
      </w:r>
      <w:r w:rsidRPr="005459E6">
        <w:rPr>
          <w:rFonts w:ascii="Times New Roman" w:hAnsi="Times New Roman" w:cs="Times New Roman"/>
        </w:rPr>
        <w:t>believes that apart from the time Psychotherapies may consume</w:t>
      </w:r>
      <w:r w:rsidR="00410074" w:rsidRPr="005459E6">
        <w:rPr>
          <w:rFonts w:ascii="Times New Roman" w:hAnsi="Times New Roman" w:cs="Times New Roman"/>
        </w:rPr>
        <w:t>,</w:t>
      </w:r>
      <w:r w:rsidRPr="005459E6">
        <w:rPr>
          <w:rFonts w:ascii="Times New Roman" w:hAnsi="Times New Roman" w:cs="Times New Roman"/>
        </w:rPr>
        <w:t xml:space="preserve"> many people may not be able to afford it. Referring to </w:t>
      </w:r>
      <w:r w:rsidR="008B3222"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{"citationItems":[{"id":"ITEM-1","itemData":{"DOI":"10.1186/1472-6963-10-26","ISSN":"14726963","PMID":"20102609","abstract":"Background. A new evidence base is emerging, which focuses on well-being. This makes it possible for health services to orientate around promoting well-being as well as treating illness, and so to make a reality of the long-standing rhetoric that health is more than the absence of illness. The aim of this paper is to support the re-orientation of health services around promoting well-being. Mental health services are used as an example to illustrate the new knowledge skills which will be needed by health professionals. Discussion. New forms of evidence give a triangulated understanding about the promotion of well-being in mental health services. The academic discipline of positive psychology is developing evidence-based interventions to improve well-being. This complements the results emerging from synthesising narratives about recovery from mental illness, which provide ecologically valid insights into the processes by which people experiencing mental illness can develop a purposeful and meaningful life. The implications for health professionals are explored. In relation to working with individuals, more emphasis on the person's own goals and strengths will be needed, with integration of interventions which promote well-being into routine clinical practice. In addition, a more societally-focussed role for professionals is envisaged, in which a central part of the job is to influence local and national policies and practices that impact on well-being. Summary. If health services are to give primacy to increasing well-being, rather than to treating illness, then health workers need new approaches to working with individuals. For mental health services, this will involve the incorporation of emerging knowledge from recovery and from positive psychology into education and training for all mental health professionals, and changes to some long-established working practices. © 2010 Slade.","author":[{"dropping-particle":"","family":"Slade","given":"Mike","non-dropping-particle":"","parse-names":false,"suffix":""}],"container-title":"BMC Health Services Research","id":"ITEM-1","issued":{"date-parts":[["2010"]]},"title":"Mental illness and well-being: The central importance of positive psychology and recovery approaches","type":"article-journal","volume":"10"},"uris":["http://www.mendeley.com/documents/?uuid=06ad38fe-01bc-4edf-9747-3eac01975f3c"]}],"mendeley":{"formattedCitation":"(Slade, 2010)","manualFormatting":"Slade (2010)","plainTextFormattedCitation":"(Slade, 2010)","previouslyFormattedCitation":"(Slade, 2010)"},"properties":{"noteIndex":0},"schema":"https://github.com/citation-style-language/schema/raw/master/csl-citation.json"}</w:instrText>
      </w:r>
      <w:r w:rsidR="008B3222" w:rsidRPr="005459E6">
        <w:rPr>
          <w:rFonts w:ascii="Times New Roman" w:hAnsi="Times New Roman" w:cs="Times New Roman"/>
        </w:rPr>
        <w:fldChar w:fldCharType="separate"/>
      </w:r>
      <w:r w:rsidR="008B3222" w:rsidRPr="005459E6">
        <w:rPr>
          <w:rFonts w:ascii="Times New Roman" w:hAnsi="Times New Roman" w:cs="Times New Roman"/>
          <w:noProof/>
        </w:rPr>
        <w:t xml:space="preserve">Slade </w:t>
      </w:r>
      <w:r w:rsidR="00575423" w:rsidRPr="005459E6">
        <w:rPr>
          <w:rFonts w:ascii="Times New Roman" w:hAnsi="Times New Roman" w:cs="Times New Roman"/>
          <w:noProof/>
        </w:rPr>
        <w:t>(</w:t>
      </w:r>
      <w:r w:rsidR="008B3222" w:rsidRPr="005459E6">
        <w:rPr>
          <w:rFonts w:ascii="Times New Roman" w:hAnsi="Times New Roman" w:cs="Times New Roman"/>
          <w:noProof/>
        </w:rPr>
        <w:t>2010)</w:t>
      </w:r>
      <w:r w:rsidR="008B3222" w:rsidRPr="005459E6">
        <w:rPr>
          <w:rFonts w:ascii="Times New Roman" w:hAnsi="Times New Roman" w:cs="Times New Roman"/>
        </w:rPr>
        <w:fldChar w:fldCharType="end"/>
      </w:r>
      <w:r w:rsidR="008B3222" w:rsidRPr="005459E6">
        <w:rPr>
          <w:rFonts w:ascii="Times New Roman" w:hAnsi="Times New Roman" w:cs="Times New Roman"/>
        </w:rPr>
        <w:t xml:space="preserve">, </w:t>
      </w:r>
      <w:r w:rsidRPr="005459E6">
        <w:rPr>
          <w:rFonts w:ascii="Times New Roman" w:hAnsi="Times New Roman" w:cs="Times New Roman"/>
        </w:rPr>
        <w:t xml:space="preserve">health practitioners should devise different treatment approaches to promote well-being. Keeping that in mind, the presented research looks forward to augmenting – by expediting and expanding – the approach toward Psychotherapy. To achieve this, it makes use of the convergence of technologies </w:t>
      </w:r>
      <w:r w:rsidR="007A6846" w:rsidRPr="005459E6">
        <w:rPr>
          <w:rFonts w:ascii="Times New Roman" w:hAnsi="Times New Roman" w:cs="Times New Roman"/>
        </w:rPr>
        <w:t xml:space="preserve">(such as AI &amp; IoMT) </w:t>
      </w:r>
      <w:r w:rsidRPr="005459E6">
        <w:rPr>
          <w:rFonts w:ascii="Times New Roman" w:hAnsi="Times New Roman" w:cs="Times New Roman"/>
        </w:rPr>
        <w:t xml:space="preserve">and </w:t>
      </w:r>
      <w:r w:rsidR="00C66D9A" w:rsidRPr="005459E6">
        <w:rPr>
          <w:rFonts w:ascii="Times New Roman" w:hAnsi="Times New Roman" w:cs="Times New Roman"/>
        </w:rPr>
        <w:t>Electroencephalograph (EEG)</w:t>
      </w:r>
      <w:r w:rsidRPr="005459E6">
        <w:rPr>
          <w:rFonts w:ascii="Times New Roman" w:hAnsi="Times New Roman" w:cs="Times New Roman"/>
        </w:rPr>
        <w:t xml:space="preserve"> to depict a</w:t>
      </w:r>
      <w:r w:rsidR="007A6846" w:rsidRPr="005459E6">
        <w:rPr>
          <w:rFonts w:ascii="Times New Roman" w:hAnsi="Times New Roman" w:cs="Times New Roman"/>
        </w:rPr>
        <w:t>n experimental</w:t>
      </w:r>
      <w:r w:rsidRPr="005459E6">
        <w:rPr>
          <w:rFonts w:ascii="Times New Roman" w:hAnsi="Times New Roman" w:cs="Times New Roman"/>
        </w:rPr>
        <w:t xml:space="preserve"> treatment protocol</w:t>
      </w:r>
      <w:r w:rsidR="007A6846" w:rsidRPr="005459E6">
        <w:rPr>
          <w:rFonts w:ascii="Times New Roman" w:hAnsi="Times New Roman" w:cs="Times New Roman"/>
        </w:rPr>
        <w:t xml:space="preserve"> driven by Machine Learning</w:t>
      </w:r>
      <w:r w:rsidRPr="005459E6">
        <w:rPr>
          <w:rFonts w:ascii="Times New Roman" w:hAnsi="Times New Roman" w:cs="Times New Roman"/>
        </w:rPr>
        <w:t xml:space="preserve">. </w:t>
      </w:r>
      <w:r w:rsidR="00C66D9A" w:rsidRPr="005459E6">
        <w:rPr>
          <w:rFonts w:ascii="Times New Roman" w:hAnsi="Times New Roman" w:cs="Times New Roman"/>
        </w:rPr>
        <w:t>Such an approach is</w:t>
      </w:r>
      <w:r w:rsidRPr="005459E6">
        <w:rPr>
          <w:rFonts w:ascii="Times New Roman" w:hAnsi="Times New Roman" w:cs="Times New Roman"/>
        </w:rPr>
        <w:t xml:space="preserve"> in line with a need to consider the impact that smart technologies and networked devices have on the actors</w:t>
      </w:r>
      <w:r w:rsidR="007A6846" w:rsidRPr="005459E6">
        <w:rPr>
          <w:rFonts w:ascii="Times New Roman" w:hAnsi="Times New Roman" w:cs="Times New Roman"/>
        </w:rPr>
        <w:t xml:space="preserve"> </w:t>
      </w:r>
      <w:r w:rsidR="008B3222" w:rsidRPr="005459E6">
        <w:rPr>
          <w:rFonts w:ascii="Times New Roman" w:hAnsi="Times New Roman" w:cs="Times New Roman"/>
        </w:rPr>
        <w:fldChar w:fldCharType="begin" w:fldLock="1"/>
      </w:r>
      <w:r w:rsidR="00BE5DDB">
        <w:rPr>
          <w:rFonts w:ascii="Times New Roman" w:hAnsi="Times New Roman" w:cs="Times New Roman"/>
        </w:rPr>
        <w:instrText>ADDIN CSL_CITATION {"citationItems":[{"id":"ITEM-1","itemData":{"DOI":"10.1016/j.indmarman.2010.06.026","ISSN":"00198501","abstract":"The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Management","id":"ITEM-1","issue":"2","issued":{"date-parts":[["2011"]]},"page":"181-187","publisher":"Elsevier Inc.","title":"It's all B2B...and beyond: Toward a systems perspective of the market","type":"article-journal","volume":"40"},"uris":["http://www.mendeley.com/documents/?uuid=a97ea4e2-4b0b-4720-83c3-c42ff3bce304"]},{"id":"ITEM-2","itemData":{"author":[{"dropping-particle":"","family":"Joiner","given":"Keith","non-dropping-particle":"","parse-names":false,"suffix":""},{"dropping-particle":"","family":"Lusch","given":"Robert","non-dropping-particle":"","parse-names":false,"suffix":""}],"container-title":"Australian Health Review","id":"ITEM-2","issued":{"date-parts":[["2015"]]},"publisher":"CSIRO","title":"Evolving to a Service-Dominant Logic for Health","type":"article-journal"},"uris":["http://www.mendeley.com/documents/?uuid=74f609b9-bc1f-4e11-be1d-f186bac6b9d4"]}],"mendeley":{"formattedCitation":"(Joiner &amp; Lusch, 2015; S. L. Vargo &amp; Lusch, 2011)","manualFormatting":"(Joiner &amp; Lusch, 2015; Vargo &amp; Lusch, 2011)","plainTextFormattedCitation":"(Joiner &amp; Lusch, 2015; S. L. Vargo &amp; Lusch, 2011)","previouslyFormattedCitation":"(Joiner &amp; Lusch, 2015; S. L. Vargo &amp; Lusch, 2011)"},"properties":{"noteIndex":0},"schema":"https://github.com/citation-style-language/schema/raw/master/csl-citation.json"}</w:instrText>
      </w:r>
      <w:r w:rsidR="008B3222" w:rsidRPr="005459E6">
        <w:rPr>
          <w:rFonts w:ascii="Times New Roman" w:hAnsi="Times New Roman" w:cs="Times New Roman"/>
        </w:rPr>
        <w:fldChar w:fldCharType="separate"/>
      </w:r>
      <w:r w:rsidR="000B0CE8" w:rsidRPr="005459E6">
        <w:rPr>
          <w:rFonts w:ascii="Times New Roman" w:hAnsi="Times New Roman" w:cs="Times New Roman"/>
          <w:noProof/>
        </w:rPr>
        <w:t>(Joiner &amp; Lusch, 2015; Vargo &amp; Lusch, 2011)</w:t>
      </w:r>
      <w:r w:rsidR="008B3222" w:rsidRPr="005459E6">
        <w:rPr>
          <w:rFonts w:ascii="Times New Roman" w:hAnsi="Times New Roman" w:cs="Times New Roman"/>
        </w:rPr>
        <w:fldChar w:fldCharType="end"/>
      </w:r>
      <w:r w:rsidR="00FF3DAA" w:rsidRPr="005459E6">
        <w:rPr>
          <w:rFonts w:ascii="Times New Roman" w:hAnsi="Times New Roman" w:cs="Times New Roman"/>
        </w:rPr>
        <w:t>.</w:t>
      </w:r>
    </w:p>
    <w:p w14:paraId="51771EF9" w14:textId="6D200A29" w:rsidR="00BB50E1" w:rsidRPr="005459E6" w:rsidRDefault="00410074" w:rsidP="00042CB0">
      <w:pPr>
        <w:spacing w:line="360" w:lineRule="auto"/>
        <w:jc w:val="both"/>
        <w:rPr>
          <w:rFonts w:ascii="Times New Roman" w:hAnsi="Times New Roman" w:cs="Times New Roman"/>
        </w:rPr>
      </w:pPr>
      <w:r w:rsidRPr="005459E6">
        <w:rPr>
          <w:rFonts w:ascii="Times New Roman" w:hAnsi="Times New Roman" w:cs="Times New Roman"/>
        </w:rPr>
        <w:t>Since</w:t>
      </w:r>
      <w:r w:rsidR="00C17C6A" w:rsidRPr="005459E6">
        <w:rPr>
          <w:rFonts w:ascii="Times New Roman" w:hAnsi="Times New Roman" w:cs="Times New Roman"/>
        </w:rPr>
        <w:t xml:space="preserve"> the industrial revolution, studies have observed that people spend </w:t>
      </w:r>
      <w:r w:rsidR="00A50A88" w:rsidRPr="005459E6">
        <w:rPr>
          <w:rFonts w:ascii="Times New Roman" w:hAnsi="Times New Roman" w:cs="Times New Roman"/>
        </w:rPr>
        <w:t xml:space="preserve">a </w:t>
      </w:r>
      <w:r w:rsidR="00C17C6A" w:rsidRPr="005459E6">
        <w:rPr>
          <w:rFonts w:ascii="Times New Roman" w:hAnsi="Times New Roman" w:cs="Times New Roman"/>
        </w:rPr>
        <w:t xml:space="preserve">considerable amount of time at their respective workplaces. The disruption caused by Covid-19 and changes made to </w:t>
      </w:r>
      <w:r w:rsidR="00A50A88" w:rsidRPr="005459E6">
        <w:rPr>
          <w:rFonts w:ascii="Times New Roman" w:hAnsi="Times New Roman" w:cs="Times New Roman"/>
        </w:rPr>
        <w:t xml:space="preserve">the </w:t>
      </w:r>
      <w:r w:rsidR="00C17C6A" w:rsidRPr="005459E6">
        <w:rPr>
          <w:rFonts w:ascii="Times New Roman" w:hAnsi="Times New Roman" w:cs="Times New Roman"/>
        </w:rPr>
        <w:t>workplace environment</w:t>
      </w:r>
      <w:r w:rsidR="00A50A88" w:rsidRPr="005459E6">
        <w:rPr>
          <w:rFonts w:ascii="Times New Roman" w:hAnsi="Times New Roman" w:cs="Times New Roman"/>
        </w:rPr>
        <w:t>,</w:t>
      </w:r>
      <w:r w:rsidR="00C17C6A" w:rsidRPr="005459E6">
        <w:rPr>
          <w:rFonts w:ascii="Times New Roman" w:hAnsi="Times New Roman" w:cs="Times New Roman"/>
        </w:rPr>
        <w:t xml:space="preserve"> including Work from Home (WFH)</w:t>
      </w:r>
      <w:r w:rsidR="004970FE" w:rsidRPr="005459E6">
        <w:rPr>
          <w:rFonts w:ascii="Times New Roman" w:hAnsi="Times New Roman" w:cs="Times New Roman"/>
        </w:rPr>
        <w:t>,</w:t>
      </w:r>
      <w:r w:rsidR="00C17C6A" w:rsidRPr="005459E6">
        <w:rPr>
          <w:rFonts w:ascii="Times New Roman" w:hAnsi="Times New Roman" w:cs="Times New Roman"/>
        </w:rPr>
        <w:t xml:space="preserve"> has led to careful consideration of workplace productivity. The tools used for reporting and enhancing workplace productivity are not automated and mostly depend on the means of reporting by the employee. Lack of well</w:t>
      </w:r>
      <w:r w:rsidR="0056679D" w:rsidRPr="005459E6">
        <w:rPr>
          <w:rFonts w:ascii="Times New Roman" w:hAnsi="Times New Roman" w:cs="Times New Roman"/>
        </w:rPr>
        <w:t>-</w:t>
      </w:r>
      <w:r w:rsidR="00C17C6A" w:rsidRPr="005459E6">
        <w:rPr>
          <w:rFonts w:ascii="Times New Roman" w:hAnsi="Times New Roman" w:cs="Times New Roman"/>
        </w:rPr>
        <w:t xml:space="preserve">being may also affect business organizations </w:t>
      </w:r>
      <w:r w:rsidRPr="005459E6">
        <w:rPr>
          <w:rFonts w:ascii="Times New Roman" w:hAnsi="Times New Roman" w:cs="Times New Roman"/>
        </w:rPr>
        <w:t>which</w:t>
      </w:r>
      <w:r w:rsidR="00C17C6A" w:rsidRPr="005459E6">
        <w:rPr>
          <w:rFonts w:ascii="Times New Roman" w:hAnsi="Times New Roman" w:cs="Times New Roman"/>
        </w:rPr>
        <w:t xml:space="preserve"> could result in </w:t>
      </w:r>
      <w:r w:rsidRPr="005459E6">
        <w:rPr>
          <w:rFonts w:ascii="Times New Roman" w:hAnsi="Times New Roman" w:cs="Times New Roman"/>
        </w:rPr>
        <w:t xml:space="preserve">a </w:t>
      </w:r>
      <w:r w:rsidR="00A50A88" w:rsidRPr="005459E6">
        <w:rPr>
          <w:rFonts w:ascii="Times New Roman" w:hAnsi="Times New Roman" w:cs="Times New Roman"/>
        </w:rPr>
        <w:t>l</w:t>
      </w:r>
      <w:r w:rsidR="00C17C6A" w:rsidRPr="005459E6">
        <w:rPr>
          <w:rFonts w:ascii="Times New Roman" w:hAnsi="Times New Roman" w:cs="Times New Roman"/>
        </w:rPr>
        <w:t xml:space="preserve">oss of workplace productivity </w:t>
      </w:r>
      <w:r w:rsidR="005F479A" w:rsidRPr="005459E6">
        <w:rPr>
          <w:rFonts w:ascii="Times New Roman" w:hAnsi="Times New Roman" w:cs="Times New Roman"/>
        </w:rPr>
        <w:fldChar w:fldCharType="begin" w:fldLock="1"/>
      </w:r>
      <w:r w:rsidR="005F479A" w:rsidRPr="005459E6">
        <w:rPr>
          <w:rFonts w:ascii="Times New Roman" w:hAnsi="Times New Roman" w:cs="Times New Roman"/>
        </w:rPr>
        <w:instrText>ADDIN CSL_CITATION {"citationItems":[{"id":"ITEM-1","itemData":{"ISSN":"1076-2752","author":[{"dropping-particle":"","family":"Rosekind","given":"Mark R","non-dropping-particle":"","parse-names":false,"suffix":""},{"dropping-particle":"","family":"Gregory","given":"Kevin B","non-dropping-particle":"","parse-names":false,"suffix":""},{"dropping-particle":"","family":"Mallis","given":"Melissa M","non-dropping-particle":"","parse-names":false,"suffix":""},{"dropping-particle":"","family":"Brandt","given":"Summer L","non-dropping-particle":"","parse-names":false,"suffix":""},{"dropping-particle":"","family":"Seal","given":"Brian","non-dropping-particle":"","parse-names":false,"suffix":""},{"dropping-particle":"","family":"Lerner","given":"Debra","non-dropping-particle":"","parse-names":false,"suffix":""}],"container-title":"Journal of Occupational and Environmental Medicine","id":"ITEM-1","issued":{"date-parts":[["2010"]]},"page":"91-98","publisher":"JSTOR","title":"The cost of poor sleep: workplace productivity loss and associated costs","type":"article-journal"},"uris":["http://www.mendeley.com/documents/?uuid=73c1c9af-63c6-4452-a3d5-56375c10d396"]}],"mendeley":{"formattedCitation":"(Rosekind et al., 2010)","plainTextFormattedCitation":"(Rosekind et al., 2010)","previouslyFormattedCitation":"(Rosekind et al., 2010)"},"properties":{"noteIndex":0},"schema":"https://github.com/citation-style-language/schema/raw/master/csl-citation.json"}</w:instrText>
      </w:r>
      <w:r w:rsidR="005F479A" w:rsidRPr="005459E6">
        <w:rPr>
          <w:rFonts w:ascii="Times New Roman" w:hAnsi="Times New Roman" w:cs="Times New Roman"/>
        </w:rPr>
        <w:fldChar w:fldCharType="separate"/>
      </w:r>
      <w:r w:rsidR="005F479A" w:rsidRPr="005459E6">
        <w:rPr>
          <w:rFonts w:ascii="Times New Roman" w:hAnsi="Times New Roman" w:cs="Times New Roman"/>
          <w:noProof/>
        </w:rPr>
        <w:t>(Rosekind et al., 2010)</w:t>
      </w:r>
      <w:r w:rsidR="005F479A" w:rsidRPr="005459E6">
        <w:rPr>
          <w:rFonts w:ascii="Times New Roman" w:hAnsi="Times New Roman" w:cs="Times New Roman"/>
        </w:rPr>
        <w:fldChar w:fldCharType="end"/>
      </w:r>
      <w:r w:rsidR="005F479A" w:rsidRPr="005459E6">
        <w:rPr>
          <w:rFonts w:ascii="Times New Roman" w:hAnsi="Times New Roman" w:cs="Times New Roman"/>
        </w:rPr>
        <w:t xml:space="preserve">. </w:t>
      </w:r>
      <w:r w:rsidR="00C16ABF" w:rsidRPr="005459E6">
        <w:rPr>
          <w:rFonts w:ascii="Times New Roman" w:hAnsi="Times New Roman" w:cs="Times New Roman"/>
        </w:rPr>
        <w:t>Employers and organi</w:t>
      </w:r>
      <w:r w:rsidR="001D1AD4" w:rsidRPr="005459E6">
        <w:rPr>
          <w:rFonts w:ascii="Times New Roman" w:hAnsi="Times New Roman" w:cs="Times New Roman"/>
        </w:rPr>
        <w:t>z</w:t>
      </w:r>
      <w:r w:rsidR="00C16ABF" w:rsidRPr="005459E6">
        <w:rPr>
          <w:rFonts w:ascii="Times New Roman" w:hAnsi="Times New Roman" w:cs="Times New Roman"/>
        </w:rPr>
        <w:t xml:space="preserve">ations are directly impacted by psychological disorders that not only give rise to increased absenteeism but also have a negative impact on workplace productivity. This pushes the revenues and </w:t>
      </w:r>
      <w:r w:rsidR="001D1AD4" w:rsidRPr="005459E6">
        <w:rPr>
          <w:rFonts w:ascii="Times New Roman" w:hAnsi="Times New Roman" w:cs="Times New Roman"/>
        </w:rPr>
        <w:t>increases</w:t>
      </w:r>
      <w:r w:rsidR="00C16ABF" w:rsidRPr="005459E6">
        <w:rPr>
          <w:rFonts w:ascii="Times New Roman" w:hAnsi="Times New Roman" w:cs="Times New Roman"/>
        </w:rPr>
        <w:t xml:space="preserve"> spending to address such problems. Furthermore, they </w:t>
      </w:r>
      <w:r w:rsidR="00375B91" w:rsidRPr="005459E6">
        <w:rPr>
          <w:rFonts w:ascii="Times New Roman" w:hAnsi="Times New Roman" w:cs="Times New Roman"/>
        </w:rPr>
        <w:t xml:space="preserve">can also </w:t>
      </w:r>
      <w:r w:rsidR="00C16ABF" w:rsidRPr="005459E6">
        <w:rPr>
          <w:rFonts w:ascii="Times New Roman" w:hAnsi="Times New Roman" w:cs="Times New Roman"/>
        </w:rPr>
        <w:t xml:space="preserve">have a negative impact on employee morale </w:t>
      </w:r>
      <w:r w:rsidR="00FF3DAA" w:rsidRPr="005459E6">
        <w:rPr>
          <w:rFonts w:ascii="Times New Roman" w:hAnsi="Times New Roman" w:cs="Times New Roman"/>
        </w:rPr>
        <w:fldChar w:fldCharType="begin" w:fldLock="1"/>
      </w:r>
      <w:r w:rsidR="005F479A" w:rsidRPr="005459E6">
        <w:rPr>
          <w:rFonts w:ascii="Times New Roman" w:hAnsi="Times New Roman" w:cs="Times New Roman"/>
        </w:rPr>
        <w:instrText>ADDIN CSL_CITATION {"citationItems":[{"id":"ITEM-1","itemData":{"DOI":"10.4103/0019-5278.75691","ISSN":"1998-3670","author":[{"dropping-particle":"","family":"Rajgopal","given":"T","non-dropping-particle":"","parse-names":false,"suffix":""}],"container-title":"Indian journal of occupational and environmental medicine","id":"ITEM-1","issue":"3","issued":{"date-parts":[["2010","9"]]},"language":"eng","page":"63-65","publisher":"Medknow Publications","title":"Mental well-being at the workplace","type":"article-journal","volume":"14"},"uris":["http://www.mendeley.com/documents/?uuid=e7dbbf17-3246-4df0-8c72-3dda2df24d18"]}],"mendeley":{"formattedCitation":"(Rajgopal, 2010)","plainTextFormattedCitation":"(Rajgopal, 2010)","previouslyFormattedCitation":"(Rajgopal, 2010)"},"properties":{"noteIndex":0},"schema":"https://github.com/citation-style-language/schema/raw/master/csl-citation.json"}</w:instrText>
      </w:r>
      <w:r w:rsidR="00FF3DAA" w:rsidRPr="005459E6">
        <w:rPr>
          <w:rFonts w:ascii="Times New Roman" w:hAnsi="Times New Roman" w:cs="Times New Roman"/>
        </w:rPr>
        <w:fldChar w:fldCharType="separate"/>
      </w:r>
      <w:r w:rsidR="00FF3DAA" w:rsidRPr="005459E6">
        <w:rPr>
          <w:rFonts w:ascii="Times New Roman" w:hAnsi="Times New Roman" w:cs="Times New Roman"/>
          <w:noProof/>
        </w:rPr>
        <w:t>(Rajgopal, 2010)</w:t>
      </w:r>
      <w:r w:rsidR="00FF3DAA" w:rsidRPr="005459E6">
        <w:rPr>
          <w:rFonts w:ascii="Times New Roman" w:hAnsi="Times New Roman" w:cs="Times New Roman"/>
        </w:rPr>
        <w:fldChar w:fldCharType="end"/>
      </w:r>
      <w:r w:rsidR="00FF3DAA" w:rsidRPr="005459E6">
        <w:rPr>
          <w:rFonts w:ascii="Times New Roman" w:hAnsi="Times New Roman" w:cs="Times New Roman"/>
        </w:rPr>
        <w:t>.</w:t>
      </w:r>
    </w:p>
    <w:p w14:paraId="494ABE8C" w14:textId="441DCEA4" w:rsidR="00C17C6A" w:rsidRPr="005459E6" w:rsidRDefault="00C17C6A" w:rsidP="00042CB0">
      <w:pPr>
        <w:pStyle w:val="Titolo2"/>
        <w:spacing w:line="360" w:lineRule="auto"/>
        <w:jc w:val="both"/>
        <w:rPr>
          <w:rFonts w:ascii="Times New Roman" w:hAnsi="Times New Roman" w:cs="Times New Roman"/>
          <w:color w:val="auto"/>
          <w:sz w:val="22"/>
          <w:szCs w:val="22"/>
        </w:rPr>
      </w:pPr>
      <w:bookmarkStart w:id="114" w:name="_Toc73129004"/>
      <w:bookmarkStart w:id="115" w:name="_Toc85542410"/>
      <w:bookmarkStart w:id="116" w:name="_Toc87349493"/>
      <w:bookmarkStart w:id="117" w:name="_Toc87349606"/>
      <w:bookmarkStart w:id="118" w:name="_Toc87349713"/>
      <w:bookmarkStart w:id="119" w:name="_Toc107248288"/>
      <w:r w:rsidRPr="005459E6">
        <w:rPr>
          <w:rFonts w:ascii="Times New Roman" w:hAnsi="Times New Roman" w:cs="Times New Roman"/>
          <w:color w:val="auto"/>
          <w:sz w:val="22"/>
          <w:szCs w:val="22"/>
        </w:rPr>
        <w:t>Research Gap</w:t>
      </w:r>
      <w:bookmarkEnd w:id="114"/>
      <w:bookmarkEnd w:id="115"/>
      <w:bookmarkEnd w:id="116"/>
      <w:bookmarkEnd w:id="117"/>
      <w:bookmarkEnd w:id="118"/>
      <w:bookmarkEnd w:id="119"/>
      <w:r w:rsidRPr="005459E6">
        <w:rPr>
          <w:rFonts w:ascii="Times New Roman" w:hAnsi="Times New Roman" w:cs="Times New Roman"/>
          <w:color w:val="auto"/>
          <w:sz w:val="22"/>
          <w:szCs w:val="22"/>
        </w:rPr>
        <w:t xml:space="preserve"> </w:t>
      </w:r>
    </w:p>
    <w:p w14:paraId="3F755256" w14:textId="6BB102DB" w:rsidR="00CF5E92" w:rsidRPr="005459E6" w:rsidRDefault="00CF5E92" w:rsidP="00CF5E92">
      <w:pPr>
        <w:pStyle w:val="NormaleWeb"/>
        <w:spacing w:line="360" w:lineRule="auto"/>
        <w:jc w:val="both"/>
        <w:rPr>
          <w:sz w:val="22"/>
          <w:szCs w:val="22"/>
        </w:rPr>
      </w:pPr>
      <w:r w:rsidRPr="005459E6">
        <w:rPr>
          <w:sz w:val="22"/>
          <w:szCs w:val="22"/>
        </w:rPr>
        <w:t>Health services research is a multidisciplinary field requiring an in-depth understanding and knowledge of social variables, organizational structures and procedures, health technologies, as well as human behaviors. It consider</w:t>
      </w:r>
      <w:r w:rsidR="00C62BDA" w:rsidRPr="005459E6">
        <w:rPr>
          <w:sz w:val="22"/>
          <w:szCs w:val="22"/>
        </w:rPr>
        <w:t>s</w:t>
      </w:r>
      <w:r w:rsidRPr="005459E6">
        <w:rPr>
          <w:sz w:val="22"/>
          <w:szCs w:val="22"/>
        </w:rPr>
        <w:t xml:space="preserve"> how the issues affect access, quality, and cost of health care, as well as individual well-being </w:t>
      </w:r>
      <w:r w:rsidRPr="005459E6">
        <w:rPr>
          <w:sz w:val="22"/>
          <w:szCs w:val="22"/>
        </w:rPr>
        <w:fldChar w:fldCharType="begin" w:fldLock="1"/>
      </w:r>
      <w:r w:rsidRPr="005459E6">
        <w:rPr>
          <w:sz w:val="22"/>
          <w:szCs w:val="22"/>
        </w:rPr>
        <w:instrText>ADDIN CSL_CITATION {"citationItems":[{"id":"ITEM-1","itemData":{"ISBN":"1587633531, 1587633531, 1587633531, 158763354X, 1587633531, 1587633558, 9781587633539, 9781587633546, 9781587633553","author":[{"dropping-particle":"","family":"Hughes","given":"Ronda","non-dropping-particle":"","parse-names":false,"suffix":""},{"dropping-particle":"","family":"States","given":"Agency for Healthcare Research and Quality. United","non-dropping-particle":"","parse-names":false,"suffix":""}],"container-title":"Patient safety and quality : an evidence-based handbook for nurses","id":"ITEM-1","issued":{"date-parts":[["2008"]]},"page":"163-178","title":"Health services research Scope and Significance","type":"article-journal"},"uris":["http://www.mendeley.com/documents/?uuid=882485ad-ad44-4b26-8e60-bd4941db2dfe"]}],"mendeley":{"formattedCitation":"(Hughes &amp; States, 2008)","plainTextFormattedCitation":"(Hughes &amp; States, 2008)","previouslyFormattedCitation":"(Hughes &amp; States, 2008)"},"properties":{"noteIndex":0},"schema":"https://github.com/citation-style-language/schema/raw/master/csl-citation.json"}</w:instrText>
      </w:r>
      <w:r w:rsidRPr="005459E6">
        <w:rPr>
          <w:sz w:val="22"/>
          <w:szCs w:val="22"/>
        </w:rPr>
        <w:fldChar w:fldCharType="separate"/>
      </w:r>
      <w:r w:rsidRPr="005459E6">
        <w:rPr>
          <w:noProof/>
          <w:sz w:val="22"/>
          <w:szCs w:val="22"/>
        </w:rPr>
        <w:t>(Hughes &amp; States, 2008)</w:t>
      </w:r>
      <w:r w:rsidRPr="005459E6">
        <w:rPr>
          <w:sz w:val="22"/>
          <w:szCs w:val="22"/>
        </w:rPr>
        <w:fldChar w:fldCharType="end"/>
      </w:r>
      <w:r w:rsidRPr="005459E6">
        <w:rPr>
          <w:sz w:val="22"/>
          <w:szCs w:val="22"/>
        </w:rPr>
        <w:t xml:space="preserve">. The issue of providing high-quality, low-cost health care is becoming increasingly </w:t>
      </w:r>
      <w:r w:rsidR="00FE2F26" w:rsidRPr="005459E6">
        <w:rPr>
          <w:sz w:val="22"/>
          <w:szCs w:val="22"/>
        </w:rPr>
        <w:t>complex</w:t>
      </w:r>
      <w:r w:rsidRPr="005459E6">
        <w:rPr>
          <w:sz w:val="22"/>
          <w:szCs w:val="22"/>
        </w:rPr>
        <w:t xml:space="preserve">. Because of the complexities of healthcare services and systems, analyzing and interpreting their use becomes a priority, and healthcare service outcomes appear to be the key </w:t>
      </w:r>
      <w:r w:rsidR="00F42435" w:rsidRPr="005459E6">
        <w:rPr>
          <w:sz w:val="22"/>
          <w:szCs w:val="22"/>
        </w:rPr>
        <w:t>to</w:t>
      </w:r>
      <w:r w:rsidRPr="005459E6">
        <w:rPr>
          <w:sz w:val="22"/>
          <w:szCs w:val="22"/>
        </w:rPr>
        <w:t xml:space="preserve"> making decisions </w:t>
      </w:r>
      <w:r w:rsidRPr="005459E6">
        <w:rPr>
          <w:sz w:val="22"/>
          <w:szCs w:val="22"/>
        </w:rPr>
        <w:fldChar w:fldCharType="begin" w:fldLock="1"/>
      </w:r>
      <w:r w:rsidRPr="005459E6">
        <w:rPr>
          <w:sz w:val="22"/>
          <w:szCs w:val="22"/>
        </w:rPr>
        <w:instrText>ADDIN CSL_CITATION {"citationItems":[{"id":"ITEM-1","itemData":{"DOI":"10.1111/1475-6773.01020","ISSN":"0017-9124","PMID":"11949927","abstract":"Focuses on the definition of health services research adopted by the U.S.-based Association for Health Services Research to reflect its evolution and sophistication. Structure, processes and effects of personal health services; Function as multidisciplinary field of inquiry that examines the use, cost, quality, accessibility, delivery, organization, financing and outcomes.","author":[{"dropping-particle":"","family":"Lohr","given":"Kathleen N","non-dropping-particle":"","parse-names":false,"suffix":""},{"dropping-particle":"","family":"Steinwachs","given":"Donald M","non-dropping-particle":"","parse-names":false,"suffix":""}],"container-title":"Health Services Research","id":"ITEM-1","issue":"1","issued":{"date-parts":[["2002"]]},"page":"15-17","title":"Health Services Research: An Evolving Definition of the Field","type":"article-journal","volume":"37"},"uris":["http://www.mendeley.com/documents/?uuid=9388b842-db6a-4b60-b181-202db76fe719"]}],"mendeley":{"formattedCitation":"(Lohr &amp; Steinwachs, 2002)","plainTextFormattedCitation":"(Lohr &amp; Steinwachs, 2002)","previouslyFormattedCitation":"(Lohr &amp; Steinwachs, 2002)"},"properties":{"noteIndex":0},"schema":"https://github.com/citation-style-language/schema/raw/master/csl-citation.json"}</w:instrText>
      </w:r>
      <w:r w:rsidRPr="005459E6">
        <w:rPr>
          <w:sz w:val="22"/>
          <w:szCs w:val="22"/>
        </w:rPr>
        <w:fldChar w:fldCharType="separate"/>
      </w:r>
      <w:r w:rsidRPr="005459E6">
        <w:rPr>
          <w:noProof/>
          <w:sz w:val="22"/>
          <w:szCs w:val="22"/>
        </w:rPr>
        <w:t>(Lohr &amp; Steinwachs, 2002)</w:t>
      </w:r>
      <w:r w:rsidRPr="005459E6">
        <w:rPr>
          <w:sz w:val="22"/>
          <w:szCs w:val="22"/>
        </w:rPr>
        <w:fldChar w:fldCharType="end"/>
      </w:r>
      <w:r w:rsidRPr="005459E6">
        <w:rPr>
          <w:sz w:val="22"/>
          <w:szCs w:val="22"/>
        </w:rPr>
        <w:t>.</w:t>
      </w:r>
    </w:p>
    <w:p w14:paraId="1729639A" w14:textId="77CD9918" w:rsidR="0004521F" w:rsidRPr="005459E6" w:rsidRDefault="0004521F" w:rsidP="0004521F">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{"citationItems":[{"id":"ITEM-1","itemData":{"DOI":"10.1111/inm.12189","ISSN":"14470349","PMID":"26856981","abstract":"Compromised physical health and raised levels of morbidity and mortality are experienced by young people (16–24 years) with mental illness, and are compounded by psychotropic medication. How this group conceives and experiences physical health is not well understood. We investigated the meanings, beliefs, and endeavours of young people that impact their physical health understandings and behaviours. The present study formed the qualitative phase of a sequential mixed-methods study, and incorporated semistructured interviews with 12 hospitalized young people. Qualitative content analysis was used to analyse data. Participants held a holistic ideal of physical health that they did not meet. Weight change, poor sleep, and limited exercise adversely impacted their lives and self-image. Sedentary behaviour, reduced energy, and limited health literacy compromised effective management of physical health. Young people needed structure and support to assist them in addressing their physical health needs when amotivation overwhelmed their internal resources. Nurses are well placed to help young people increase their competency for health management. Individualized information and methods to promote good physical health are required for this group in jeopardy from physical morbidity and mortality.","author":[{"dropping-particle":"","family":"McCloughen","given":"Andrea","non-dropping-particle":"","parse-names":false,"suffix":""},{"dropping-particle":"","family":"Foster","given":"Kim","non-dropping-particle":"","parse-names":false,"suffix":""},{"dropping-particle":"","family":"Kerley","given":"David","non-dropping-particle":"","parse-names":false,"suffix":""},{"dropping-particle":"","family":"Delgado","given":"Cynthia","non-dropping-particle":"","parse-names":false,"suffix":""},{"dropping-particle":"","family":"Turnell","given":"Adrienne","non-dropping-particle":"","parse-names":false,"suffix":""}],"container-title":"International Journal of Mental Health Nursing","id":"ITEM-1","issue":"4","issued":{"date-parts":[["2016"]]},"page":"299-307","title":"Physical health and well-being: Experiences and perspectives of young adult mental health consumers","type":"article-journal","volume":"25"},"uris":["http://www.mendeley.com/documents/?uuid=04cc9775-a914-40af-8931-9f0a5ae200b2"]}],"mendeley":{"formattedCitation":"(McCloughen et al., 2016)","manualFormatting":"McCloughen et al. (2016)","plainTextFormattedCitation":"(McCloughen et al., 2016)","previouslyFormattedCitation":"(McCloughen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McCloughen et al. (2016)</w:t>
      </w:r>
      <w:r w:rsidRPr="005459E6">
        <w:rPr>
          <w:rFonts w:ascii="Times New Roman" w:hAnsi="Times New Roman" w:cs="Times New Roman"/>
        </w:rPr>
        <w:fldChar w:fldCharType="end"/>
      </w:r>
      <w:r w:rsidRPr="005459E6">
        <w:rPr>
          <w:rFonts w:ascii="Times New Roman" w:hAnsi="Times New Roman" w:cs="Times New Roman"/>
        </w:rPr>
        <w:t xml:space="preserve">, people with mental illnesses frequently have poor physical health and a shorter life expectancy. Such circumstances also contribute to the deterioration of </w:t>
      </w:r>
      <w:r w:rsidR="0066637B" w:rsidRPr="005459E6">
        <w:rPr>
          <w:rFonts w:ascii="Times New Roman" w:hAnsi="Times New Roman" w:cs="Times New Roman"/>
        </w:rPr>
        <w:t xml:space="preserve">the </w:t>
      </w:r>
      <w:r w:rsidRPr="005459E6">
        <w:rPr>
          <w:rFonts w:ascii="Times New Roman" w:hAnsi="Times New Roman" w:cs="Times New Roman"/>
        </w:rPr>
        <w:t xml:space="preserve">dimension of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{"citationItems":[{"id":"ITEM-1","itemData":{"DOI":"10.1186/s12955-020-01423-y","ISSN":"14777525","PMID":"32560725","abstract":"Background: Recent trends on measurement of well-being have elevated the scientific standards and rigor associated with approaches for national and international comparisons of well-being. One major theme in this has been the shift toward multidimensional approaches over reliance on traditional metrics such as single measures (e.g. happiness, life satisfaction) or economic proxies (e.g. GDP). Methods: To produce a cohesive, multidimensional measure of well-being useful for providing meaningful insights for policy, we use data from 2006 and 2012 from the European Social Survey (ESS) to analyze well-being for 21 countries, involving approximately 40,000 individuals for each year. We refer collectively to the items used in the survey as multidimensional psychological well-being (MPWB). Results: The ten dimensions assessed are used to compute a single value standardized to the population, which supports broad assessment and comparison. It also increases the possibility of exploring individual dimensions of well-being useful for targeting interventions. Insights demonstrate what may be masked when limiting to single dimensions, which can create a failure to identify levers for policy interventions. Conclusions: We conclude that both the composite score and individual dimensions from this approach constitute valuable levels of analyses for exploring appropriate policies to protect and improve well-being.","author":[{"dropping-particle":"","family":"Ruggeri","given":"Kai","non-dropping-particle":"","parse-names":false,"suffix":""},{"dropping-particle":"","family":"Garcia-Garzon","given":"Eduardo","non-dropping-particle":"","parse-names":false,"suffix":""},{"dropping-particle":"","family":"Maguire","given":"Áine","non-dropping-particle":"","parse-names":false,"suffix":""},{"dropping-particle":"","family":"Matz","given":"Sandra","non-dropping-particle":"","parse-names":false,"suffix":""},{"dropping-particle":"","family":"Huppert","given":"Felicia A.","non-dropping-particle":"","parse-names":false,"suffix":""}],"container-title":"Health and Quality of Life Outcomes","id":"ITEM-1","issue":"1","issued":{"date-parts":[["2020"]]},"page":"1-16","publisher":"Health and Quality of Life Outcomes","title":"Well-being is more than happiness and life satisfaction: A multidimensional analysis of 21 countries","type":"article-journal","volume":"18"},"uris":["http://www.mendeley.com/documents/?uuid=9cc477f4-0fbf-4d8d-a297-86a29e030f2c"]}],"mendeley":{"formattedCitation":"(Ruggeri et al., 2020)","plainTextFormattedCitation":"(Ruggeri et al., 2020)","previouslyFormattedCitation":"(Ruggeri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(Ruggeri et al., 2020)</w:t>
      </w:r>
      <w:r w:rsidRPr="005459E6">
        <w:rPr>
          <w:rFonts w:ascii="Times New Roman" w:hAnsi="Times New Roman" w:cs="Times New Roman"/>
        </w:rPr>
        <w:fldChar w:fldCharType="end"/>
      </w:r>
      <w:r w:rsidRPr="005459E6">
        <w:rPr>
          <w:rFonts w:ascii="Times New Roman" w:hAnsi="Times New Roman" w:cs="Times New Roman"/>
        </w:rPr>
        <w:t xml:space="preserve">. Previous research has found that subjective health is strongly related to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{"citationItems":[{"id":"ITEM-1","itemData":{"DOI":"10.4061/2011/605041","ISSN":"20902204","abstract":"The purpose of this study was to evaluate the relationship between physical health and psychological well-being among oldest-old adults. Structural equation modeling was performed to examine health influences on psychological well-being among 306 octogenarians and centenarians from the Georgia Centenarian Study. Latent variables were created to reflect subjective health, as measured by self-ratings of health and objective health, as measured by physical health impairment (i.e., health problems, past and present diseases, hospitalization) and biomarkers (i.e., hemoglobin and albumin). Psychological well-being was measured by positive and negative affect. There were significant direct effects of subjective health on affect and significant indirect effects of objective health through subjective health on positive affect and negative affect. Subjective health took the role of a mediator between objective health and psychological well-being. These results highlight the status and perceptions of health as a critical indicator for well-being in extreme old age. Copyright © 2011 Jinmyoung Cho et al.","author":[{"dropping-particle":"","family":"Cho","given":"Jinmyoung","non-dropping-particle":"","parse-names":false,"suffix":""},{"dropping-particle":"","family":"Martin","given":"Peter","non-dropping-particle":"","parse-names":false,"suffix":""},{"dropping-particle":"","family":"Margrett","given":"Jennifer","non-dropping-particle":"","parse-names":false,"suffix":""},{"dropping-particle":"","family":"MacDonald","given":"Maurice","non-dropping-particle":"","parse-names":false,"suffix":""},{"dropping-particle":"","family":"Poon","given":"Leonard W.","non-dropping-particle":"","parse-names":false,"suffix":""}],"container-title":"Journal of Aging Research","id":"ITEM-1","issued":{"date-parts":[["2011"]]},"title":"The relationship between physical health and psychological well-being among oldest-old adults","type":"article-journal","volume":"2011"},"uris":["http://www.mendeley.com/documents/?uuid=9b165bdc-7540-4734-9194-18a2dbe58827"]}],"mendeley":{"formattedCitation":"(Cho et al., 2011)","plainTextFormattedCitation":"(Cho et al., 2011)","previouslyFormattedCitation":"(Cho et al.,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(Cho et al., 2011)</w:t>
      </w:r>
      <w:r w:rsidRPr="005459E6">
        <w:rPr>
          <w:rFonts w:ascii="Times New Roman" w:hAnsi="Times New Roman" w:cs="Times New Roman"/>
        </w:rPr>
        <w:fldChar w:fldCharType="end"/>
      </w:r>
      <w:r w:rsidRPr="005459E6">
        <w:rPr>
          <w:rFonts w:ascii="Times New Roman" w:hAnsi="Times New Roman" w:cs="Times New Roman"/>
        </w:rPr>
        <w:t xml:space="preserve">, indicating a strong link between mental and physical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{"citationItems":[{"id":"ITEM-1","itemData":{"DOI":"10.1016/j.socscimed.2017.11.008","ISSN":"18735347","PMID":"29132081","abstract":"There is a strong link between mental health and physical health, but little is known about the pathways from one to the other. We analyse the direct and indirect effects of past mental health on present physical health and past physical health on present mental health using lifestyle choices and social capital in a mediation framework. We use data on 10,693 individuals aged 50 years and over from six waves (2002–2012) of the English Longitudinal Study of Ageing. Mental health is measured by the Centre for Epidemiological Studies Depression Scale (CES) and physical health by the Activities of Daily Living (ADL). We find significant direct and indirect effects for both forms of health, with indirect effects explaining 10% of the effect of past mental health on physical health and 8% of the effect of past physical health on mental health. Physical activity is the largest contributor to the indirect effects. There are stronger indirect effects for males in mental health (9.9%) and for older age groups in mental health (13.6%) and in physical health (12.6%). Health policies aiming at changing physical and mental health need to consider not only the direct cross-effects but also the indirect cross-effects between mental health and physical health.","author":[{"dropping-particle":"","family":"Ohrnberger","given":"Julius","non-dropping-particle":"","parse-names":false,"suffix":""},{"dropping-particle":"","family":"Fichera","given":"Eleonora","non-dropping-particle":"","parse-names":false,"suffix":""},{"dropping-particle":"","family":"Sutton","given":"Matt","non-dropping-particle":"","parse-names":false,"suffix":""}],"container-title":"Social Science and Medicine","id":"ITEM-1","issue":"February","issued":{"date-parts":[["2017"]]},"page":"42-49","publisher":"Elsevier","title":"The relationship between physical and mental health: A mediation analysis","type":"article-journal","volume":"195"},"uris":["http://www.mendeley.com/documents/?uuid=bb36de1c-44bc-45e6-b1d5-937046647ca3"]}],"mendeley":{"formattedCitation":"(Ohrnberger et al., 2017b)","plainTextFormattedCitation":"(Ohrnberger et al., 2017b)","previouslyFormattedCitation":"(Ohrnberger et al., 2017b)"},"properties":{"noteIndex":0},"schema":"https://github.com/citation-style-language/schema/raw/master/csl-citation.json"}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(Ohrnberger et al., 2017b)</w:t>
      </w:r>
      <w:r w:rsidRPr="005459E6">
        <w:rPr>
          <w:rFonts w:ascii="Times New Roman" w:hAnsi="Times New Roman" w:cs="Times New Roman"/>
        </w:rPr>
        <w:fldChar w:fldCharType="end"/>
      </w:r>
      <w:r w:rsidRPr="005459E6">
        <w:rPr>
          <w:rFonts w:ascii="Times New Roman" w:hAnsi="Times New Roman" w:cs="Times New Roman"/>
        </w:rPr>
        <w:t xml:space="preserve">. Without a doubt, technology has ushered in a new era of mental health support and data collection. Mobile devices and associated data provide health professionals with new ways to assist patients, monitor progress, and promote mental well-being. The current pandemic made it more difficult for health professionals to understand and navigate this vast field that has been rapidly changing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{"citationItems":[{"id":"ITEM-1","itemData":{"DOI":"10.3389/fdgth.2021.754337","abstract":" Background: Research increasingly shows how selective and targeted use of technology within care and welfare can have several advantages including improved quality of care and active user involvement.  Purpose: The current overview of reviews aims to summarize the research on the effectiveness of technology for mental health and wellbeing. The goal is to highlight and structure the diverse combinations of technologies and interventions used so far, rather than to summarize the effectiveness of singular approaches.  Methods: The current overview includes reviews published in the past five years with a focus on effectiveness of digital and technological interventions targeting mental health and wellbeing.  Results: A total of 246 reviews could be included. All reviews examined the effectiveness of digital and technological interventions in the context of care and welfare. A combination of two taxonomies was created through qualitative analysis, based on the retrieved interventions and technologies in the reviews. Review classification shows a predominance of reviews on psychotherapeutic interventions using computers and smartphones. It is furthermore shown that when smartphone applications as stand-alone technology are researched, the primary focus is on self-help, and that extended reality is the most researched emerging technology to date.  Conclusion: This overview of reviews shows that a wide range of interventions and technologies, with varying focus and target populations, have been studied in the field of care and wellbeing. The current overview of reviews is a first step to add structure to this rapidly changing field and may guide both researchers and clinicians in further exploring the evidence-base of particular approaches. ","author":[{"dropping-particle":"","family":"Witte","given":"Nele A. J.","non-dropping-particle":"De","parse-names":false,"suffix":""},{"dropping-particle":"","family":"Joris","given":"Steven","non-dropping-particle":"","parse-names":false,"suffix":""},{"dropping-particle":"","family":"Assche","given":"Eva","non-dropping-particle":"Van","parse-names":false,"suffix":""},{"dropping-particle":"","family":"Daele","given":"Tom","non-dropping-particle":"Van","parse-names":false,"suffix":""}],"container-title":"Frontiers in Digital Health","id":"ITEM-1","issue":"December","issued":{"date-parts":[["2021"]]},"page":"1-10","title":"Technological and Digital Interventions for Mental Health and Wellbeing: An Overview of Systematic Reviews","type":"article-journal","volume":"3"},"uris":["http://www.mendeley.com/documents/?uuid=f4930161-2e94-4be3-9723-5f6045159f8f"]}],"mendeley":{"formattedCitation":"(De Witte et al., 2021)","plainTextFormattedCitation":"(De Witte et al., 2021)","previouslyFormattedCitation":"(De Witte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 Witte et al., 2021)</w:t>
      </w:r>
      <w:r w:rsidRPr="005459E6">
        <w:rPr>
          <w:rFonts w:ascii="Times New Roman" w:hAnsi="Times New Roman" w:cs="Times New Roman"/>
        </w:rPr>
        <w:fldChar w:fldCharType="end"/>
      </w:r>
      <w:r w:rsidRPr="005459E6">
        <w:rPr>
          <w:rFonts w:ascii="Times New Roman" w:hAnsi="Times New Roman" w:cs="Times New Roman"/>
        </w:rPr>
        <w:t xml:space="preserve">. </w:t>
      </w:r>
      <w:r w:rsidR="0066637B" w:rsidRPr="005459E6">
        <w:rPr>
          <w:rFonts w:ascii="Times New Roman" w:hAnsi="Times New Roman" w:cs="Times New Roman"/>
        </w:rPr>
        <w:t>A s</w:t>
      </w:r>
      <w:r w:rsidRPr="005459E6">
        <w:rPr>
          <w:rFonts w:ascii="Times New Roman" w:hAnsi="Times New Roman" w:cs="Times New Roman"/>
        </w:rPr>
        <w:t xml:space="preserve">tudy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{"citationItems":[{"id":"ITEM-1","itemData":{"DOI":"10.1186/s12888-022-03713-9","ISSN":"1471244X","PMID":"35078432","abstract":"Background: E-mental healthcare is the convergence of digital technologies with mental health services. It has been developed to fill a gap in healthcare for people who need mental wellbeing support that may not otherwise receive psychological treatment. With an increasing number of e-mental healthcare and research, this study aimed to investigate the trends of an e-mental health research field that integrates interdisciplinary fields and to examine the information technologies is being used in mental healthcare. To achieve the research objectives, bibliometric analysis, information extraction, and network analysis were applied to analyze e-mental health research data. Methods: E-mental health research data were obtained from 3663 bibliographic records from the Web of Science (WoS) and 3172 full-text articles from PubMed Central (PMC). The text mining techniques used for this study included bibliometric analysis, information extraction, and visualization. Results: The e-mental health research topic trends primarily involved e-health care services and medical informatics research. The clusters of research comprised 16 clusters, which refer to mental sickness, e-health, diseases, information technology (IT), and self-management. The information extraction analysis revealed a triple relation with IT and biomedical domains. Betweenness centrality was used as a measure of network graph centrality, based on the shortest path to rank the important entities and triple relation; nodes with higher betweenness centrality had greater control over the network because more information passes through that node. The IT entity-relations of “mobile” had the highest score at 0.043466. The top pairs were related to depression, mobile health, and text message. Conclusions: E-mental related publications were associated with various research fields, such as nursing, psychology, medical informatics, computer science, telecommunication, and healthcare innovation. We found that trends in e-mental health research are continually rising. These trends were related to the internet of things (IoT) and mobile applications (Apps), which were applied for mental healthcare services. Moreover, producing AI and machine learning for e-mental healthcare were being studied. This work supports the appropriate approaches and methods of e-mental health research that can help the researcher to identify important themes and choose the best fit with their own survey work.","author":[{"dropping-particle":"","family":"Timakum","given":"Tatsawan","non-dropping-particle":"","parse-names":false,"suffix":""},{"dropping-particle":"","family":"Xie","given":"Qing","non-dropping-particle":"","parse-names":false,"suffix":""},{"dropping-particle":"","family":"Song","given":"Min","non-dropping-particle":"","parse-names":false,"suffix":""}],"container-title":"BMC Psychiatry","id":"ITEM-1","issue":"1","issued":{"date-parts":[["2022"]]},"page":"1-17","publisher":"BioMed Central","title":"Analysis of E-mental health research: mapping the relationship between information technology and mental healthcare","type":"article-journal","volume":"22"},"uris":["http://www.mendeley.com/documents/?uuid=b3ec872c-4489-46ed-801b-520989f73508"]}],"mendeley":{"formattedCitation":"(Timakum et al., 2022)","manualFormatting":"Timakum et al. (2022)","plainTextFormattedCitation":"(Timakum et al., 2022)","previouslyFormattedCitation":"(Timakum et al., 2022)"},"properties":{"noteIndex":0},"schema":"https://github.com/citation-style-language/schema/raw/master/csl-citation.json"}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Timakum et al. (2022)</w:t>
      </w:r>
      <w:r w:rsidRPr="005459E6">
        <w:rPr>
          <w:rFonts w:ascii="Times New Roman" w:hAnsi="Times New Roman" w:cs="Times New Roman"/>
        </w:rPr>
        <w:fldChar w:fldCharType="end"/>
      </w:r>
      <w:r w:rsidRPr="005459E6">
        <w:rPr>
          <w:rFonts w:ascii="Times New Roman" w:hAnsi="Times New Roman" w:cs="Times New Roman"/>
        </w:rPr>
        <w:t xml:space="preserve"> reveals recent trends to apply the </w:t>
      </w:r>
      <w:r w:rsidR="00AA4CA9" w:rsidRPr="005459E6">
        <w:rPr>
          <w:rFonts w:ascii="Times New Roman" w:hAnsi="Times New Roman" w:cs="Times New Roman"/>
        </w:rPr>
        <w:t>I</w:t>
      </w:r>
      <w:r w:rsidRPr="005459E6">
        <w:rPr>
          <w:rFonts w:ascii="Times New Roman" w:hAnsi="Times New Roman" w:cs="Times New Roman"/>
        </w:rPr>
        <w:t xml:space="preserve">nternet of </w:t>
      </w:r>
      <w:r w:rsidR="00AA4CA9" w:rsidRPr="005459E6">
        <w:rPr>
          <w:rFonts w:ascii="Times New Roman" w:hAnsi="Times New Roman" w:cs="Times New Roman"/>
        </w:rPr>
        <w:t>T</w:t>
      </w:r>
      <w:r w:rsidRPr="005459E6">
        <w:rPr>
          <w:rFonts w:ascii="Times New Roman" w:hAnsi="Times New Roman" w:cs="Times New Roman"/>
        </w:rPr>
        <w:t xml:space="preserve">hings (IoT) and </w:t>
      </w:r>
      <w:r w:rsidR="00AA4CA9" w:rsidRPr="005459E6">
        <w:rPr>
          <w:rFonts w:ascii="Times New Roman" w:hAnsi="Times New Roman" w:cs="Times New Roman"/>
        </w:rPr>
        <w:t>M</w:t>
      </w:r>
      <w:r w:rsidRPr="005459E6">
        <w:rPr>
          <w:rFonts w:ascii="Times New Roman" w:hAnsi="Times New Roman" w:cs="Times New Roman"/>
        </w:rPr>
        <w:t>obile applications (Apps) in mental healthcare services. Moreover, there exists a significant focus on AI and Machine Learning for e-healthcare.</w:t>
      </w:r>
    </w:p>
    <w:p w14:paraId="3BA5B062" w14:textId="676606EF" w:rsidR="000F5B20" w:rsidRPr="005459E6" w:rsidRDefault="00C64039" w:rsidP="000F5B20">
      <w:pPr>
        <w:spacing w:line="360" w:lineRule="auto"/>
        <w:jc w:val="both"/>
        <w:rPr>
          <w:rFonts w:ascii="Times New Roman" w:hAnsi="Times New Roman" w:cs="Times New Roman"/>
        </w:rPr>
      </w:pPr>
      <w:r w:rsidRPr="005459E6">
        <w:rPr>
          <w:rFonts w:ascii="Times New Roman" w:hAnsi="Times New Roman" w:cs="Times New Roman"/>
        </w:rPr>
        <w:t xml:space="preserve">Artificial intelligence (AI) technology has both great promise and significant hazards in terms of transforming mental healthcare, but more effort is needed to close the gap between AI in mental health research and clinical care. </w:t>
      </w:r>
      <w:r w:rsidR="003F1938"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{"citationItems":[{"id":"ITEM-1","itemData":{"abstract":"Artificial Intelligence (AI) will result in job replacement and job elimination. Some AI technologies, such as self-driving vehicles, have the potential to disrupt existing industries. Self-driving trucks may replace the 3.5 million truck drivers in the US. Scholars at Oxford University estimated that no less than 47% of American jobs and 54% of those in Europe are at a high risk of being taken over by machines. Routine, repetitive, and predictable jobs are expected to be automated (Siau, 2018). Although new jobs will be created, the unemployment rate may go up in the short term and the emergence of a “useless class” (i.e., permanently jobless) (Harari 2016) is a real possibility. PwC predicted that about seven million existing jobs could be displaced by AI from 2017- 2037, but about 7.2 million jobs could be created. Many of these “expected” new jobs, however, are not in existence yet. The impact of AI on human mental well-being is a grave concern to many. Previous studies on joblessness are not related to AI-induced joblessness. This research studies the differences between the impact of joblessness induced by AI versus other reasons. Further, this study would answer three questions. 1) What’s the difference between the impact of temporary joblessness and that of permanent joblessness? 2) How would temporary joblessness induced by AI affect human mental well-being? And 3) How would permanent joblessness induced by AI affect human mental well-being?","author":[{"dropping-particle":"","family":"Wang","given":"Weiyu","non-dropping-particle":"","parse-names":false,"suffix":""},{"dropping-particle":"","family":"Siau","given":"Keng","non-dropping-particle":"","parse-names":false,"suffix":""}],"container-title":"AMCIS 2019 Proceedings","id":"ITEM-1","issue":"August","issued":{"date-parts":[["2019"]]},"title":"Potential Impact of Artificial Intelligence on Mental Well-Being","type":"article-journal"},"uris":["http://www.mendeley.com/documents/?uuid=a835e34c-374d-4548-8600-a505a2294d5d"]}],"mendeley":{"formattedCitation":"(Weiyu Wang &amp; Siau, 2019)","manualFormatting":"Wang &amp; Siau (2019)","plainTextFormattedCitation":"(Weiyu Wang &amp; Siau, 2019)","previouslyFormattedCitation":"(Weiyu Wang &amp; Siau, 2019)"},"properties":{"noteIndex":0},"schema":"https://github.com/citation-style-language/schema/raw/master/csl-citation.json"}</w:instrText>
      </w:r>
      <w:r w:rsidR="003F1938" w:rsidRPr="005459E6">
        <w:rPr>
          <w:rFonts w:ascii="Times New Roman" w:hAnsi="Times New Roman" w:cs="Times New Roman"/>
        </w:rPr>
        <w:fldChar w:fldCharType="separate"/>
      </w:r>
      <w:r w:rsidR="003F1938" w:rsidRPr="005459E6">
        <w:rPr>
          <w:rFonts w:ascii="Times New Roman" w:hAnsi="Times New Roman" w:cs="Times New Roman"/>
          <w:noProof/>
        </w:rPr>
        <w:t>Wang &amp; Siau (2019)</w:t>
      </w:r>
      <w:r w:rsidR="003F1938" w:rsidRPr="005459E6">
        <w:rPr>
          <w:rFonts w:ascii="Times New Roman" w:hAnsi="Times New Roman" w:cs="Times New Roman"/>
        </w:rPr>
        <w:fldChar w:fldCharType="end"/>
      </w:r>
      <w:r w:rsidR="003F1938" w:rsidRPr="005459E6">
        <w:rPr>
          <w:rFonts w:ascii="Times New Roman" w:hAnsi="Times New Roman" w:cs="Times New Roman"/>
        </w:rPr>
        <w:t xml:space="preserve"> believe it is time for analyzing </w:t>
      </w:r>
      <w:r w:rsidR="00A55FAE" w:rsidRPr="005459E6">
        <w:rPr>
          <w:rFonts w:ascii="Times New Roman" w:hAnsi="Times New Roman" w:cs="Times New Roman"/>
        </w:rPr>
        <w:t>the p</w:t>
      </w:r>
      <w:r w:rsidR="003F1938" w:rsidRPr="005459E6">
        <w:rPr>
          <w:rFonts w:ascii="Times New Roman" w:hAnsi="Times New Roman" w:cs="Times New Roman"/>
        </w:rPr>
        <w:t xml:space="preserve">otential </w:t>
      </w:r>
      <w:r w:rsidR="00A55FAE" w:rsidRPr="005459E6">
        <w:rPr>
          <w:rFonts w:ascii="Times New Roman" w:hAnsi="Times New Roman" w:cs="Times New Roman"/>
        </w:rPr>
        <w:t>i</w:t>
      </w:r>
      <w:r w:rsidR="003F1938" w:rsidRPr="005459E6">
        <w:rPr>
          <w:rFonts w:ascii="Times New Roman" w:hAnsi="Times New Roman" w:cs="Times New Roman"/>
        </w:rPr>
        <w:t xml:space="preserve">mpact of Artificial Intelligence on Mental Well-Being. </w:t>
      </w:r>
      <w:r w:rsidR="003F1938" w:rsidRPr="005459E6">
        <w:rPr>
          <w:rFonts w:ascii="Times New Roman" w:hAnsi="Times New Roman" w:cs="Times New Roman"/>
        </w:rPr>
        <w:fldChar w:fldCharType="begin" w:fldLock="1"/>
      </w:r>
      <w:r w:rsidR="00CA0E18" w:rsidRPr="005459E6">
        <w:rPr>
          <w:rFonts w:ascii="Times New Roman" w:hAnsi="Times New Roman" w:cs="Times New Roman"/>
        </w:rPr>
        <w:instrText>ADDIN CSL_CITATION {"citationItems":[{"id":"ITEM-1","itemData":{"DOI":"10.1007/s11920-019-1094-0","ISSN":"15351645","PMID":"31701320","abstract":"Purpose of Review: Artificial intelligence (AI) technology holds both great promise to transform mental healthcare and potential pitfalls. This article provides an overview of AI and current applications in healthcare, a review of recent original research on AI specific to mental health, and a discussion of how AI can supplement clinical practice while considering its current limitations, areas needing additional research, and ethical implications regarding AI technology. Recent Findings: We reviewed 28 studies of AI and mental health that used electronic health records (EHRs), mood rating scales, brain imaging data, novel monitoring systems (e.g., smartphone, video), and social media platforms to predict, classify, or subgroup mental health illnesses including depression, schizophrenia or other psychiatric illnesses, and suicide ideation and attempts. Collectively, these studies revealed high accuracies and provided excellent examples of AI’s potential in mental healthcare, but most should be considered early proof-of-concept works demonstrating the potential of using machine learning (ML) algorithms to address mental health questions, and which types of algorithms yield the best performance. Summary: As AI techniques continue to be refined and improved, it will be possible to help mental health practitioners re-define mental illnesses more objectively than currently done in the DSM-5, identify these illnesses at an earlier or prodromal stage when interventions may be more effective, and personalize treatments based on an individual’s unique characteristics. However, caution is necessary in order to avoid over-interpreting preliminary results, and more work is required to bridge the gap between AI in mental health research and clinical care.","author":[{"dropping-particle":"","family":"Graham","given":"Sarah","non-dropping-particle":"","parse-names":false,"suffix":""},{"dropping-particle":"","family":"Depp","given":"Colin","non-dropping-particle":"","parse-names":false,"suffix":""},{"dropping-particle":"","family":"Lee","given":"Ellen E.","non-dropping-particle":"","parse-names":false,"suffix":""},{"dropping-particle":"","family":"Nebeker","given":"Camille","non-dropping-particle":"","parse-names":false,"suffix":""},{"dropping-particle":"","family":"Tu","given":"Xin","non-dropping-particle":"","parse-names":false,"suffix":""},{"dropping-particle":"","family":"Kim","given":"Ho Cheol","non-dropping-particle":"","parse-names":false,"suffix":""},{"dropping-particle":"V.","family":"Jeste","given":"Dilip","non-dropping-particle":"","parse-names":false,"suffix":""}],"container-title":"Current Psychiatry Reports","id":"ITEM-1","issue":"11","issued":{"date-parts":[["2019"]]},"title":"Artificial Intelligence for Mental Health and Mental Illnesses: an Overview","type":"article-journal","volume":"21"},"uris":["http://www.mendeley.com/documents/?uuid=db4afbc5-6f7e-4d0e-875d-95a30154e2f5"]}],"mendeley":{"formattedCitation":"(Graham et al., 2019b)","manualFormatting":"Graham et al. (2019)","plainTextFormattedCitation":"(Graham et al., 2019b)","previouslyFormattedCitation":"(Graham et al., 2019b)"},"properties":{"noteIndex":0},"schema":"https://github.com/citation-style-language/schema/raw/master/csl-citation.json"}</w:instrText>
      </w:r>
      <w:r w:rsidR="003F1938" w:rsidRPr="005459E6">
        <w:rPr>
          <w:rFonts w:ascii="Times New Roman" w:hAnsi="Times New Roman" w:cs="Times New Roman"/>
        </w:rPr>
        <w:fldChar w:fldCharType="separate"/>
      </w:r>
      <w:r w:rsidR="003F1938" w:rsidRPr="005459E6">
        <w:rPr>
          <w:rFonts w:ascii="Times New Roman" w:hAnsi="Times New Roman" w:cs="Times New Roman"/>
          <w:noProof/>
        </w:rPr>
        <w:t>Graham et al. (2019)</w:t>
      </w:r>
      <w:r w:rsidR="003F1938" w:rsidRPr="005459E6">
        <w:rPr>
          <w:rFonts w:ascii="Times New Roman" w:hAnsi="Times New Roman" w:cs="Times New Roman"/>
        </w:rPr>
        <w:fldChar w:fldCharType="end"/>
      </w:r>
      <w:r w:rsidR="003F1938" w:rsidRPr="005459E6">
        <w:rPr>
          <w:rFonts w:ascii="Times New Roman" w:hAnsi="Times New Roman" w:cs="Times New Roman"/>
        </w:rPr>
        <w:t xml:space="preserve"> confirm that although AI can transform mental healthcare, the gap between AI in mental health research and clinical care is need</w:t>
      </w:r>
      <w:r w:rsidR="00A55FAE" w:rsidRPr="005459E6">
        <w:rPr>
          <w:rFonts w:ascii="Times New Roman" w:hAnsi="Times New Roman" w:cs="Times New Roman"/>
        </w:rPr>
        <w:t>ed</w:t>
      </w:r>
      <w:r w:rsidR="003F1938" w:rsidRPr="005459E6">
        <w:rPr>
          <w:rFonts w:ascii="Times New Roman" w:hAnsi="Times New Roman" w:cs="Times New Roman"/>
        </w:rPr>
        <w:t xml:space="preserve"> to be bridged. The research follows the line of </w:t>
      </w:r>
      <w:r w:rsidR="00A55FAE" w:rsidRPr="005459E6">
        <w:rPr>
          <w:rFonts w:ascii="Times New Roman" w:hAnsi="Times New Roman" w:cs="Times New Roman"/>
        </w:rPr>
        <w:t>i</w:t>
      </w:r>
      <w:r w:rsidR="003F1938" w:rsidRPr="005459E6">
        <w:rPr>
          <w:rFonts w:ascii="Times New Roman" w:hAnsi="Times New Roman" w:cs="Times New Roman"/>
        </w:rPr>
        <w:t xml:space="preserve">nquiry where societal benefits of research come to the forefront. </w:t>
      </w:r>
      <w:r w:rsidR="001508B6" w:rsidRPr="005459E6">
        <w:rPr>
          <w:rFonts w:ascii="Times New Roman" w:hAnsi="Times New Roman" w:cs="Times New Roman"/>
        </w:rPr>
        <w:t xml:space="preserve">Successful research investigations can only assist society if the findings are turned into marketable and consumable services </w:t>
      </w:r>
      <w:r w:rsidR="009C3A3D" w:rsidRPr="005459E6">
        <w:rPr>
          <w:rFonts w:ascii="Times New Roman" w:hAnsi="Times New Roman" w:cs="Times New Roman"/>
        </w:rPr>
        <w:fldChar w:fldCharType="begin" w:fldLock="1"/>
      </w:r>
      <w:r w:rsidR="00323292" w:rsidRPr="005459E6">
        <w:rPr>
          <w:rFonts w:ascii="Times New Roman" w:hAnsi="Times New Roman" w:cs="Times New Roman"/>
        </w:rPr>
        <w:instrText>ADDIN CSL_CITATION {"citationItems":[{"id":"ITEM-1","itemData":{"DOI":"10.1002/asi.22803","ISSN":"15322882","abstract":"Since the 1990s, the scope of research evaluations becomes broader as the societal products (outputs), societal use (societal references), and societal benefits (changes in society) of research come into scope. Society can reap the benefits of successful research studies only if the results are converted into marketable and consumable products (e.g., medicaments, diagnostic tools, machines, and devices) or services. A series of different names have been introduced which refer to the societal impact of research: third stream activities, societal benefits, societal quality, usefulness, public values, knowledge transfer, and societal relevance. What most of these names are concerned with is the assessment of social, cultural, environmental, and economic returns (impact and effects) from results (research output) or products (research outcome) of publicly funded research. This review intends to present existing research on and practices employed in the assessment of societal impact in the form of a literature survey. The objective is for this review to serve as a basis for the development of robust and reliable methods of societal impact measurement. © 2012 ASIS&amp;;T.","author":[{"dropping-particle":"","family":"Bornmann","given":"Lutz","non-dropping-particle":"","parse-names":false,"suffix":""}],"container-title":"Journal of the American Society for Information Science and Technology","id":"ITEM-1","issue":"2","issued":{"date-parts":[["2013"]]},"page":"217-233","title":"What is societal impact of research and how can it be assessed? a literature survey","type":"article-journal","volume":"64"},"uris":["http://www.mendeley.com/documents/?uuid=21a0a269-c824-4d54-9a23-9f10db180c2f"]}],"mendeley":{"formattedCitation":"(Bornmann, 2013)","plainTextFormattedCitation":"(Bornmann, 2013)","previouslyFormattedCitation":"(Bornmann, 2013)"},"properties":{"noteIndex":0},"schema":"https://github.com/citation-style-language/schema/raw/master/csl-citation.json"}</w:instrText>
      </w:r>
      <w:r w:rsidR="009C3A3D" w:rsidRPr="005459E6">
        <w:rPr>
          <w:rFonts w:ascii="Times New Roman" w:hAnsi="Times New Roman" w:cs="Times New Roman"/>
        </w:rPr>
        <w:fldChar w:fldCharType="separate"/>
      </w:r>
      <w:r w:rsidR="009C3A3D" w:rsidRPr="005459E6">
        <w:rPr>
          <w:rFonts w:ascii="Times New Roman" w:hAnsi="Times New Roman" w:cs="Times New Roman"/>
          <w:noProof/>
        </w:rPr>
        <w:t>(Bornmann, 2013)</w:t>
      </w:r>
      <w:r w:rsidR="009C3A3D" w:rsidRPr="005459E6">
        <w:rPr>
          <w:rFonts w:ascii="Times New Roman" w:hAnsi="Times New Roman" w:cs="Times New Roman"/>
        </w:rPr>
        <w:fldChar w:fldCharType="end"/>
      </w:r>
      <w:r w:rsidR="00323292" w:rsidRPr="005459E6">
        <w:rPr>
          <w:rFonts w:ascii="Times New Roman" w:hAnsi="Times New Roman" w:cs="Times New Roman"/>
        </w:rPr>
        <w:t>.</w:t>
      </w:r>
      <w:r w:rsidR="000F5B20" w:rsidRPr="005459E6">
        <w:rPr>
          <w:rFonts w:ascii="Times New Roman" w:hAnsi="Times New Roman" w:cs="Times New Roman"/>
        </w:rPr>
        <w:t xml:space="preserve"> </w:t>
      </w:r>
    </w:p>
    <w:p w14:paraId="2AD64F09" w14:textId="64640835" w:rsidR="005D50A6" w:rsidRPr="005459E6" w:rsidRDefault="003F1938" w:rsidP="005C70E9">
      <w:pPr>
        <w:spacing w:line="360" w:lineRule="auto"/>
        <w:jc w:val="both"/>
        <w:rPr>
          <w:rFonts w:ascii="Times New Roman" w:hAnsi="Times New Roman" w:cs="Times New Roman"/>
        </w:rPr>
      </w:pPr>
      <w:r w:rsidRPr="005459E6">
        <w:rPr>
          <w:rFonts w:ascii="Times New Roman" w:hAnsi="Times New Roman" w:cs="Times New Roman"/>
        </w:rPr>
        <w:t>Given study attempt to fulfill the same with the interdisciplinary approach of Technology and Management for augmenting psychosomatic health.</w:t>
      </w:r>
      <w:r w:rsidR="000D62A1" w:rsidRPr="005459E6">
        <w:t xml:space="preserve"> </w:t>
      </w:r>
      <w:r w:rsidR="00BD437D" w:rsidRPr="005459E6">
        <w:rPr>
          <w:rFonts w:ascii="Times New Roman" w:hAnsi="Times New Roman" w:cs="Times New Roman"/>
        </w:rPr>
        <w:t xml:space="preserve">Service research is an interdisciplinary discipline that aims to define, predict, and control many aspects of the service experience as it affects people's </w:t>
      </w:r>
      <w:r w:rsidR="00323292" w:rsidRPr="005459E6">
        <w:rPr>
          <w:rFonts w:ascii="Times New Roman" w:hAnsi="Times New Roman" w:cs="Times New Roman"/>
        </w:rPr>
        <w:t>behavior</w:t>
      </w:r>
      <w:r w:rsidR="00BD437D" w:rsidRPr="005459E6">
        <w:rPr>
          <w:rFonts w:ascii="Times New Roman" w:hAnsi="Times New Roman" w:cs="Times New Roman"/>
        </w:rPr>
        <w:t xml:space="preserve"> and well-being </w:t>
      </w:r>
      <w:r w:rsidR="00BD437D" w:rsidRPr="005459E6">
        <w:rPr>
          <w:rFonts w:ascii="Times New Roman" w:hAnsi="Times New Roman" w:cs="Times New Roman"/>
        </w:rPr>
        <w:fldChar w:fldCharType="begin" w:fldLock="1"/>
      </w:r>
      <w:r w:rsidR="00BD437D" w:rsidRPr="005459E6">
        <w:rPr>
          <w:rFonts w:ascii="Times New Roman" w:hAnsi="Times New Roman" w:cs="Times New Roman"/>
        </w:rPr>
        <w:instrText>ADDIN CSL_CITATION {"citationItems":[{"id":"ITEM-1","itemData":{"DOI":"10.1177/1094670515576315","ISSN":"1094-6705","abstract":"The context in which service is delivered and experienced has, in many respects, fundamentally changed. For instance, advances in technology, especially information technology, are leading to a proliferation of revolutionary services and changing how customers serve themselves before, during, and after purchase. To understand this changing landscape, the authors engaged in an international and interdisciplinary research effort to identify research priorities that have the potential to advance the service field and benefit customers, organizations, and society. The priority-setting process was informed by roundtable discussions with researchers affiliated with service research centers and networks located around the world and resulted in the following 12 service research priorities:stimulating service innovation,facilitating servitization, service infusion, and solutions,understanding organization and employee issues relevant to successful service,developing service networks and systems,leveraging service design,using big data to advance service,understanding value creation,enhancing the service experience,improving well-being through transformative service,measuring and optimizing service performance and impact,understanding service in a global context, andleveraging technology to advance service.For each priority, the authors identified important specific service topics and related research questions. Then, through an online survey, service researchers assessed the subtopics? perceived importance and the service field?s extant knowledge about them. Although all the priorities and related topics were deemed important, the results show that topics related to transformative service and measuring and optimizing service performance are particularly important for advancing the service field along with big data, which had the largest gap between importance and current knowledge of the field. The authors present key challenges that should be addressed to move the field forward and conclude with a discussion of the need for additional interdisciplinary research.","author":[{"dropping-particle":"","family":"Ostrom","given":"Amy L","non-dropping-particle":"","parse-names":false,"suffix":""},{"dropping-particle":"","family":"Parasuraman","given":"A","non-dropping-particle":"","parse-names":false,"suffix":""},{"dropping-particle":"","family":"Bowen","given":"David E","non-dropping-particle":"","parse-names":false,"suffix":""},{"dropping-particle":"","family":"Patrício","given":"Lia","non-dropping-particle":"","parse-names":false,"suffix":""},{"dropping-particle":"","family":"Voss","given":"Christopher A","non-dropping-particle":"","parse-names":false,"suffix":""}],"container-title":"Journal of Service Research","id":"ITEM-1","issue":"2","issued":{"date-parts":[["2015","4","13"]]},"note":"doi: 10.1177/1094670515576315","page":"127-159","publisher":"SAGE Publications Inc","title":"Service Research Priorities in a Rapidly Changing Context","type":"article-journal","volume":"18"},"uris":["http://www.mendeley.com/documents/?uuid=cfa1d04f-7b8c-47fc-9e20-113eca1f3152"]}],"mendeley":{"formattedCitation":"(Ostrom et al., 2015)","plainTextFormattedCitation":"(Ostrom et al., 2015)","previouslyFormattedCitation":"(Ostrom et al., 2015)"},"properties":{"noteIndex":0},"schema":"https://github.com/citation-style-language/schema/raw/master/csl-citation.json"}</w:instrText>
      </w:r>
      <w:r w:rsidR="00BD437D" w:rsidRPr="005459E6">
        <w:rPr>
          <w:rFonts w:ascii="Times New Roman" w:hAnsi="Times New Roman" w:cs="Times New Roman"/>
        </w:rPr>
        <w:fldChar w:fldCharType="separate"/>
      </w:r>
      <w:r w:rsidR="00BD437D" w:rsidRPr="005459E6">
        <w:rPr>
          <w:rFonts w:ascii="Times New Roman" w:hAnsi="Times New Roman" w:cs="Times New Roman"/>
          <w:noProof/>
        </w:rPr>
        <w:t>(Ostrom et al., 2015)</w:t>
      </w:r>
      <w:r w:rsidR="00BD437D" w:rsidRPr="005459E6">
        <w:rPr>
          <w:rFonts w:ascii="Times New Roman" w:hAnsi="Times New Roman" w:cs="Times New Roman"/>
        </w:rPr>
        <w:fldChar w:fldCharType="end"/>
      </w:r>
      <w:r w:rsidR="00BD437D" w:rsidRPr="005459E6">
        <w:rPr>
          <w:rFonts w:ascii="Times New Roman" w:hAnsi="Times New Roman" w:cs="Times New Roman"/>
        </w:rPr>
        <w:t xml:space="preserve">. </w:t>
      </w:r>
      <w:r w:rsidR="00C302DC" w:rsidRPr="005459E6">
        <w:rPr>
          <w:rFonts w:ascii="Times New Roman" w:hAnsi="Times New Roman" w:cs="Times New Roman"/>
        </w:rPr>
        <w:t>However</w:t>
      </w:r>
      <w:r w:rsidR="004970FE" w:rsidRPr="005459E6">
        <w:rPr>
          <w:rFonts w:ascii="Times New Roman" w:hAnsi="Times New Roman" w:cs="Times New Roman"/>
        </w:rPr>
        <w:t>,</w:t>
      </w:r>
      <w:r w:rsidR="00C302DC" w:rsidRPr="005459E6">
        <w:rPr>
          <w:rFonts w:ascii="Times New Roman" w:hAnsi="Times New Roman" w:cs="Times New Roman"/>
        </w:rPr>
        <w:t xml:space="preserve"> there exist some limitations </w:t>
      </w:r>
      <w:r w:rsidR="007564E5" w:rsidRPr="005459E6">
        <w:rPr>
          <w:rFonts w:ascii="Times New Roman" w:hAnsi="Times New Roman" w:cs="Times New Roman"/>
        </w:rPr>
        <w:t>to</w:t>
      </w:r>
      <w:r w:rsidR="00C302DC" w:rsidRPr="005459E6">
        <w:rPr>
          <w:rFonts w:ascii="Times New Roman" w:hAnsi="Times New Roman" w:cs="Times New Roman"/>
        </w:rPr>
        <w:t xml:space="preserve"> the research on AI in services. </w:t>
      </w:r>
      <w:r w:rsidR="00C302DC" w:rsidRPr="005459E6">
        <w:rPr>
          <w:rFonts w:ascii="Times New Roman" w:eastAsia="Times New Roman" w:hAnsi="Times New Roman" w:cs="Times New Roman"/>
        </w:rPr>
        <w:t xml:space="preserve">The quintessential role AI plays has encompassed several industries and services </w:t>
      </w:r>
      <w:r w:rsidR="00C302DC" w:rsidRPr="005459E6">
        <w:rPr>
          <w:rFonts w:ascii="Times New Roman" w:eastAsia="Times New Roman" w:hAnsi="Times New Roman" w:cs="Times New Roman"/>
        </w:rPr>
        <w:fldChar w:fldCharType="begin" w:fldLock="1"/>
      </w:r>
      <w:r w:rsidR="00C302DC" w:rsidRPr="005459E6">
        <w:rPr>
          <w:rFonts w:ascii="Times New Roman" w:eastAsia="Times New Roman" w:hAnsi="Times New Roman" w:cs="Times New Roman"/>
        </w:rPr>
        <w:instrText>ADDIN CSL_CITATION {"citationItems":[{"id":"ITEM-1","itemData":{"DOI":"10.1007/s12599-021-00708-w","ISSN":"18670202","author":[{"dropping-particle":"","family":"Lins","given":"Sebastian","non-dropping-particle":"","parse-names":false,"suffix":""},{"dropping-particle":"","family":"Pandl","given":"Konstantin D.","non-dropping-particle":"","parse-names":false,"suffix":""},{"dropping-particle":"","family":"Teigeler","given":"Heiner","non-dropping-particle":"","parse-names":false,"suffix":""},{"dropping-particle":"","family":"Thiebes","given":"Scott","non-dropping-particle":"","parse-names":false,"suffix":""},{"dropping-particle":"","family":"Bayer","given":"Calvin","non-dropping-particle":"","parse-names":false,"suffix":""},{"dropping-particle":"","family":"Sunyaev","given":"Ali","non-dropping-particle":"","parse-names":false,"suffix":""}],"container-title":"Business and Information Systems Engineering","id":"ITEM-1","issue":"4","issued":{"date-parts":[["2021"]]},"page":"441-456","publisher":"Springer Fachmedien Wiesbaden","title":"Artificial Intelligence as a Service: Classification and Research Directions","type":"article-journal","volume":"63"},"uris":["http://www.mendeley.com/documents/?uuid=2790f325-66d5-4ff1-a09c-40fc6687a869"]}],"mendeley":{"formattedCitation":"(Lins et al., 2021)","plainTextFormattedCitation":"(Lins et al., 2021)","previouslyFormattedCitation":"(Lins et al., 2021)"},"properties":{"noteIndex":0},"schema":"https://github.com/citation-style-language/schema/raw/master/csl-citation.json"}</w:instrText>
      </w:r>
      <w:r w:rsidR="00C302DC" w:rsidRPr="005459E6">
        <w:rPr>
          <w:rFonts w:ascii="Times New Roman" w:eastAsia="Times New Roman" w:hAnsi="Times New Roman" w:cs="Times New Roman"/>
        </w:rPr>
        <w:fldChar w:fldCharType="separate"/>
      </w:r>
      <w:r w:rsidR="00C302DC" w:rsidRPr="005459E6">
        <w:rPr>
          <w:rFonts w:ascii="Times New Roman" w:eastAsia="Times New Roman" w:hAnsi="Times New Roman" w:cs="Times New Roman"/>
          <w:noProof/>
        </w:rPr>
        <w:t>(Lins et al., 2021)</w:t>
      </w:r>
      <w:r w:rsidR="00C302DC" w:rsidRPr="005459E6">
        <w:rPr>
          <w:rFonts w:ascii="Times New Roman" w:eastAsia="Times New Roman" w:hAnsi="Times New Roman" w:cs="Times New Roman"/>
        </w:rPr>
        <w:fldChar w:fldCharType="end"/>
      </w:r>
      <w:r w:rsidR="00C302DC" w:rsidRPr="005459E6">
        <w:rPr>
          <w:rFonts w:ascii="Times New Roman" w:eastAsia="Times New Roman" w:hAnsi="Times New Roman" w:cs="Times New Roman"/>
        </w:rPr>
        <w:t xml:space="preserve">. </w:t>
      </w:r>
      <w:r w:rsidR="00375B91" w:rsidRPr="005459E6">
        <w:rPr>
          <w:rFonts w:ascii="Times New Roman" w:eastAsia="Times New Roman" w:hAnsi="Times New Roman" w:cs="Times New Roman"/>
        </w:rPr>
        <w:t>Although</w:t>
      </w:r>
      <w:r w:rsidR="00C302DC" w:rsidRPr="005459E6">
        <w:rPr>
          <w:rFonts w:ascii="Times New Roman" w:eastAsia="Times New Roman" w:hAnsi="Times New Roman" w:cs="Times New Roman"/>
        </w:rPr>
        <w:t xml:space="preserve"> there is great optimism </w:t>
      </w:r>
      <w:r w:rsidR="006475AE" w:rsidRPr="005459E6">
        <w:rPr>
          <w:rFonts w:ascii="Times New Roman" w:eastAsia="Times New Roman" w:hAnsi="Times New Roman" w:cs="Times New Roman"/>
        </w:rPr>
        <w:t>abou</w:t>
      </w:r>
      <w:r w:rsidR="00C302DC" w:rsidRPr="005459E6">
        <w:rPr>
          <w:rFonts w:ascii="Times New Roman" w:eastAsia="Times New Roman" w:hAnsi="Times New Roman" w:cs="Times New Roman"/>
        </w:rPr>
        <w:t xml:space="preserve">t the application of artificial intelligence (AI) in healthcare </w:t>
      </w:r>
      <w:r w:rsidR="00C302DC" w:rsidRPr="005459E6">
        <w:rPr>
          <w:rFonts w:ascii="Times New Roman" w:eastAsia="Times New Roman" w:hAnsi="Times New Roman" w:cs="Times New Roman"/>
        </w:rPr>
        <w:fldChar w:fldCharType="begin" w:fldLock="1"/>
      </w:r>
      <w:r w:rsidR="006C6273" w:rsidRPr="005459E6">
        <w:rPr>
          <w:rFonts w:ascii="Times New Roman" w:eastAsia="Times New Roman" w:hAnsi="Times New Roman" w:cs="Times New Roman"/>
        </w:rPr>
        <w:instrText>ADDIN CSL_CITATION {"citationItems":[{"id":"ITEM-1","itemData":{"DOI":"10.1016/B978-0-12-818438-7.00002-2","abstract":"Big data and machine learning are having an impact on most aspects of modern life, from entertainment, commerce, and healthcare. Netflix knows which films and series people prefer to watch, Amazon knows which items people like to buy when and where, and Google knows which symptoms and conditions people are searching for. All this data can be used for very detailed personal profiling, which may be of great value for behavioral understanding and targeting but also has potential for predicting healthcare trends. There is great optimism that the application of artificial intelligence (AI) can provide substantial improvements in all areas of healthcare from diagnostics to treatment. It is generally believed that AI tools will facilitate and enhance human work and not replace the work of physicians and other healthcare staff as such. AI is ready to support healthcare personnel with a variety of tasks from administrative workflow to clinical documentation and patient outreach as well as specialized support such as in image analysis, medical device automation, and patient monitoring. In this chapter, some of the major applications of AI in healthcare will be discussed covering both the applications that are directly associated with healthcare and those in the healthcare value chain such as drug development and ambient assisted living.","author":[{"dropping-particle":"","family":"Bohr","given":"Adam","non-dropping-particle":"","parse-names":false,"suffix":""},{"dropping-particle":"","family":"Memarzadeh","given":"Kaveh","non-dropping-particle":"","parse-names":false,"suffix":""}],"container-title":"Artificial Intelligence in Healthcare","edition":"2020/06/26","editor":[{"dropping-particle":"","family":"Bohr","given":"Adam","non-dropping-particle":"","parse-names":false,"suffix":""},{"dropping-particle":"","family":"Memarzadeh","given":"Kaveh","non-dropping-particle":"","parse-names":false,"suffix":""}],"id":"ITEM-1","issued":{"date-parts":[["2020"]]},"language":"eng","page":"25-60","title":"The rise of artificial intelligence in healthcare applications","type":"article-journal"},"uris":["http://www.mendeley.com/documents/?uuid=2f3bc0c6-d592-4d2a-970f-112e4967ef0f"]}],"mendeley":{"formattedCitation":"(Bohr &amp; Memarzadeh, 2020)","plainTextFormattedCitation":"(Bohr &amp; Memarzadeh, 2020)","previouslyFormattedCitation":"(Bohr &amp; Memarzadeh, 2020)"},"properties":{"noteIndex":0},"schema":"https://github.com/citation-style-language/schema/raw/master/csl-citation.json"}</w:instrText>
      </w:r>
      <w:r w:rsidR="00C302DC" w:rsidRPr="005459E6">
        <w:rPr>
          <w:rFonts w:ascii="Times New Roman" w:eastAsia="Times New Roman" w:hAnsi="Times New Roman" w:cs="Times New Roman"/>
        </w:rPr>
        <w:fldChar w:fldCharType="separate"/>
      </w:r>
      <w:r w:rsidR="009B48F7" w:rsidRPr="005459E6">
        <w:rPr>
          <w:rFonts w:ascii="Times New Roman" w:eastAsia="Times New Roman" w:hAnsi="Times New Roman" w:cs="Times New Roman"/>
          <w:noProof/>
        </w:rPr>
        <w:t>(Bohr &amp; Memarzadeh, 2020)</w:t>
      </w:r>
      <w:r w:rsidR="00C302DC" w:rsidRPr="005459E6">
        <w:rPr>
          <w:rFonts w:ascii="Times New Roman" w:eastAsia="Times New Roman" w:hAnsi="Times New Roman" w:cs="Times New Roman"/>
        </w:rPr>
        <w:fldChar w:fldCharType="end"/>
      </w:r>
      <w:r w:rsidR="006475AE" w:rsidRPr="005459E6">
        <w:rPr>
          <w:rFonts w:ascii="Times New Roman" w:eastAsia="Times New Roman" w:hAnsi="Times New Roman" w:cs="Times New Roman"/>
        </w:rPr>
        <w:t>,</w:t>
      </w:r>
      <w:r w:rsidR="00C302DC" w:rsidRPr="005459E6">
        <w:rPr>
          <w:rFonts w:ascii="Times New Roman" w:eastAsia="Times New Roman" w:hAnsi="Times New Roman" w:cs="Times New Roman"/>
        </w:rPr>
        <w:t xml:space="preserve"> current literature r</w:t>
      </w:r>
      <w:r w:rsidR="00C302DC" w:rsidRPr="005459E6">
        <w:rPr>
          <w:rFonts w:ascii="Times New Roman" w:hAnsi="Times New Roman" w:cs="Times New Roman"/>
        </w:rPr>
        <w:t xml:space="preserve">eveals several AI applications for health services </w:t>
      </w:r>
      <w:r w:rsidR="004970FE" w:rsidRPr="005459E6">
        <w:rPr>
          <w:rFonts w:ascii="Times New Roman" w:hAnsi="Times New Roman" w:cs="Times New Roman"/>
        </w:rPr>
        <w:t>that</w:t>
      </w:r>
      <w:r w:rsidR="00C302DC" w:rsidRPr="005459E6">
        <w:rPr>
          <w:rFonts w:ascii="Times New Roman" w:hAnsi="Times New Roman" w:cs="Times New Roman"/>
        </w:rPr>
        <w:t xml:space="preserve"> ha</w:t>
      </w:r>
      <w:r w:rsidR="004970FE" w:rsidRPr="005459E6">
        <w:rPr>
          <w:rFonts w:ascii="Times New Roman" w:hAnsi="Times New Roman" w:cs="Times New Roman"/>
        </w:rPr>
        <w:t>ve</w:t>
      </w:r>
      <w:r w:rsidR="00C302DC" w:rsidRPr="005459E6">
        <w:rPr>
          <w:rFonts w:ascii="Times New Roman" w:hAnsi="Times New Roman" w:cs="Times New Roman"/>
        </w:rPr>
        <w:t xml:space="preserve"> not fully been explored </w:t>
      </w:r>
      <w:r w:rsidR="00C302DC" w:rsidRPr="005459E6">
        <w:rPr>
          <w:rFonts w:ascii="Times New Roman" w:hAnsi="Times New Roman" w:cs="Times New Roman"/>
        </w:rPr>
        <w:fldChar w:fldCharType="begin" w:fldLock="1"/>
      </w:r>
      <w:r w:rsidR="00C302DC" w:rsidRPr="005459E6">
        <w:rPr>
          <w:rFonts w:ascii="Times New Roman" w:hAnsi="Times New Roman" w:cs="Times New Roman"/>
        </w:rPr>
        <w:instrText>ADDIN CSL_CITATION {"citationItems":[{"id":"ITEM-1","itemData":{"DOI":"10.1186/s12911-021-01488-9","ISSN":"14726947","PMID":"33836752","abstract":"Background/Introduction: Artificial intelligence (AI) in the healthcare sector is receiving attention from researchers and health professionals. Few previous studies have investigated this topic from a multi-disciplinary perspective, including accounting, business and management, decision sciences and health professions. Methods: The structured literature review with its reliable and replicable research protocol allowed the researchers to extract 288 peer-reviewed papers from Scopus. The authors used qualitative and quantitative variables to analyse authors, journals, keywords, and collaboration networks among researchers. Additionally, the paper benefited from the Bibliometrix R software package. Results: The investigation showed that the literature in this field is emerging. It focuses on health services management, predictive medicine, patient data and diagnostics, and clinical decision-making. The United States, China, and the United Kingdom contributed the highest number of studies. Keyword analysis revealed that AI can support physicians in making a diagnosis, predicting the spread of diseases and customising treatment paths. Conclusions: The literature reveals several AI applications for health services and a stream of research that has not fully been covered. For instance, AI projects require skills and data quality awareness for data-intensive analysis and knowledge-based management. Insights can help researchers and health professionals understand and address future research on AI in the healthcare field.","author":[{"dropping-particle":"","family":"Secinaro","given":"Silvana","non-dropping-particle":"","parse-names":false,"suffix":""},{"dropping-particle":"","family":"Calandra","given":"Davide","non-dropping-particle":"","parse-names":false,"suffix":""},{"dropping-particle":"","family":"Secinaro","given":"Aurelio","non-dropping-particle":"","parse-names":false,"suffix":""},{"dropping-particle":"","family":"Muthurangu","given":"Vivek","non-dropping-particle":"","parse-names":false,"suffix":""},{"dropping-particle":"","family":"Biancone","given":"Paolo","non-dropping-particle":"","parse-names":false,"suffix":""}],"container-title":"BMC Medical Informatics and Decision Making","id":"ITEM-1","issue":"1","issued":{"date-parts":[["2021"]]},"page":"1-23","publisher":"BioMed Central","title":"The role of artificial intelligence in healthcare: a structured literature review","type":"article-journal","volume":"21"},"uris":["http://www.mendeley.com/documents/?uuid=ac79c666-509d-447b-ac31-6dc6bfb896a9"]}],"mendeley":{"formattedCitation":"(Secinaro et al., 2021)","plainTextFormattedCitation":"(Secinaro et al., 2021)","previouslyFormattedCitation":"(Secinaro et al., 2021)"},"properties":{"noteIndex":0},"schema":"https://github.com/citation-style-language/schema/raw/master/csl-citation.json"}</w:instrText>
      </w:r>
      <w:r w:rsidR="00C302DC" w:rsidRPr="005459E6">
        <w:rPr>
          <w:rFonts w:ascii="Times New Roman" w:hAnsi="Times New Roman" w:cs="Times New Roman"/>
        </w:rPr>
        <w:fldChar w:fldCharType="separate"/>
      </w:r>
      <w:r w:rsidR="00C302DC" w:rsidRPr="005459E6">
        <w:rPr>
          <w:rFonts w:ascii="Times New Roman" w:hAnsi="Times New Roman" w:cs="Times New Roman"/>
          <w:noProof/>
        </w:rPr>
        <w:t>(Secinaro et al., 2021)</w:t>
      </w:r>
      <w:r w:rsidR="00C302DC" w:rsidRPr="005459E6">
        <w:rPr>
          <w:rFonts w:ascii="Times New Roman" w:hAnsi="Times New Roman" w:cs="Times New Roman"/>
        </w:rPr>
        <w:fldChar w:fldCharType="end"/>
      </w:r>
      <w:r w:rsidR="00C302DC" w:rsidRPr="005459E6">
        <w:rPr>
          <w:rFonts w:ascii="Times New Roman" w:hAnsi="Times New Roman" w:cs="Times New Roman"/>
        </w:rPr>
        <w:t xml:space="preserve">. </w:t>
      </w:r>
      <w:r w:rsidR="00C302DC" w:rsidRPr="005459E6">
        <w:rPr>
          <w:rFonts w:ascii="Times New Roman" w:eastAsia="Times New Roman" w:hAnsi="Times New Roman" w:cs="Times New Roman"/>
        </w:rPr>
        <w:t xml:space="preserve"> As suggested by </w:t>
      </w:r>
      <w:r w:rsidR="00C302DC" w:rsidRPr="005459E6">
        <w:rPr>
          <w:rFonts w:ascii="Times New Roman" w:eastAsia="Times New Roman" w:hAnsi="Times New Roman" w:cs="Times New Roman"/>
        </w:rPr>
        <w:fldChar w:fldCharType="begin" w:fldLock="1"/>
      </w:r>
      <w:r w:rsidR="00EB2B17" w:rsidRPr="005459E6">
        <w:rPr>
          <w:rFonts w:ascii="Times New Roman" w:eastAsia="Times New Roman" w:hAnsi="Times New Roman" w:cs="Times New Roman"/>
        </w:rPr>
        <w:instrText>ADDIN CSL_CITATION {"citationItems":[{"id":"ITEM-1","itemData":{"DOI":"10.3892/etm.2020.9118","ISSN":"1792-0981","abstract":"Since its introduction in 1959, artificial intelligence technology has evolved rapidly and helped benefit research, industries and medicine. Deep learning, as a process of artificial intelligence (AI) is used in ophthalmology for data analysis, segmentation, automated diagnosis and possible outcome predictions. The association of deep learning and optical coherence tomography (OCT) technologies has proven reliable for the detection of retinal diseases and improving the diagnostic performance of the eye's posterior segment diseases. This review explored the possibility of implementing and using AI in establishing the diagnosis of retinal disorders. The benefits and limitations of AI in the field of retinal disease medical management were investigated by analyzing the most recent literature data. Furthermore, the future trends of AI involvement in ophthalmology were analyzed, as AI will be part of the decision-making regarding the scientific investigation, diagnosis and therapeutic management.Copyright © 2020 Spandidos Publications. All rights reserved.","author":[{"dropping-particle":"","family":"Moraru","given":"Andreea","non-dropping-particle":"","parse-names":false,"suffix":""},{"dropping-particle":"","family":"Costin","given":"Danut","non-dropping-particle":"","parse-names":false,"suffix":""},{"dropping-particle":"","family":"Moraru","given":"Radu","non-dropping-particle":"","parse-names":false,"suffix":""},{"dropping-particle":"","family":"Branisteanu","given":"Daniel","non-dropping-particle":"","parse-names":false,"suffix":""}],"container-title":"Experimental and Therapeutic Medicine","id":"ITEM-1","issued":{"date-parts":[["2020"]]},"page":"3469-3473","title":"Artificial intelligence and deep learning in ophthalmology - present and future (Review)","type":"article-journal"},"uris":["http://www.mendeley.com/documents/?uuid=0aeaa12f-e204-44d7-98fd-7e0661895e89"]}],"mendeley":{"formattedCitation":"(Moraru et al., 2020)","manualFormatting":"Moraru et al. (2020)","plainTextFormattedCitation":"(Moraru et al., 2020)","previouslyFormattedCitation":"(Moraru et al., 2020)"},"properties":{"noteIndex":0},"schema":"https://github.com/citation-style-language/schema/raw/master/csl-citation.json"}</w:instrText>
      </w:r>
      <w:r w:rsidR="00C302DC" w:rsidRPr="005459E6">
        <w:rPr>
          <w:rFonts w:ascii="Times New Roman" w:eastAsia="Times New Roman" w:hAnsi="Times New Roman" w:cs="Times New Roman"/>
        </w:rPr>
        <w:fldChar w:fldCharType="separate"/>
      </w:r>
      <w:r w:rsidR="00C302DC" w:rsidRPr="005459E6">
        <w:rPr>
          <w:rFonts w:ascii="Times New Roman" w:eastAsia="Times New Roman" w:hAnsi="Times New Roman" w:cs="Times New Roman"/>
          <w:noProof/>
        </w:rPr>
        <w:t xml:space="preserve">Moraru et al. </w:t>
      </w:r>
      <w:r w:rsidR="00EB2B17" w:rsidRPr="005459E6">
        <w:rPr>
          <w:rFonts w:ascii="Times New Roman" w:eastAsia="Times New Roman" w:hAnsi="Times New Roman" w:cs="Times New Roman"/>
          <w:noProof/>
        </w:rPr>
        <w:t>(</w:t>
      </w:r>
      <w:r w:rsidR="00C302DC" w:rsidRPr="005459E6">
        <w:rPr>
          <w:rFonts w:ascii="Times New Roman" w:eastAsia="Times New Roman" w:hAnsi="Times New Roman" w:cs="Times New Roman"/>
          <w:noProof/>
        </w:rPr>
        <w:t>2020)</w:t>
      </w:r>
      <w:r w:rsidR="00C302DC" w:rsidRPr="005459E6">
        <w:rPr>
          <w:rFonts w:ascii="Times New Roman" w:eastAsia="Times New Roman" w:hAnsi="Times New Roman" w:cs="Times New Roman"/>
        </w:rPr>
        <w:fldChar w:fldCharType="end"/>
      </w:r>
      <w:r w:rsidR="004970FE" w:rsidRPr="005459E6">
        <w:rPr>
          <w:rFonts w:ascii="Times New Roman" w:eastAsia="Times New Roman" w:hAnsi="Times New Roman" w:cs="Times New Roman"/>
        </w:rPr>
        <w:t>,</w:t>
      </w:r>
      <w:r w:rsidR="00C302DC" w:rsidRPr="005459E6">
        <w:rPr>
          <w:rFonts w:ascii="Times New Roman" w:eastAsia="Times New Roman" w:hAnsi="Times New Roman" w:cs="Times New Roman"/>
        </w:rPr>
        <w:t xml:space="preserve"> the prominent applications are in the form of deep learning. </w:t>
      </w:r>
    </w:p>
    <w:p w14:paraId="24ECB1BF" w14:textId="49C1CCB0" w:rsidR="00C302DC" w:rsidRPr="005459E6" w:rsidRDefault="00C302DC" w:rsidP="00042CB0">
      <w:pPr>
        <w:spacing w:before="100" w:beforeAutospacing="1" w:after="100" w:afterAutospacing="1" w:line="360" w:lineRule="auto"/>
        <w:jc w:val="both"/>
        <w:rPr>
          <w:rFonts w:ascii="Times New Roman" w:eastAsia="Times New Roman" w:hAnsi="Times New Roman" w:cs="Times New Roman"/>
        </w:rPr>
      </w:pPr>
      <w:r w:rsidRPr="005459E6">
        <w:rPr>
          <w:rFonts w:ascii="Times New Roman" w:eastAsia="Times New Roman" w:hAnsi="Times New Roman" w:cs="Times New Roman"/>
        </w:rPr>
        <w:t xml:space="preserve">Although AI technologies are attracting substantial attention in medical research, real-life implementation in the form of healthcare services </w:t>
      </w:r>
      <w:r w:rsidR="004970FE" w:rsidRPr="005459E6">
        <w:rPr>
          <w:rFonts w:ascii="Times New Roman" w:eastAsia="Times New Roman" w:hAnsi="Times New Roman" w:cs="Times New Roman"/>
        </w:rPr>
        <w:t>is</w:t>
      </w:r>
      <w:r w:rsidRPr="005459E6">
        <w:rPr>
          <w:rFonts w:ascii="Times New Roman" w:eastAsia="Times New Roman" w:hAnsi="Times New Roman" w:cs="Times New Roman"/>
        </w:rPr>
        <w:t xml:space="preserve"> still facing obstacles </w:t>
      </w:r>
      <w:r w:rsidRPr="005459E6">
        <w:rPr>
          <w:rFonts w:ascii="Times New Roman" w:eastAsia="Times New Roman" w:hAnsi="Times New Roman" w:cs="Times New Roman"/>
        </w:rPr>
        <w:fldChar w:fldCharType="begin" w:fldLock="1"/>
      </w:r>
      <w:r w:rsidR="00E62BEF" w:rsidRPr="005459E6">
        <w:rPr>
          <w:rFonts w:ascii="Times New Roman" w:eastAsia="Times New Roman" w:hAnsi="Times New Roman" w:cs="Times New Roman"/>
        </w:rPr>
        <w:instrText>ADDIN CSL_CITATION {"citationItems":[{"id":"ITEM-1","itemData":{"DOI":"10.1136/svn-2017-000101","ISSN":"20598696","PMID":"29507784","abstract":"Artificial intelligence (AI) aims to mimic human cognitive functions. It is bringing a paradigm shift to healthcare, powered by increasing availability of healthcare data and rapid progress of analytics techniques. We survey the current status of AI applications in healthcare and discuss its future. AI can be applied to various types of healthcare data (structured and unstructured). Popular AI techniques include machine learning methods for structured data, such as the classical support vector machine and neural network, and the modern deep learning, as well as natural language processing for unstructured data. Major disease areas that use AI tools include cancer, neurology and cardiology. We then review in more details the AI applications in stroke, in the three major areas of early detection and diagnosis, treatment, as well as outcome prediction and prognosis evaluation. We conclude with discussion about pioneer AI systems, such as IBM Watson, and hurdles for real-life deployment of AI.","author":[{"dropping-particle":"","family":"Jiang","given":"Fei","non-dropping-particle":"","parse-names":false,"suffix":""},{"dropping-particle":"","family":"Jiang","given":"Yong","non-dropping-particle":"","parse-names":false,"suffix":""},{"dropping-particle":"","family":"Zhi","given":"Hui","non-dropping-particle":"","parse-names":false,"suffix":""},{"dropping-particle":"","family":"Dong","given":"Yi","non-dropping-particle":"","parse-names":false,"suffix":""},{"dropping-particle":"","family":"Li","given":"Hao","non-dropping-particle":"","parse-names":false,"suffix":""},{"dropping-particle":"","family":"Ma","given":"Sufeng","non-dropping-particle":"","parse-names":false,"suffix":""},{"dropping-particle":"","family":"Wang","given":"Yilong","non-dropping-particle":"","parse-names":false,"suffix":""},{"dropping-particle":"","family":"Dong","given":"Qiang","non-dropping-particle":"","parse-names":false,"suffix":""},{"dropping-particle":"","family":"Shen","given":"Haipeng","non-dropping-particle":"","parse-names":false,"suffix":""},{"dropping-particle":"","family":"Wang","given":"Yongjun","non-dropping-particle":"","parse-names":false,"suffix":""}],"container-title":"Stroke and Vascular Neurology","id":"ITEM-1","issue":"4","issued":{"date-parts":[["2017"]]},"page":"230-243","title":"Artificial intelligence in healthcare: Past, present and future","type":"article-journal","volume":"2"},"uris":["http://www.mendeley.com/documents/?uuid=4d01713b-a957-469d-9e62-ba40eb8809e4"]}],"mendeley":{"formattedCitation":"(Jiang et al., 2017a)","manualFormatting":"(Jiang et al., 2017)","plainTextFormattedCitation":"(Jiang et al., 2017a)","previouslyFormattedCitation":"(Jiang et al., 2017a)"},"properties":{"noteIndex":0},"schema":"https://github.com/citation-style-language/schema/raw/master/csl-citation.json"}</w:instrText>
      </w:r>
      <w:r w:rsidRPr="005459E6">
        <w:rPr>
          <w:rFonts w:ascii="Times New Roman" w:eastAsia="Times New Roman" w:hAnsi="Times New Roman" w:cs="Times New Roman"/>
        </w:rPr>
        <w:fldChar w:fldCharType="separate"/>
      </w:r>
      <w:r w:rsidR="0045309C" w:rsidRPr="005459E6">
        <w:rPr>
          <w:rFonts w:ascii="Times New Roman" w:eastAsia="Times New Roman" w:hAnsi="Times New Roman" w:cs="Times New Roman"/>
          <w:noProof/>
        </w:rPr>
        <w:t>(Jiang et al., 2017)</w:t>
      </w:r>
      <w:r w:rsidRPr="005459E6">
        <w:rPr>
          <w:rFonts w:ascii="Times New Roman" w:eastAsia="Times New Roman" w:hAnsi="Times New Roman" w:cs="Times New Roman"/>
        </w:rPr>
        <w:fldChar w:fldCharType="end"/>
      </w:r>
      <w:r w:rsidRPr="005459E6">
        <w:rPr>
          <w:rFonts w:ascii="Times New Roman" w:eastAsia="Times New Roman" w:hAnsi="Times New Roman" w:cs="Times New Roman"/>
        </w:rPr>
        <w:t xml:space="preserve">. Hence recent inclination shows that scholars have started focusing on understanding how AI-driven solutions could affect services </w:t>
      </w:r>
      <w:r w:rsidRPr="005459E6">
        <w:rPr>
          <w:rFonts w:ascii="Times New Roman" w:eastAsia="Times New Roman" w:hAnsi="Times New Roman" w:cs="Times New Roman"/>
        </w:rPr>
        <w:fldChar w:fldCharType="begin" w:fldLock="1"/>
      </w:r>
      <w:r w:rsidR="00927EB2" w:rsidRPr="005459E6">
        <w:rPr>
          <w:rFonts w:ascii="Times New Roman" w:eastAsia="Times New Roman" w:hAnsi="Times New Roman" w:cs="Times New Roman"/>
        </w:rPr>
        <w:instrText>ADDIN CSL_CITATION {"citationItems":[{"id":"ITEM-1","itemData":{"ISSN":"1552-7824","author":[{"dropping-particle":"","family":"Huang","given":"Ming-Hui","non-dropping-particle":"","parse-names":false,"suffix":""},{"dropping-particle":"","family":"Rust","given":"Roland T","non-dropping-particle":"","parse-names":false,"suffix":""}],"container-title":"Journal of the Academy of Marketing Science","id":"ITEM-1","issue":"6","issued":{"date-parts":[["2017"]]},"page":"906-924","publisher":"Springer","title":"Technology-driven service strategy","type":"article-journal","volume":"45"},"uris":["http://www.mendeley.com/documents/?uuid=465f6ae6-44b3-4f71-a5dc-5cb04d46dd4b"]}],"mendeley":{"formattedCitation":"(M.-H. Huang &amp; Rust, 2017)","manualFormatting":"(Huang &amp; Rust, 2017)","plainTextFormattedCitation":"(M.-H. Huang &amp; Rust, 2017)","previouslyFormattedCitation":"(M.-H. Huang &amp; Rust, 2017)"},"properties":{"noteIndex":0},"schema":"https://github.com/citation-style-language/schema/raw/master/csl-citation.json"}</w:instrText>
      </w:r>
      <w:r w:rsidRPr="005459E6">
        <w:rPr>
          <w:rFonts w:ascii="Times New Roman" w:eastAsia="Times New Roman" w:hAnsi="Times New Roman" w:cs="Times New Roman"/>
        </w:rPr>
        <w:fldChar w:fldCharType="separate"/>
      </w:r>
      <w:r w:rsidR="00E34FD2" w:rsidRPr="005459E6">
        <w:rPr>
          <w:rFonts w:ascii="Times New Roman" w:eastAsia="Times New Roman" w:hAnsi="Times New Roman" w:cs="Times New Roman"/>
          <w:noProof/>
        </w:rPr>
        <w:t>(Huang &amp; Rust, 2017)</w:t>
      </w:r>
      <w:r w:rsidRPr="005459E6">
        <w:rPr>
          <w:rFonts w:ascii="Times New Roman" w:eastAsia="Times New Roman" w:hAnsi="Times New Roman" w:cs="Times New Roman"/>
        </w:rPr>
        <w:fldChar w:fldCharType="end"/>
      </w:r>
      <w:r w:rsidRPr="005459E6">
        <w:rPr>
          <w:rFonts w:ascii="Times New Roman" w:eastAsia="Times New Roman" w:hAnsi="Times New Roman" w:cs="Times New Roman"/>
        </w:rPr>
        <w:t>.</w:t>
      </w:r>
    </w:p>
    <w:p w14:paraId="519D6CD4" w14:textId="77777777" w:rsidR="00427574" w:rsidRPr="005459E6" w:rsidRDefault="00427574" w:rsidP="00042CB0">
      <w:pPr>
        <w:spacing w:line="360" w:lineRule="auto"/>
        <w:jc w:val="both"/>
        <w:rPr>
          <w:rFonts w:ascii="Times New Roman" w:hAnsi="Times New Roman" w:cs="Times New Roman"/>
        </w:rPr>
      </w:pPr>
    </w:p>
    <w:p w14:paraId="276BB37F" w14:textId="30268A89" w:rsidR="00C302DC" w:rsidRPr="005459E6" w:rsidRDefault="00C302DC" w:rsidP="00042CB0">
      <w:pPr>
        <w:spacing w:line="360" w:lineRule="auto"/>
        <w:jc w:val="both"/>
        <w:rPr>
          <w:rFonts w:ascii="Times New Roman" w:hAnsi="Times New Roman" w:cs="Times New Roman"/>
        </w:rPr>
      </w:pPr>
      <w:r w:rsidRPr="005459E6">
        <w:rPr>
          <w:rFonts w:ascii="Times New Roman" w:hAnsi="Times New Roman" w:cs="Times New Roman"/>
        </w:rPr>
        <w:t>At the same time, there are considerably few studies observing the impact of A.I. on Psychological Well-being. As far as existing utilities of AI are concerned</w:t>
      </w:r>
      <w:r w:rsidR="004970FE" w:rsidRPr="005459E6">
        <w:rPr>
          <w:rFonts w:ascii="Times New Roman" w:hAnsi="Times New Roman" w:cs="Times New Roman"/>
        </w:rPr>
        <w:t>,</w:t>
      </w:r>
      <w:r w:rsidRPr="005459E6">
        <w:rPr>
          <w:rFonts w:ascii="Times New Roman" w:hAnsi="Times New Roman" w:cs="Times New Roman"/>
        </w:rPr>
        <w:t xml:space="preserve"> the concentration stays on Physical health</w:t>
      </w:r>
      <w:r w:rsidR="004970FE" w:rsidRPr="005459E6">
        <w:rPr>
          <w:rFonts w:ascii="Times New Roman" w:hAnsi="Times New Roman" w:cs="Times New Roman"/>
        </w:rPr>
        <w:t>,</w:t>
      </w:r>
      <w:r w:rsidRPr="005459E6">
        <w:rPr>
          <w:rFonts w:ascii="Times New Roman" w:hAnsi="Times New Roman" w:cs="Times New Roman"/>
        </w:rPr>
        <w:t xml:space="preserve"> with mental health taking a back</w:t>
      </w:r>
      <w:r w:rsidR="00D12312" w:rsidRPr="005459E6">
        <w:rPr>
          <w:rFonts w:ascii="Times New Roman" w:hAnsi="Times New Roman" w:cs="Times New Roman"/>
        </w:rPr>
        <w:t xml:space="preserve"> </w:t>
      </w:r>
      <w:r w:rsidRPr="005459E6">
        <w:rPr>
          <w:rFonts w:ascii="Times New Roman" w:hAnsi="Times New Roman" w:cs="Times New Roman"/>
        </w:rPr>
        <w:t xml:space="preserve">seat </w:t>
      </w:r>
      <w:r w:rsidRPr="005459E6">
        <w:rPr>
          <w:rFonts w:ascii="Times New Roman" w:hAnsi="Times New Roman" w:cs="Times New Roman"/>
        </w:rPr>
        <w:fldChar w:fldCharType="begin" w:fldLock="1"/>
      </w:r>
      <w:r w:rsidR="00927EB2" w:rsidRPr="005459E6">
        <w:rPr>
          <w:rFonts w:ascii="Times New Roman" w:hAnsi="Times New Roman" w:cs="Times New Roman"/>
        </w:rPr>
        <w:instrText>ADDIN CSL_CITATION {"citationItems":[{"id":"ITEM-1","itemData":{"ISSN":"0894-9115","abstract":"Artificial intelligence methods are being applied broadly in society and increasingly in health care and research. Machine learning, a subset of artificial intelligence, represents the study of algorithms that improve automatically with experience. This article provides a basic overview of artificial intelligence, machine learning categories, common applications in the business sphere, advantages and disadvantages of using this technology, and example applications in rehabilitation and other fields for contextual purposes. The study and implementation of machine learning and artificial intelligence can function to improve patient care and represents a burgeoning area of research.","author":[{"dropping-particle":"","family":"Anderson","given":"Dustin","non-dropping-particle":"","parse-names":false,"suffix":""}],"container-title":"American Journal of Physical Medicine &amp; Rehabilitation","id":"ITEM-1","issue":"11","issued":{"date-parts":[["2019"]]},"title":"Artificial Intelligence and Applications in PM&amp;R","type":"article-journal","volume":"98"},"uris":["http://www.mendeley.com/documents/?uuid=454c3490-e678-47aa-861a-59ee2cd06c0c"]},{"id":"ITEM-2","itemData":{"abstract":"Artificial Intelligence has been widely used in many fields of the real-life. It is remarkable that especially fields associated with improving humankind's daily life are affected by use of Artificial Intelligence methods and that scientific area makes it possible to obtain improved-advanced intelligent systems, which are more effective in terms of solution ways. In this context, the field of medical includes wide use of Artificial Intelligence for making the medical service or solution approach better for humans. Especially using such intelligent solutions in physical medical devices is one of the most popular research interests followed by scientific audience. For example, Fuzzy Logic can be used better controlled medical devices for better user experience and improved recovering times. On the other hand, Machine Learning techniques make it possible to learn from users' experiences in order to reduce recovering time and also making treatment more effective / efficient. Objective of this chapter is to provide a general view on use of Artificial Intelligence in improving physical medical devices. Starting from simple applications and moving towards to advanced ones, the associated literature has many different research works done so far. Since the study done within this chapter is a general look at to the literature, it is believed it will a good contribution for the interested researchers / readers working on physical medical devices and its improvement with advanced technologies like Artificial Intelligence.","author":[{"dropping-particle":"","family":"Yigit","given":"Tuncay","non-dropping-particle":"","parse-names":false,"suffix":""},{"dropping-particle":"","family":"Celik","given":"Sena","non-dropping-particle":"","parse-names":false,"suffix":""},{"dropping-particle":"","family":"Kose","given":"Utku","non-dropping-particle":"","parse-names":false,"suffix":""}],"id":"ITEM-2","issue":"December","issued":{"date-parts":[["2019"]]},"title":"Artificial Intelligence for Improving Physical Medical Device Using Experience","type":"article-journal"},"uris":["http://www.mendeley.com/documents/?uuid=3d3dfed8-ccfe-450d-b088-278b4e008675"]}],"mendeley":{"formattedCitation":"(D. Anderson, 2019; Yigit et al., 2019)","manualFormatting":"(Anderson, 2019; Yigit et al., 2019)","plainTextFormattedCitation":"(D. Anderson, 2019; Yigit et al., 2019)","previouslyFormattedCitation":"(D. Anderson, 2019; Yigit et al., 2019)"},"properties":{"noteIndex":0},"schema":"https://github.com/citation-style-language/schema/raw/master/csl-citation.json"}</w:instrText>
      </w:r>
      <w:r w:rsidRPr="005459E6">
        <w:rPr>
          <w:rFonts w:ascii="Times New Roman" w:hAnsi="Times New Roman" w:cs="Times New Roman"/>
        </w:rPr>
        <w:fldChar w:fldCharType="separate"/>
      </w:r>
      <w:r w:rsidR="001C38A4" w:rsidRPr="005459E6">
        <w:rPr>
          <w:rFonts w:ascii="Times New Roman" w:hAnsi="Times New Roman" w:cs="Times New Roman"/>
          <w:noProof/>
        </w:rPr>
        <w:t>(Anderson, 2019; Yigit et al., 2019)</w:t>
      </w:r>
      <w:r w:rsidRPr="005459E6">
        <w:rPr>
          <w:rFonts w:ascii="Times New Roman" w:hAnsi="Times New Roman" w:cs="Times New Roman"/>
        </w:rPr>
        <w:fldChar w:fldCharType="end"/>
      </w:r>
      <w:r w:rsidRPr="005459E6">
        <w:rPr>
          <w:rFonts w:ascii="Times New Roman" w:hAnsi="Times New Roman" w:cs="Times New Roman"/>
        </w:rPr>
        <w:t xml:space="preserve">. As </w:t>
      </w:r>
      <w:r w:rsidR="00D12312" w:rsidRPr="005459E6">
        <w:rPr>
          <w:rFonts w:ascii="Times New Roman" w:hAnsi="Times New Roman" w:cs="Times New Roman"/>
        </w:rPr>
        <w:t>conveyed by</w:t>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{"citationItems":[{"id":"ITEM-1","itemData":{"DOI":"10.1109/TAFFC.2020.3015018","ISSN":"19493045","abstract":"Mental health problems are on the rise globally and strain national health systems worldwide. Mental disorders are closely associated with fear of stigma, structural barriers such as financial burden, and lack of available services and resources which often prohibit the delivery of frequent clinical advice and monitoring. Technologies for mental well-being exhibit a range of attractive properties, which facilitate the delivery of state-of-the-art clinical monitoring. This review article provides an overview of traditional techniques followed by their technological alternatives, sensing devices, behaviour changing tools, and feedback interfaces. The challenges presented by these technologies are then discussed with data collection, privacy, and battery life being some of the key issues which need to be carefully considered for the successful deployment of mental health toolkits. Finally, the opportunities this growing research area presents are discussed including the use of portable tangible interfaces combining sensing and feedback technologies. Capitalising on the data these ubiquitous devices can record, state of the art machine learning algorithms can lead to the development of robust clinical decision support tools towards diagnosis and improvement of mental well-being delivery in real-time.","author":[{"dropping-particle":"","family":"Woodward","given":"Kieran","non-dropping-particle":"","parse-names":false,"suffix":""},{"dropping-particle":"","family":"Kanjo","given":"Eiman","non-dropping-particle":"","parse-names":false,"suffix":""},{"dropping-particle":"","family":"Brown","given":"David","non-dropping-particle":"","parse-names":false,"suffix":""},{"dropping-particle":"","family":"McGinnity","given":"Thomas M.","non-dropping-particle":"","parse-names":false,"suffix":""},{"dropping-particle":"","family":"Inkster","given":"Becky","non-dropping-particle":"","parse-names":false,"suffix":""},{"dropping-particle":"","family":"MacIntyre","given":"Donald","non-dropping-particle":"","parse-names":false,"suffix":""},{"dropping-particle":"","family":"Tsanas","given":"Thanasis","non-dropping-particle":"","parse-names":false,"suffix":""}],"container-title":"IEEE Transactions on Affective Computing","id":"ITEM-1","issued":{"date-parts":[["2020"]]},"page":"1-20","title":"Beyond Mobile Apps: a Survey of Technologies for Mental Well-being","type":"article-journal"},"uris":["http://www.mendeley.com/documents/?uuid=e6a8a0ef-d695-4b21-be2d-8576661eaec4"]}],"mendeley":{"formattedCitation":"(Woodward et al., 2020)","manualFormatting":"Woodward et al. (2020)","plainTextFormattedCitation":"(Woodward et al., 2020)","previouslyFormattedCitation":"(Woodward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Woodward et al. (2020)</w:t>
      </w:r>
      <w:r w:rsidRPr="005459E6">
        <w:rPr>
          <w:rFonts w:ascii="Times New Roman" w:hAnsi="Times New Roman" w:cs="Times New Roman"/>
        </w:rPr>
        <w:fldChar w:fldCharType="end"/>
      </w:r>
      <w:r w:rsidR="004970FE" w:rsidRPr="005459E6">
        <w:rPr>
          <w:rFonts w:ascii="Times New Roman" w:hAnsi="Times New Roman" w:cs="Times New Roman"/>
        </w:rPr>
        <w:t>,</w:t>
      </w:r>
      <w:r w:rsidRPr="005459E6">
        <w:rPr>
          <w:rFonts w:ascii="Times New Roman" w:hAnsi="Times New Roman" w:cs="Times New Roman"/>
        </w:rPr>
        <w:t xml:space="preserve"> the fulfillment of psychological well-being using AI has been mainly limited to </w:t>
      </w:r>
      <w:r w:rsidR="004970FE" w:rsidRPr="005459E6">
        <w:rPr>
          <w:rFonts w:ascii="Times New Roman" w:hAnsi="Times New Roman" w:cs="Times New Roman"/>
        </w:rPr>
        <w:t xml:space="preserve">the </w:t>
      </w:r>
      <w:r w:rsidRPr="005459E6">
        <w:rPr>
          <w:rFonts w:ascii="Times New Roman" w:hAnsi="Times New Roman" w:cs="Times New Roman"/>
        </w:rPr>
        <w:t xml:space="preserve">use of smartphone </w:t>
      </w:r>
      <w:r w:rsidR="004970FE" w:rsidRPr="005459E6">
        <w:rPr>
          <w:rFonts w:ascii="Times New Roman" w:hAnsi="Times New Roman" w:cs="Times New Roman"/>
        </w:rPr>
        <w:t>a</w:t>
      </w:r>
      <w:r w:rsidRPr="005459E6">
        <w:rPr>
          <w:rFonts w:ascii="Times New Roman" w:hAnsi="Times New Roman" w:cs="Times New Roman"/>
        </w:rPr>
        <w:t xml:space="preserve">pplications. Other studies in the same domain offer limited applications via Neuroscience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{"citationItems":[{"id":"ITEM-1","itemData":{"DOI":"10.1109/EMBC.2014.6944641","ISSN":"2694-0604 (Electronic)","PMID":"25571009","abstract":"A real-time stage 1 sleep detection system using a low-cost single dry-sensor EEG headset is described. This device issues an auditory warning at the onset of stage 1 sleep using the \"NeuroSky Mindset,\" an inexpensive commercial entertainment-based headset. The EEG signal is filtered into low/high alpha and low/high beta frequency bands which are analyzed to indicate the onset of sleep. Preliminary results indicate an 81% effective rate of detecting sleep with all failures being false positives of sleep onset. This device was able to predict and respond to the onset of drowsiness preceding stage 1 sleep allowing for earlier warnings with the result of fewer sleep-related accidents.","author":[{"dropping-particle":"","family":"Hal","given":"Bryan","non-dropping-particle":"Van","parse-names":false,"suffix":""},{"dropping-particle":"","family":"Rhodes","given":"Samhita","non-dropping-particle":"","parse-names":false,"suffix":""},{"dropping-particle":"","family":"Dunne","given":"Bruce","non-dropping-particle":"","parse-names":false,"suffix":""},{"dropping-particle":"","family":"Bossemeyer","given":"Robert","non-dropping-particle":"","parse-names":false,"suffix":""}],"container-title":"Annual International Conference of the IEEE Engineering in Medicine and Biology Society. IEEE Engineering in Medicine and Biology Society. Annual International Conference","id":"ITEM-1","issued":{"date-parts":[["2014"]]},"language":"eng","page":"4571-4574","publisher-place":"United States","title":"Low-cost EEG-based sleep detection","type":"article-journal","volume":"2014"},"uris":["http://www.mendeley.com/documents/?uuid=da3fd2cc-d88f-4cd9-bc07-9eec75320ae2"]}],"mendeley":{"formattedCitation":"(Van Hal et al., 2014)","plainTextFormattedCitation":"(Van Hal et al., 2014)","previouslyFormattedCitation":"(Van Hal et al.,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(Van Hal et al., 2014)</w:t>
      </w:r>
      <w:r w:rsidRPr="005459E6">
        <w:rPr>
          <w:rFonts w:ascii="Times New Roman" w:hAnsi="Times New Roman" w:cs="Times New Roman"/>
        </w:rPr>
        <w:fldChar w:fldCharType="end"/>
      </w:r>
      <w:r w:rsidR="004970FE" w:rsidRPr="005459E6">
        <w:rPr>
          <w:rFonts w:ascii="Times New Roman" w:hAnsi="Times New Roman" w:cs="Times New Roman"/>
        </w:rPr>
        <w:t>,</w:t>
      </w:r>
      <w:r w:rsidRPr="005459E6">
        <w:rPr>
          <w:rFonts w:ascii="Times New Roman" w:hAnsi="Times New Roman" w:cs="Times New Roman"/>
        </w:rPr>
        <w:t xml:space="preserve"> and similar products can be </w:t>
      </w:r>
      <w:r w:rsidR="00D30B4A" w:rsidRPr="005459E6">
        <w:rPr>
          <w:rFonts w:ascii="Times New Roman" w:hAnsi="Times New Roman" w:cs="Times New Roman"/>
        </w:rPr>
        <w:t xml:space="preserve">seen </w:t>
      </w:r>
      <w:r w:rsidRPr="005459E6">
        <w:rPr>
          <w:rFonts w:ascii="Times New Roman" w:hAnsi="Times New Roman" w:cs="Times New Roman"/>
        </w:rPr>
        <w:t xml:space="preserve">using bio-feedback devices for concentration (example: </w:t>
      </w:r>
      <w:r w:rsidRPr="005459E6">
        <w:rPr>
          <w:rFonts w:ascii="Times New Roman" w:hAnsi="Times New Roman" w:cs="Times New Roman"/>
          <w:i/>
          <w:iCs/>
        </w:rPr>
        <w:t>Muse</w:t>
      </w:r>
      <w:r w:rsidRPr="005459E6">
        <w:rPr>
          <w:rFonts w:ascii="Times New Roman" w:hAnsi="Times New Roman" w:cs="Times New Roman"/>
        </w:rPr>
        <w:t xml:space="preserve"> ) &amp; sleep (example: </w:t>
      </w:r>
      <w:r w:rsidRPr="005459E6">
        <w:rPr>
          <w:rFonts w:ascii="Times New Roman" w:hAnsi="Times New Roman" w:cs="Times New Roman"/>
          <w:i/>
          <w:iCs/>
        </w:rPr>
        <w:t>Notion</w:t>
      </w:r>
      <w:r w:rsidRPr="005459E6">
        <w:rPr>
          <w:rFonts w:ascii="Times New Roman" w:hAnsi="Times New Roman" w:cs="Times New Roman"/>
        </w:rPr>
        <w:t xml:space="preserve">). </w:t>
      </w:r>
    </w:p>
    <w:p w14:paraId="65E71A65" w14:textId="2DE76977" w:rsidR="002461D7" w:rsidRPr="005459E6" w:rsidRDefault="00C302DC" w:rsidP="00042CB0">
      <w:pPr>
        <w:spacing w:line="360" w:lineRule="auto"/>
        <w:jc w:val="both"/>
        <w:rPr>
          <w:rFonts w:ascii="Times New Roman" w:hAnsi="Times New Roman" w:cs="Times New Roman"/>
        </w:rPr>
      </w:pPr>
      <w:r w:rsidRPr="005459E6">
        <w:rPr>
          <w:rFonts w:ascii="Times New Roman" w:hAnsi="Times New Roman" w:cs="Times New Roman"/>
        </w:rPr>
        <w:t xml:space="preserve">When it comes to </w:t>
      </w:r>
      <w:r w:rsidR="004970FE" w:rsidRPr="005459E6">
        <w:rPr>
          <w:rFonts w:ascii="Times New Roman" w:hAnsi="Times New Roman" w:cs="Times New Roman"/>
        </w:rPr>
        <w:t xml:space="preserve">the </w:t>
      </w:r>
      <w:r w:rsidRPr="005459E6">
        <w:rPr>
          <w:rFonts w:ascii="Times New Roman" w:hAnsi="Times New Roman" w:cs="Times New Roman"/>
        </w:rPr>
        <w:t xml:space="preserve">business implication of the individual well-being on </w:t>
      </w:r>
      <w:r w:rsidR="004970FE" w:rsidRPr="005459E6">
        <w:rPr>
          <w:rFonts w:ascii="Times New Roman" w:hAnsi="Times New Roman" w:cs="Times New Roman"/>
        </w:rPr>
        <w:t xml:space="preserve">the </w:t>
      </w:r>
      <w:r w:rsidRPr="005459E6">
        <w:rPr>
          <w:rFonts w:ascii="Times New Roman" w:hAnsi="Times New Roman" w:cs="Times New Roman"/>
        </w:rPr>
        <w:t>workplace environment</w:t>
      </w:r>
      <w:r w:rsidR="004970FE" w:rsidRPr="005459E6">
        <w:rPr>
          <w:rFonts w:ascii="Times New Roman" w:hAnsi="Times New Roman" w:cs="Times New Roman"/>
        </w:rPr>
        <w:t>,</w:t>
      </w:r>
      <w:r w:rsidRPr="005459E6">
        <w:rPr>
          <w:rFonts w:ascii="Times New Roman" w:hAnsi="Times New Roman" w:cs="Times New Roman"/>
        </w:rPr>
        <w:t xml:space="preserve"> the literature appears highly scarce. Considering the </w:t>
      </w:r>
      <w:r w:rsidR="0098746E" w:rsidRPr="005459E6">
        <w:rPr>
          <w:rFonts w:ascii="Times New Roman" w:hAnsi="Times New Roman" w:cs="Times New Roman"/>
        </w:rPr>
        <w:t xml:space="preserve">busy </w:t>
      </w:r>
      <w:r w:rsidRPr="005459E6">
        <w:rPr>
          <w:rFonts w:ascii="Times New Roman" w:hAnsi="Times New Roman" w:cs="Times New Roman"/>
        </w:rPr>
        <w:t xml:space="preserve">lifestyle </w:t>
      </w:r>
      <w:r w:rsidRPr="005459E6">
        <w:rPr>
          <w:rFonts w:ascii="Times New Roman" w:hAnsi="Times New Roman" w:cs="Times New Roman"/>
        </w:rPr>
        <w:fldChar w:fldCharType="begin" w:fldLock="1"/>
      </w:r>
      <w:r w:rsidR="006C6273" w:rsidRPr="005459E6">
        <w:rPr>
          <w:rFonts w:ascii="Times New Roman" w:hAnsi="Times New Roman" w:cs="Times New Roman"/>
        </w:rPr>
        <w:instrText>ADDIN CSL_CITATION {"citationItems":[{"id":"ITEM-1","itemData":{"abstract":"Objective: The aim of the present study was to investigate the stress level in a group of nurses and to correlate the stress level and its subsequent symptoms with personality factors. Materials and Methods: The study was conducted on 34 psychiatric nurses, 68% of them being female. The average age of the male subjects was 32.25 years with a standard deviation of 6.21 years, while the average age of the fe- male subjects was 35.18 years, with a standard deviation of 8.03 years. The analysis focused on the stress level, stress symptoms, age, dura- tion of employment and personality factors. Results: The findings showed that female staff members were more affected by stress as they grow older and have spent a longer time on the job, while male staff members were subjected to higher stress levels at the beginning of their activ- ity. Correlations between personality factors and stress both in concerns of perceived stress and the level of subsequent stress symptomatology were identified. High stress levels were identified in people with low social presence (r=-0.417, p=0.01) and low empathy (r=-0.393, p=0.02). A higher intensity of psychological symptoms following stress was also associated with low social presence (r =-0.379, p=0.03), low empathy (r=-0.465, p&lt;0.01), low independence (r=-0.347, p=0.04), low good impression (r=-0.380, p=0.03), low well-being state (r =-0.429, p=0.01), low tolerance (r=-0.484, p&lt;0.01), low intellectual efficiency (r=-0.406, p=0.02), low psychological intuition (r=-0.437, p=0.01), low work ori- entation (r=-0.463, p&lt;0.01) and increased femininity (r=0.431, p=0.01). Conclusion: Several personality factors, such as social presence, em- pathy, independence, good impression, intellectual efficiency, psychological intuition, work orientation, femininity render individuals more vulnerable","author":[{"dropping-particle":"","family":"Dumitru","given":"Voichita M","non-dropping-particle":"","parse-names":false,"suffix":""},{"dropping-particle":"","family":"Cozman","given":"Doina","non-dropping-particle":"","parse-names":false,"suffix":""}],"container-title":"International Journal of the Bioflux Society","id":"ITEM-1","issue":"1","issued":{"date-parts":[["2012"]]},"page":"34-39","title":"The Relationship between Stress and Personality Factors","type":"article-journal","volume":"4"},"uris":["http://www.mendeley.com/documents/?uuid=634c565d-9e93-46ec-ba60-ff8bfe8db400"]}],"mendeley":{"formattedCitation":"(Dumitru &amp; Cozman, 2012)","plainTextFormattedCitation":"(Dumitru &amp; Cozman, 2012)","previouslyFormattedCitation":"(Dumitru &amp; Cozman, 2012)"},"properties":{"noteIndex":0},"schema":"https://github.com/citation-style-language/schema/raw/master/csl-citation.json"}</w:instrText>
      </w:r>
      <w:r w:rsidRPr="005459E6">
        <w:rPr>
          <w:rFonts w:ascii="Times New Roman" w:hAnsi="Times New Roman" w:cs="Times New Roman"/>
        </w:rPr>
        <w:fldChar w:fldCharType="separate"/>
      </w:r>
      <w:r w:rsidR="009B48F7" w:rsidRPr="005459E6">
        <w:rPr>
          <w:rFonts w:ascii="Times New Roman" w:hAnsi="Times New Roman" w:cs="Times New Roman"/>
          <w:noProof/>
        </w:rPr>
        <w:t>(Dumitru &amp; Cozman, 2012)</w:t>
      </w:r>
      <w:r w:rsidRPr="005459E6">
        <w:rPr>
          <w:rFonts w:ascii="Times New Roman" w:hAnsi="Times New Roman" w:cs="Times New Roman"/>
        </w:rPr>
        <w:fldChar w:fldCharType="end"/>
      </w:r>
      <w:r w:rsidRPr="005459E6">
        <w:rPr>
          <w:rFonts w:ascii="Times New Roman" w:hAnsi="Times New Roman" w:cs="Times New Roman"/>
        </w:rPr>
        <w:t xml:space="preserve"> and </w:t>
      </w:r>
      <w:r w:rsidR="004970FE" w:rsidRPr="005459E6">
        <w:rPr>
          <w:rFonts w:ascii="Times New Roman" w:hAnsi="Times New Roman" w:cs="Times New Roman"/>
        </w:rPr>
        <w:t xml:space="preserve">the </w:t>
      </w:r>
      <w:r w:rsidRPr="005459E6">
        <w:rPr>
          <w:rFonts w:ascii="Times New Roman" w:hAnsi="Times New Roman" w:cs="Times New Roman"/>
        </w:rPr>
        <w:t>health concerns (</w:t>
      </w:r>
      <w:r w:rsidR="0098746E" w:rsidRPr="005459E6">
        <w:rPr>
          <w:rFonts w:ascii="Times New Roman" w:hAnsi="Times New Roman" w:cs="Times New Roman"/>
        </w:rPr>
        <w:t xml:space="preserve">including </w:t>
      </w:r>
      <w:r w:rsidR="006475AE" w:rsidRPr="005459E6">
        <w:rPr>
          <w:rFonts w:ascii="Times New Roman" w:hAnsi="Times New Roman" w:cs="Times New Roman"/>
        </w:rPr>
        <w:t xml:space="preserve">the </w:t>
      </w:r>
      <w:r w:rsidR="0098746E" w:rsidRPr="005459E6">
        <w:rPr>
          <w:rFonts w:ascii="Times New Roman" w:hAnsi="Times New Roman" w:cs="Times New Roman"/>
        </w:rPr>
        <w:t>prevalence of</w:t>
      </w:r>
      <w:r w:rsidRPr="005459E6">
        <w:rPr>
          <w:rFonts w:ascii="Times New Roman" w:hAnsi="Times New Roman" w:cs="Times New Roman"/>
        </w:rPr>
        <w:t xml:space="preserve"> </w:t>
      </w:r>
      <w:r w:rsidR="006475AE" w:rsidRPr="005459E6">
        <w:rPr>
          <w:rFonts w:ascii="Times New Roman" w:hAnsi="Times New Roman" w:cs="Times New Roman"/>
        </w:rPr>
        <w:t xml:space="preserve">the </w:t>
      </w:r>
      <w:r w:rsidRPr="005459E6">
        <w:rPr>
          <w:rFonts w:ascii="Times New Roman" w:hAnsi="Times New Roman" w:cs="Times New Roman"/>
        </w:rPr>
        <w:t>Covid-19 pandemic)</w:t>
      </w:r>
      <w:r w:rsidR="004970FE" w:rsidRPr="005459E6">
        <w:rPr>
          <w:rFonts w:ascii="Times New Roman" w:hAnsi="Times New Roman" w:cs="Times New Roman"/>
        </w:rPr>
        <w:t>,</w:t>
      </w:r>
      <w:r w:rsidRPr="005459E6">
        <w:rPr>
          <w:rFonts w:ascii="Times New Roman" w:hAnsi="Times New Roman" w:cs="Times New Roman"/>
        </w:rPr>
        <w:t xml:space="preserve"> mental health has taken a plunge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{"citationItems":[{"id":"ITEM-1","itemData":{"DOI":"10.1016/j.ajp.2020.102066","ISSN":"1876-2026 (Electronic)","PMID":"32302935","abstract":"The COVID-19 pandemic is a major health crisis affecting several nations, with over  720,000 cases and 33,000 confirmed deaths reported to date. Such widespread outbreaks are associated with adverse mental health consequences. Keeping this in mind, existing literature on the COVID-19 outbreak pertinent to mental health was retrieved via a literature search of the PubMed database. Published articles were classified according to their overall themes and summarized. Preliminary evidence suggests that symptoms of anxiety and depression (16-28%) and self-reported stress (8%) are common psychological reactions to the COVID-19 pandemic, and may be associated with disturbed sleep. A number of individual and structural variables moderate this risk. In planning services for such populations, both the needs of the concerned people and the necessary preventive guidelines must be taken into account. The available literature has emerged from only a few of the affected countries, and may not reflect the experience of persons living in other parts of the world. In conclusion, subsyndromal mental health problems are a common response to the COVID-19 pandemic. There is a need for more representative research from other affected countries, particularly in vulnerable populations.","author":[{"dropping-particle":"","family":"Rajkumar","given":"Ravi Philip","non-dropping-particle":"","parse-names":false,"suffix":""}],"container-title":"Asian journal of psychiatry","id":"ITEM-1","issued":{"date-parts":[["2020","8"]]},"language":"eng","page":"102066","title":"COVID-19 and mental health: A review of the existing literature.","type":"article-journal","volume":"52"},"uris":["http://www.mendeley.com/documents/?uuid=03e5855d-6e5c-4d25-bc4f-52b8126df505"]}],"mendeley":{"formattedCitation":"(Rajkumar, 2020)","plainTextFormattedCitation":"(Rajkumar, 2020)","previouslyFormattedCitation":"(Rajkumar,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(Rajkumar, 2020)</w:t>
      </w:r>
      <w:r w:rsidRPr="005459E6">
        <w:rPr>
          <w:rFonts w:ascii="Times New Roman" w:hAnsi="Times New Roman" w:cs="Times New Roman"/>
        </w:rPr>
        <w:fldChar w:fldCharType="end"/>
      </w:r>
      <w:r w:rsidRPr="005459E6">
        <w:rPr>
          <w:rFonts w:ascii="Times New Roman" w:hAnsi="Times New Roman" w:cs="Times New Roman"/>
        </w:rPr>
        <w:t xml:space="preserve">. Such </w:t>
      </w:r>
      <w:r w:rsidR="004970FE" w:rsidRPr="005459E6">
        <w:rPr>
          <w:rFonts w:ascii="Times New Roman" w:hAnsi="Times New Roman" w:cs="Times New Roman"/>
        </w:rPr>
        <w:t xml:space="preserve">a </w:t>
      </w:r>
      <w:r w:rsidRPr="005459E6">
        <w:rPr>
          <w:rFonts w:ascii="Times New Roman" w:hAnsi="Times New Roman" w:cs="Times New Roman"/>
        </w:rPr>
        <w:t xml:space="preserve">state of well-being also spills over to workplaces </w:t>
      </w:r>
      <w:r w:rsidRPr="005459E6">
        <w:rPr>
          <w:rFonts w:ascii="Times New Roman" w:hAnsi="Times New Roman" w:cs="Times New Roman"/>
        </w:rPr>
        <w:fldChar w:fldCharType="begin" w:fldLock="1"/>
      </w:r>
      <w:r w:rsidR="006C6273" w:rsidRPr="005459E6">
        <w:rPr>
          <w:rFonts w:ascii="Times New Roman" w:hAnsi="Times New Roman" w:cs="Times New Roman"/>
        </w:rPr>
        <w:instrText>ADDIN CSL_CITATION {"citationItems":[{"id":"ITEM-1","itemData":{"DOI":"10.3390/info12080293","ISSN":"20782489","abstract":"The digitalisation of work is resulting in a transformation in the relationship between employees and employers as well as the perception of quality of life. Under the conditions of the COVID-19 pandemic, individuals whose work could be done with digital tools were directed to work remotely. Performing work duties at a distance from the workplace, colleagues, and supervisors affects the workplace resources available to employees and can have an impact on employee well-being. The main purpose of this paper is to analyse the relationship between remote working and employee well-being. The research hypothesis was that there is a relationship between employee well-being and the level of digitisation of work performed, as measured by the frequency of remote working. This article presents the results of empirical research conducted in January 2021, using the CAWI method, on a representative sample of Polish workers (n = 1000). An exploratory factor analysis and logistic regression were carried out. The results point to the three-dimensional nature of employee well-being, which includes workplace relationships, health, and work–life balance. Based on the results, working exclusively remotely was shown to negatively affect well-being in terms of workplace relationships and work–life balance. There was no statistically significant association between remote working and subjective health assessment. The results have important implications for the management of employee well-being in remote working settings. Originality/value lies in the fact that the article provides practical guidance in planning hybrid work arrangements.","author":[{"dropping-particle":"","family":"Juchnowicz","given":"Marta","non-dropping-particle":"","parse-names":false,"suffix":""},{"dropping-particle":"","family":"Kinowska","given":"Hanna","non-dropping-particle":"","parse-names":false,"suffix":""}],"container-title":"Information (Switzerland)","id":"ITEM-1","issue":"8","issued":{"date-parts":[["2021"]]},"page":"1-13","title":"Employee well-being and digitalwork during the COVID-19 pandemic","type":"article-journal","volume":"12"},"uris":["http://www.mendeley.com/documents/?uuid=995c1a0b-ebe6-4f57-9e63-f1e9f92e98af"]}],"mendeley":{"formattedCitation":"(Juchnowicz &amp; Kinowska, 2021)","plainTextFormattedCitation":"(Juchnowicz &amp; Kinowska, 2021)","previouslyFormattedCitation":"(Juchnowicz &amp; Kinowska, 2021)"},"properties":{"noteIndex":0},"schema":"https://github.com/citation-style-language/schema/raw/master/csl-citation.json"}</w:instrText>
      </w:r>
      <w:r w:rsidRPr="005459E6">
        <w:rPr>
          <w:rFonts w:ascii="Times New Roman" w:hAnsi="Times New Roman" w:cs="Times New Roman"/>
        </w:rPr>
        <w:fldChar w:fldCharType="separate"/>
      </w:r>
      <w:r w:rsidR="009B48F7" w:rsidRPr="005459E6">
        <w:rPr>
          <w:rFonts w:ascii="Times New Roman" w:hAnsi="Times New Roman" w:cs="Times New Roman"/>
          <w:noProof/>
        </w:rPr>
        <w:t>(Juchnowicz &amp; Kinowska, 2021)</w:t>
      </w:r>
      <w:r w:rsidRPr="005459E6">
        <w:rPr>
          <w:rFonts w:ascii="Times New Roman" w:hAnsi="Times New Roman" w:cs="Times New Roman"/>
        </w:rPr>
        <w:fldChar w:fldCharType="end"/>
      </w:r>
      <w:r w:rsidRPr="005459E6">
        <w:rPr>
          <w:rFonts w:ascii="Times New Roman" w:hAnsi="Times New Roman" w:cs="Times New Roman"/>
        </w:rPr>
        <w:t xml:space="preserve"> that have </w:t>
      </w:r>
      <w:r w:rsidR="004970FE" w:rsidRPr="005459E6">
        <w:rPr>
          <w:rFonts w:ascii="Times New Roman" w:hAnsi="Times New Roman" w:cs="Times New Roman"/>
        </w:rPr>
        <w:t>constantly been</w:t>
      </w:r>
      <w:r w:rsidRPr="005459E6">
        <w:rPr>
          <w:rFonts w:ascii="Times New Roman" w:hAnsi="Times New Roman" w:cs="Times New Roman"/>
        </w:rPr>
        <w:t xml:space="preserve"> ad</w:t>
      </w:r>
      <w:r w:rsidR="00D94B95" w:rsidRPr="005459E6">
        <w:rPr>
          <w:rFonts w:ascii="Times New Roman" w:hAnsi="Times New Roman" w:cs="Times New Roman"/>
        </w:rPr>
        <w:t>a</w:t>
      </w:r>
      <w:r w:rsidRPr="005459E6">
        <w:rPr>
          <w:rFonts w:ascii="Times New Roman" w:hAnsi="Times New Roman" w:cs="Times New Roman"/>
        </w:rPr>
        <w:t xml:space="preserve">pting new means of working styles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{"citationItems":[{"id":"ITEM-1","itemData":{"ISSN":"1076-2752","abstract":"Objective: \n\nTo understand impacts of social, behavioral and physical factors on well-being of office workstation users during COVID-19 work from home (WFH).\n\nMethods:\n\nA questionnaire was deployed from April 24 to June 11, 2020 and 988 responses were valid. Linear regression, multinomial logistic regression and chi-square tests were used to understand factors associated with overall physical and mental health statuses and number of new physical and mental health issues.\n\nResults:\n\nDecreased overall physical and mental well-being after WFH were associated with physical exercise, food intake, communication with coworkers, children at home, distractions while working, adjusted work hours, workstation set-up and satisfaction with workspace indoor environmental factors.\n\nConclusion:\n\nThis study highlights factors that impact workers’ physical and mental health well-being while WFH and provides a foundation for considering how to best support a positive WFH experience.","author":[{"dropping-particle":"","family":"Xiao","given":"Yijing","non-dropping-particle":"","parse-names":false,"suffix":""},{"dropping-particle":"","family":"Becerik-Gerber","given":"Burcin","non-dropping-particle":"","parse-names":false,"suffix":""},{"dropping-particle":"","family":"Lucas","given":"Gale","non-dropping-particle":"","parse-names":false,"suffix":""},{"dropping-particle":"","family":"Roll","given":"Shawn C","non-dropping-particle":"","parse-names":false,"suffix":""}],"container-title":"Journal of Occupational and Environmental Medicine","id":"ITEM-1","issue":"3","issued":{"date-parts":[["2021"]]},"title":"Impacts of Working From Home During COVID-19 Pandemic on Physical and Mental Well-Being of Office Workstation Users","type":"article-journal","volume":"63"},"uris":["http://www.mendeley.com/documents/?uuid=74d2830a-2521-4b79-8008-f2c96eded890"]}],"mendeley":{"formattedCitation":"(Xiao et al., 2021)","plainTextFormattedCitation":"(Xiao et al., 2021)","previouslyFormattedCitation":"(Xiao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(Xiao et al., 2021)</w:t>
      </w:r>
      <w:r w:rsidRPr="005459E6">
        <w:rPr>
          <w:rFonts w:ascii="Times New Roman" w:hAnsi="Times New Roman" w:cs="Times New Roman"/>
        </w:rPr>
        <w:fldChar w:fldCharType="end"/>
      </w:r>
      <w:r w:rsidRPr="005459E6">
        <w:rPr>
          <w:rFonts w:ascii="Times New Roman" w:hAnsi="Times New Roman" w:cs="Times New Roman"/>
        </w:rPr>
        <w:t>.  When the state of mental health and dynamism at the workplace are put in the fray</w:t>
      </w:r>
      <w:r w:rsidR="004970FE" w:rsidRPr="005459E6">
        <w:rPr>
          <w:rFonts w:ascii="Times New Roman" w:hAnsi="Times New Roman" w:cs="Times New Roman"/>
        </w:rPr>
        <w:t>,</w:t>
      </w:r>
      <w:r w:rsidRPr="005459E6">
        <w:rPr>
          <w:rFonts w:ascii="Times New Roman" w:hAnsi="Times New Roman" w:cs="Times New Roman"/>
        </w:rPr>
        <w:t xml:space="preserve"> it becomes necessary to cast a reflection of well-being as well as its </w:t>
      </w:r>
      <w:r w:rsidR="0053678D" w:rsidRPr="005459E6">
        <w:rPr>
          <w:rFonts w:ascii="Times New Roman" w:hAnsi="Times New Roman" w:cs="Times New Roman"/>
        </w:rPr>
        <w:t>impact on organizational performance.</w:t>
      </w:r>
    </w:p>
    <w:p w14:paraId="4343BA17" w14:textId="6E586F37" w:rsidR="00C302DC" w:rsidRPr="005459E6" w:rsidRDefault="0084357E" w:rsidP="00042CB0">
      <w:pPr>
        <w:spacing w:line="360" w:lineRule="auto"/>
        <w:jc w:val="both"/>
        <w:rPr>
          <w:rFonts w:ascii="Times New Roman" w:hAnsi="Times New Roman" w:cs="Times New Roman"/>
          <w:i/>
          <w:iCs/>
        </w:rPr>
      </w:pPr>
      <w:r w:rsidRPr="005459E6">
        <w:rPr>
          <w:rFonts w:ascii="Times New Roman" w:hAnsi="Times New Roman" w:cs="Times New Roman"/>
          <w:i/>
          <w:iCs/>
        </w:rPr>
        <w:t>Hence in consideration of the following Service Research Priorities &amp; the significance of Psychological Well-being, the proposed research looks forward to augmenting the same using state</w:t>
      </w:r>
      <w:r w:rsidR="0066637B" w:rsidRPr="005459E6">
        <w:rPr>
          <w:rFonts w:ascii="Times New Roman" w:hAnsi="Times New Roman" w:cs="Times New Roman"/>
          <w:i/>
          <w:iCs/>
        </w:rPr>
        <w:t>-of-the-</w:t>
      </w:r>
      <w:r w:rsidRPr="005459E6">
        <w:rPr>
          <w:rFonts w:ascii="Times New Roman" w:hAnsi="Times New Roman" w:cs="Times New Roman"/>
          <w:i/>
          <w:iCs/>
        </w:rPr>
        <w:t>art technologies and establishing its co-relationship with workplace productivity.</w:t>
      </w:r>
    </w:p>
    <w:p w14:paraId="1F26F0F8" w14:textId="10B2A73F" w:rsidR="006347CA" w:rsidRPr="005459E6" w:rsidRDefault="006347CA" w:rsidP="006347CA">
      <w:pPr>
        <w:spacing w:line="360" w:lineRule="auto"/>
        <w:jc w:val="both"/>
        <w:rPr>
          <w:rFonts w:ascii="Times New Roman" w:hAnsi="Times New Roman" w:cs="Times New Roman"/>
        </w:rPr>
      </w:pPr>
      <w:r w:rsidRPr="005459E6">
        <w:rPr>
          <w:rFonts w:ascii="Times New Roman" w:hAnsi="Times New Roman" w:cs="Times New Roman"/>
        </w:rPr>
        <w:t xml:space="preserve">Research also considers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Times","type":"article-journal","volume":"24"},"uris":["http://www.mendeley.com/documents/?uuid=69747d6e-268d-4378-b9bf-d191cb6a8d99"]}],"mendeley":{"formattedCitation":"(Ostrom et al., 2021)","manualFormatting":"Ostrom et al. (2021)","plainTextFormattedCitation":"(Ostrom et al., 2021)","previouslyFormattedCitation":"(Ostrom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Ostrom et al. (2021)</w:t>
      </w:r>
      <w:r w:rsidRPr="005459E6">
        <w:rPr>
          <w:rFonts w:ascii="Times New Roman" w:hAnsi="Times New Roman" w:cs="Times New Roman"/>
        </w:rPr>
        <w:fldChar w:fldCharType="end"/>
      </w:r>
      <w:r w:rsidRPr="005459E6">
        <w:rPr>
          <w:rFonts w:ascii="Times New Roman" w:hAnsi="Times New Roman" w:cs="Times New Roman"/>
        </w:rPr>
        <w:t xml:space="preserve"> and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{"citationItems":[{"id":"ITEM-1","itemData":{"DOI":"10.1177/10946705211031302","ISSN":"1094-6705","abstract":"This article utilizes input from service scholars, practitioners, reviews of published literature, and influential policy documents to identify service research priorities that push the boundaries of extant research. In a companion piece, we focused on four service research priorities related to managing and delivering service in turbulent times. Further, we identified a set of stakeholder-wants from the literature and included research questions that tie key stakeholder-wants to each of the three priorities in this article and the four priorities in the companion article. Here, we highlight the critical importance of scholarship and practice related to the design of sustainable service ecosystems and discuss three key service research priorities: large-scale and complex service ecosystems for transformative impact (SRP5), platform ecosystems and marketplaces (SRP6), and services for disadvantaged consumers and communities (SRP7). We call for an engaged service scholarship that considers the interrelationships among consumers, organizations, employees, platforms, and societal institutions and pursues transformative goals.","author":[{"dropping-particle":"","family":"Field","given":"Joy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Ostrom","given":"Amy L.","non-dropping-particle":"","parse-names":false,"suffix":""},{"dropping-particle":"","family":"Lemon","given":"Katherine N.","non-dropping-particle":"","parse-names":false,"suffix":""},{"dropping-particle":"","family":"Huang","given":"Ming-Hui","non-dropping-particle":"","parse-names":false,"suffix":""},{"dropping-particle":"","family":"McColl-Kennedy","given":"Janet R.","non-dropping-particle":"","parse-names":false,"suffix":""}],"container-title":"Journal of Service Research","id":"ITEM-1","issue":"0","issued":{"date-parts":[["2021"]]},"page":"109467052110313","title":"Service Research Priorities: Designing Sustainable Service Ecosystems","type":"article-journal","volume":"0"},"uris":["http://www.mendeley.com/documents/?uuid=cd01a098-8ca8-4cd8-b914-3a6abf45f098"]}],"mendeley":{"formattedCitation":"(J. M. Field et al., 2021)","manualFormatting":"Field et al. (2021)","plainTextFormattedCitation":"(J. M. Field et al., 2021)","previouslyFormattedCitation":"(J. M. Field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et al. (2021)</w:t>
      </w:r>
      <w:r w:rsidRPr="005459E6">
        <w:rPr>
          <w:rFonts w:ascii="Times New Roman" w:hAnsi="Times New Roman" w:cs="Times New Roman"/>
        </w:rPr>
        <w:fldChar w:fldCharType="end"/>
      </w:r>
      <w:r w:rsidRPr="005459E6">
        <w:rPr>
          <w:rFonts w:ascii="Times New Roman" w:hAnsi="Times New Roman" w:cs="Times New Roman"/>
        </w:rPr>
        <w:t xml:space="preserve"> service research goals and responds to their call for </w:t>
      </w:r>
      <w:r w:rsidR="0066637B" w:rsidRPr="005459E6">
        <w:rPr>
          <w:rFonts w:ascii="Times New Roman" w:hAnsi="Times New Roman" w:cs="Times New Roman"/>
        </w:rPr>
        <w:t xml:space="preserve">an </w:t>
      </w:r>
      <w:r w:rsidRPr="005459E6">
        <w:rPr>
          <w:rFonts w:ascii="Times New Roman" w:hAnsi="Times New Roman" w:cs="Times New Roman"/>
        </w:rPr>
        <w:t>engaged scholarship that assesses impact in terms of how successfully we act on societal challenges through research grounded in key societal issues and "Lived phenomena."</w:t>
      </w:r>
    </w:p>
    <w:p w14:paraId="6A546F22" w14:textId="77777777" w:rsidR="002E5948" w:rsidRPr="005459E6" w:rsidRDefault="002E5948" w:rsidP="00042CB0">
      <w:pPr>
        <w:spacing w:line="360" w:lineRule="auto"/>
        <w:jc w:val="both"/>
        <w:rPr>
          <w:rFonts w:ascii="Times New Roman" w:hAnsi="Times New Roman" w:cs="Times New Roman"/>
        </w:rPr>
      </w:pPr>
    </w:p>
    <w:p w14:paraId="29B34F2E" w14:textId="7F3CABEA" w:rsidR="00C17C6A" w:rsidRPr="005459E6" w:rsidRDefault="00C17C6A" w:rsidP="00042CB0">
      <w:pPr>
        <w:spacing w:line="360" w:lineRule="auto"/>
        <w:jc w:val="both"/>
        <w:rPr>
          <w:rFonts w:ascii="Times New Roman" w:hAnsi="Times New Roman" w:cs="Times New Roman"/>
        </w:rPr>
      </w:pPr>
      <w:r w:rsidRPr="005459E6">
        <w:rPr>
          <w:rFonts w:ascii="Times New Roman" w:hAnsi="Times New Roman" w:cs="Times New Roman"/>
          <w:b/>
          <w:bCs/>
        </w:rPr>
        <w:t>Service research Priority #1</w:t>
      </w:r>
      <w:r w:rsidR="00467688" w:rsidRPr="005459E6">
        <w:rPr>
          <w:rFonts w:ascii="Times New Roman" w:hAnsi="Times New Roman" w:cs="Times New Roman"/>
          <w:b/>
          <w:bCs/>
        </w:rPr>
        <w:t>,</w:t>
      </w:r>
      <w:r w:rsidRPr="005459E6">
        <w:rPr>
          <w:rFonts w:ascii="Times New Roman" w:hAnsi="Times New Roman" w:cs="Times New Roman"/>
          <w:b/>
          <w:bCs/>
        </w:rPr>
        <w:t xml:space="preserve"> </w:t>
      </w:r>
      <w:r w:rsidRPr="005459E6">
        <w:rPr>
          <w:rFonts w:ascii="Times New Roman" w:hAnsi="Times New Roman" w:cs="Times New Roman"/>
        </w:rPr>
        <w:t xml:space="preserve">as suggested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Times","type":"article-journal","volume":"24"},"uris":["http://www.mendeley.com/documents/?uuid=69747d6e-268d-4378-b9bf-d191cb6a8d99","http://www.mendeley.com/documents/?uuid=b53ec4f0-83f9-4fd2-b986-8df5bd4e2366"]}],"mendeley":{"formattedCitation":"(Ostrom et al., 2021)","manualFormatting":"Ostrom et al. (2021)","plainTextFormattedCitation":"(Ostrom et al., 2021)","previouslyFormattedCitation":"(Ostrom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Ostrom et al. (2021)</w:t>
      </w:r>
      <w:r w:rsidRPr="005459E6">
        <w:rPr>
          <w:rFonts w:ascii="Times New Roman" w:hAnsi="Times New Roman" w:cs="Times New Roman"/>
        </w:rPr>
        <w:fldChar w:fldCharType="end"/>
      </w:r>
    </w:p>
    <w:p w14:paraId="5EF154ED" w14:textId="77777777" w:rsidR="00C17C6A" w:rsidRPr="005459E6" w:rsidRDefault="00C17C6A" w:rsidP="00042CB0">
      <w:pPr>
        <w:spacing w:line="360" w:lineRule="auto"/>
        <w:jc w:val="both"/>
        <w:rPr>
          <w:rFonts w:ascii="Times New Roman" w:hAnsi="Times New Roman" w:cs="Times New Roman"/>
          <w:i/>
          <w:iCs/>
        </w:rPr>
      </w:pPr>
      <w:r w:rsidRPr="005459E6">
        <w:rPr>
          <w:rFonts w:ascii="Times New Roman" w:hAnsi="Times New Roman" w:cs="Times New Roman"/>
          <w:i/>
          <w:iCs/>
        </w:rPr>
        <w:t>Theme A: Technology and the changing nature of work</w:t>
      </w:r>
    </w:p>
    <w:p w14:paraId="0E5CCB5A" w14:textId="44DBFA1D" w:rsidR="00C17C6A" w:rsidRPr="005459E6" w:rsidRDefault="006A7A12" w:rsidP="00042CB0">
      <w:pPr>
        <w:spacing w:line="360" w:lineRule="auto"/>
        <w:jc w:val="both"/>
        <w:rPr>
          <w:rFonts w:ascii="Times New Roman" w:hAnsi="Times New Roman" w:cs="Times New Roman"/>
        </w:rPr>
      </w:pPr>
      <w:r w:rsidRPr="005459E6">
        <w:rPr>
          <w:rFonts w:ascii="Times New Roman" w:hAnsi="Times New Roman" w:cs="Times New Roman"/>
        </w:rPr>
        <w:t>Innovations in technology are usually intended to enhance customers' access, responsiveness, and reliability.</w:t>
      </w:r>
    </w:p>
    <w:p w14:paraId="7E714F98" w14:textId="77777777" w:rsidR="00427574" w:rsidRPr="005459E6" w:rsidRDefault="00427574" w:rsidP="00042CB0">
      <w:pPr>
        <w:spacing w:line="360" w:lineRule="auto"/>
        <w:jc w:val="both"/>
        <w:rPr>
          <w:rFonts w:ascii="Times New Roman" w:hAnsi="Times New Roman" w:cs="Times New Roman"/>
        </w:rPr>
      </w:pPr>
    </w:p>
    <w:p w14:paraId="268B7387" w14:textId="77777777" w:rsidR="00427574" w:rsidRPr="005459E6" w:rsidRDefault="00427574" w:rsidP="00042CB0">
      <w:pPr>
        <w:spacing w:line="360" w:lineRule="auto"/>
        <w:jc w:val="both"/>
        <w:rPr>
          <w:rFonts w:ascii="Times New Roman" w:hAnsi="Times New Roman" w:cs="Times New Roman"/>
        </w:rPr>
      </w:pPr>
    </w:p>
    <w:p w14:paraId="601146FE" w14:textId="77777777" w:rsidR="00427574" w:rsidRPr="005459E6" w:rsidRDefault="00427574" w:rsidP="00042CB0">
      <w:pPr>
        <w:spacing w:line="360" w:lineRule="auto"/>
        <w:jc w:val="both"/>
        <w:rPr>
          <w:rFonts w:ascii="Times New Roman" w:hAnsi="Times New Roman" w:cs="Times New Roman"/>
        </w:rPr>
      </w:pPr>
    </w:p>
    <w:p w14:paraId="75D1A7F3" w14:textId="77777777" w:rsidR="00427574" w:rsidRPr="005459E6" w:rsidRDefault="00427574" w:rsidP="00042CB0">
      <w:pPr>
        <w:spacing w:line="360" w:lineRule="auto"/>
        <w:jc w:val="both"/>
        <w:rPr>
          <w:rFonts w:ascii="Times New Roman" w:hAnsi="Times New Roman" w:cs="Times New Roman"/>
          <w:i/>
          <w:iCs/>
        </w:rPr>
      </w:pPr>
    </w:p>
    <w:p w14:paraId="18F1EDFA" w14:textId="11DD6753" w:rsidR="00C17C6A" w:rsidRPr="005459E6" w:rsidRDefault="00C17C6A" w:rsidP="00042CB0">
      <w:pPr>
        <w:spacing w:line="360" w:lineRule="auto"/>
        <w:jc w:val="both"/>
        <w:rPr>
          <w:rFonts w:ascii="Times New Roman" w:hAnsi="Times New Roman" w:cs="Times New Roman"/>
          <w:i/>
          <w:iCs/>
        </w:rPr>
      </w:pPr>
      <w:r w:rsidRPr="005459E6">
        <w:rPr>
          <w:rFonts w:ascii="Times New Roman" w:hAnsi="Times New Roman" w:cs="Times New Roman"/>
          <w:i/>
          <w:iCs/>
        </w:rPr>
        <w:t>Theme B: Technology effects on employee performance and well-being.</w:t>
      </w:r>
    </w:p>
    <w:p w14:paraId="363FBC32" w14:textId="77777777" w:rsidR="0052552F" w:rsidRPr="005459E6" w:rsidRDefault="0052552F" w:rsidP="0052552F">
      <w:pPr>
        <w:spacing w:line="360" w:lineRule="auto"/>
        <w:jc w:val="both"/>
        <w:rPr>
          <w:rFonts w:ascii="Times New Roman" w:hAnsi="Times New Roman" w:cs="Times New Roman"/>
        </w:rPr>
      </w:pPr>
      <w:r w:rsidRPr="005459E6">
        <w:rPr>
          <w:rFonts w:ascii="Times New Roman" w:hAnsi="Times New Roman" w:cs="Times New Roman"/>
        </w:rPr>
        <w:t>With technological innovation, the boundary between service providers and recipients has become increasingly porous.</w:t>
      </w:r>
    </w:p>
    <w:p w14:paraId="4D87FD2B" w14:textId="7465773D" w:rsidR="002B4202" w:rsidRPr="005459E6" w:rsidRDefault="002B4202" w:rsidP="002B4202">
      <w:pPr>
        <w:spacing w:line="360" w:lineRule="auto"/>
        <w:jc w:val="both"/>
        <w:rPr>
          <w:rFonts w:ascii="Times New Roman" w:hAnsi="Times New Roman" w:cs="Times New Roman"/>
        </w:rPr>
      </w:pPr>
      <w:r w:rsidRPr="005459E6">
        <w:rPr>
          <w:rFonts w:ascii="Times New Roman" w:hAnsi="Times New Roman" w:cs="Times New Roman"/>
        </w:rPr>
        <w:t xml:space="preserve">Humanness (considering human worth and dignity when integrating technology into service delivery), emotional connection (avoiding the social isolation inherent in technology-mediated interactions), and well-being are all key objectives that </w:t>
      </w:r>
      <w:r w:rsidR="00980576"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Times","type":"article-journal","volume":"24"},"uris":["http://www.mendeley.com/documents/?uuid=69747d6e-268d-4378-b9bf-d191cb6a8d99"]}],"mendeley":{"formattedCitation":"(Ostrom et al., 2021)","manualFormatting":"Ostrom et al. (2021)","plainTextFormattedCitation":"(Ostrom et al., 2021)","previouslyFormattedCitation":"(Ostrom et al., 2021)"},"properties":{"noteIndex":0},"schema":"https://github.com/citation-style-language/schema/raw/master/csl-citation.json"}</w:instrText>
      </w:r>
      <w:r w:rsidR="00980576" w:rsidRPr="005459E6">
        <w:rPr>
          <w:rFonts w:ascii="Times New Roman" w:hAnsi="Times New Roman" w:cs="Times New Roman"/>
        </w:rPr>
        <w:fldChar w:fldCharType="separate"/>
      </w:r>
      <w:r w:rsidR="00980576" w:rsidRPr="005459E6">
        <w:rPr>
          <w:rFonts w:ascii="Times New Roman" w:hAnsi="Times New Roman" w:cs="Times New Roman"/>
          <w:noProof/>
        </w:rPr>
        <w:t>Ostrom et al. (2021)</w:t>
      </w:r>
      <w:r w:rsidR="00980576" w:rsidRPr="005459E6">
        <w:rPr>
          <w:rFonts w:ascii="Times New Roman" w:hAnsi="Times New Roman" w:cs="Times New Roman"/>
        </w:rPr>
        <w:fldChar w:fldCharType="end"/>
      </w:r>
      <w:r w:rsidR="00980576" w:rsidRPr="005459E6">
        <w:rPr>
          <w:rFonts w:ascii="Times New Roman" w:hAnsi="Times New Roman" w:cs="Times New Roman"/>
        </w:rPr>
        <w:t xml:space="preserve"> </w:t>
      </w:r>
      <w:r w:rsidRPr="005459E6">
        <w:rPr>
          <w:rFonts w:ascii="Times New Roman" w:hAnsi="Times New Roman" w:cs="Times New Roman"/>
        </w:rPr>
        <w:t>have urged scholars to pay attention to.</w:t>
      </w:r>
    </w:p>
    <w:p w14:paraId="57E5D3B2" w14:textId="77777777" w:rsidR="0084357E" w:rsidRPr="005459E6" w:rsidRDefault="0084357E" w:rsidP="00042CB0">
      <w:pPr>
        <w:spacing w:line="360" w:lineRule="auto"/>
        <w:jc w:val="both"/>
        <w:rPr>
          <w:rFonts w:ascii="Times New Roman" w:hAnsi="Times New Roman" w:cs="Times New Roman"/>
        </w:rPr>
      </w:pPr>
    </w:p>
    <w:p w14:paraId="567E823C" w14:textId="79930D21" w:rsidR="00C17C6A" w:rsidRPr="005459E6" w:rsidRDefault="00C17C6A" w:rsidP="00042CB0">
      <w:pPr>
        <w:spacing w:line="360" w:lineRule="auto"/>
        <w:jc w:val="both"/>
        <w:rPr>
          <w:rFonts w:ascii="Times New Roman" w:hAnsi="Times New Roman" w:cs="Times New Roman"/>
        </w:rPr>
      </w:pPr>
      <w:r w:rsidRPr="005459E6">
        <w:rPr>
          <w:rFonts w:ascii="Times New Roman" w:hAnsi="Times New Roman" w:cs="Times New Roman"/>
          <w:b/>
          <w:bCs/>
        </w:rPr>
        <w:t xml:space="preserve">Service research priority #7 </w:t>
      </w:r>
      <w:r w:rsidRPr="005459E6">
        <w:rPr>
          <w:rFonts w:ascii="Times New Roman" w:hAnsi="Times New Roman" w:cs="Times New Roman"/>
        </w:rPr>
        <w:t xml:space="preserve">as suggested by </w:t>
      </w:r>
      <w:r w:rsidRPr="005459E6">
        <w:rPr>
          <w:rFonts w:ascii="Times New Roman" w:hAnsi="Times New Roman" w:cs="Times New Roman"/>
        </w:rPr>
        <w:fldChar w:fldCharType="begin" w:fldLock="1"/>
      </w:r>
      <w:r w:rsidR="00B15119" w:rsidRPr="005459E6">
        <w:rPr>
          <w:rFonts w:ascii="Times New Roman" w:hAnsi="Times New Roman" w:cs="Times New Roman"/>
        </w:rPr>
        <w:instrText>ADDIN CSL_CITATION {"citationItems":[{"id":"ITEM-1","itemData":{"DOI":"10.1177/10946705211031302","ISSN":"1094-6705","abstract":"This article utilizes input from service scholars, practitioners, reviews of published literature, and influential policy documents to identify service research priorities that push the boundaries of extant research. In a companion piece, we focused on four service research priorities related to managing and delivering service in turbulent times. Further, we identified a set of stakeholder-wants from the literature and included research questions that tie key stakeholder-wants to each of the three priorities in this article and the four priorities in the companion article. Here, we highlight the critical importance of scholarship and practice related to the design of sustainable service ecosystems and discuss three key service research priorities: large-scale and complex service ecosystems for transformative impact (SRP5), platform ecosystems and marketplaces (SRP6), and services for disadvantaged consumers and communities (SRP7). We call for an engaged service scholarship that considers the interrelationships among consumers, organizations, employees, platforms, and societal institutions and pursues transformative goals.","author":[{"dropping-particle":"","family":"Field","given":"Joy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Ostrom","given":"Amy L.","non-dropping-particle":"","parse-names":false,"suffix":""},{"dropping-particle":"","family":"Lemon","given":"Katherine N.","non-dropping-particle":"","parse-names":false,"suffix":""},{"dropping-particle":"","family":"Huang","given":"Ming-Hui","non-dropping-particle":"","parse-names":false,"suffix":""},{"dropping-particle":"","family":"McColl-Kennedy","given":"Janet R.","non-dropping-particle":"","parse-names":false,"suffix":""}],"container-title":"Journal of Service Research","id":"ITEM-1","issue":"0","issued":{"date-parts":[["2021"]]},"page":"109467052110313","title":"Service Research Priorities: Designing Sustainable Service Ecosystems","type":"article-journal","volume":"0"},"uris":["http://www.mendeley.com/documents/?uuid=cd01a098-8ca8-4cd8-b914-3a6abf45f098","http://www.mendeley.com/documents/?uuid=fe6a9a88-91f9-4484-8d64-9d0a5d86cf46"]}],"mendeley":{"formattedCitation":"(J. M. Field et al., 2021)","manualFormatting":"Field et al. (2021)","plainTextFormattedCitation":"(J. M. Field et al., 2021)","previouslyFormattedCitation":"(J. M. Field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et al. (2021)</w:t>
      </w:r>
      <w:r w:rsidRPr="005459E6">
        <w:rPr>
          <w:rFonts w:ascii="Times New Roman" w:hAnsi="Times New Roman" w:cs="Times New Roman"/>
        </w:rPr>
        <w:fldChar w:fldCharType="end"/>
      </w:r>
    </w:p>
    <w:p w14:paraId="4E572112" w14:textId="77777777" w:rsidR="00C17C6A" w:rsidRPr="005459E6" w:rsidRDefault="00C17C6A" w:rsidP="00042CB0">
      <w:pPr>
        <w:spacing w:line="360" w:lineRule="auto"/>
        <w:jc w:val="both"/>
        <w:rPr>
          <w:rFonts w:ascii="Times New Roman" w:hAnsi="Times New Roman" w:cs="Times New Roman"/>
          <w:i/>
          <w:iCs/>
        </w:rPr>
      </w:pPr>
      <w:r w:rsidRPr="005459E6">
        <w:rPr>
          <w:rFonts w:ascii="Times New Roman" w:hAnsi="Times New Roman" w:cs="Times New Roman"/>
          <w:i/>
          <w:iCs/>
        </w:rPr>
        <w:t>Theme C:  Services for disadvantaged consumers and communities.</w:t>
      </w:r>
    </w:p>
    <w:p w14:paraId="109F4197" w14:textId="30C6DE80" w:rsidR="005C2A4C" w:rsidRPr="005459E6" w:rsidRDefault="005C2A4C" w:rsidP="005C2A4C">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{"citationItems":[{"id":"ITEM-1","itemData":{"ISSN":"0148-2963","author":[{"dropping-particle":"","family":"Anderson","given":"Laurel","non-dropping-particle":"","parse-names":false,"suffix":""},{"dropping-particle":"","family":"Ostrom","given":"Amy L","non-dropping-particle":"","parse-names":false,"suffix":""},{"dropping-particle":"","family":"Corus","given":"Canan","non-dropping-particle":"","parse-names":false,"suffix":""},{"dropping-particle":"","family":"Fisk","given":"Raymond P","non-dropping-particle":"","parse-names":false,"suffix":""},{"dropping-particle":"","family":"Gallan","given":"Andrew S","non-dropping-particle":"","parse-names":false,"suffix":""},{"dropping-particle":"","family":"Giraldo","given":"Mario","non-dropping-particle":"","parse-names":false,"suffix":""},{"dropping-particle":"","family":"Mende","given":"Martin","non-dropping-particle":"","parse-names":false,"suffix":""},{"dropping-particle":"","family":"Mulder","given":"Mark","non-dropping-particle":"","parse-names":false,"suffix":""},{"dropping-particle":"","family":"Rayburn","given":"Steven W","non-dropping-particle":"","parse-names":false,"suffix":""},{"dropping-particle":"","family":"Rosenbaum","given":"Mark S","non-dropping-particle":"","parse-names":false,"suffix":""}],"container-title":"Journal of Business Research","id":"ITEM-1","issue":"8","issued":{"date-parts":[["2013"]]},"page":"1203-1210","publisher":"Elsevier","title":"Transformative service research: An agenda for the future","type":"article-journal","volume":"66"},"uris":["http://www.mendeley.com/documents/?uuid=1d625e97-d1c9-4905-8811-7b0e269e2984"]}],"mendeley":{"formattedCitation":"(L. Anderson et al., 2013)","manualFormatting":"Anderson et al. (2013)","plainTextFormattedCitation":"(L. Anderson et al., 2013)","previouslyFormattedCitation":"(L. Anderson et al.,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Anderson et al. (2013)</w:t>
      </w:r>
      <w:r w:rsidRPr="005459E6">
        <w:rPr>
          <w:rFonts w:ascii="Times New Roman" w:hAnsi="Times New Roman" w:cs="Times New Roman"/>
        </w:rPr>
        <w:fldChar w:fldCharType="end"/>
      </w:r>
      <w:r w:rsidRPr="005459E6">
        <w:rPr>
          <w:rFonts w:ascii="Times New Roman" w:hAnsi="Times New Roman" w:cs="Times New Roman"/>
        </w:rPr>
        <w:t xml:space="preserve">, transformational service research is increasingly focusing on those who are economically disadvantaged and have chronic physical or mental health concerns. As a result, according to </w:t>
      </w:r>
      <w:r w:rsidR="00980576" w:rsidRPr="005459E6">
        <w:rPr>
          <w:rFonts w:ascii="Times New Roman" w:hAnsi="Times New Roman" w:cs="Times New Roman"/>
        </w:rPr>
        <w:fldChar w:fldCharType="begin" w:fldLock="1"/>
      </w:r>
      <w:r w:rsidR="001D5D32" w:rsidRPr="005459E6">
        <w:rPr>
          <w:rFonts w:ascii="Times New Roman" w:hAnsi="Times New Roman" w:cs="Times New Roman"/>
        </w:rPr>
        <w:instrText>ADDIN CSL_CITATION {"citationItems":[{"id":"ITEM-1","itemData":{"ISSN":"1757-5818","author":[{"dropping-particle":"","family":"Fisk","given":"Raymond P","non-dropping-particle":"","parse-names":false,"suffix":""},{"dropping-particle":"","family":"Dean","given":"Alison M","non-dropping-particle":"","parse-names":false,"suffix":""},{"dropping-particle":"","family":"Alkire","given":"Linda","non-dropping-particle":"","parse-names":false,"suffix":""},{"dropping-particle":"","family":"Joubert","given":"Alison","non-dropping-particle":"","parse-names":false,"suffix":""},{"dropping-particle":"","family":"Previte","given":"Josephine","non-dropping-particle":"","parse-names":false,"suffix":""},{"dropping-particle":"","family":"Robertson","given":"Nichola","non-dropping-particle":"","parse-names":false,"suffix":""},{"dropping-particle":"","family":"Rosenbaum","given":"Mark Scott","non-dropping-particle":"","parse-names":false,"suffix":""}],"container-title":"Journal of Service Management","id":"ITEM-1","issued":{"date-parts":[["2018"]]},"publisher":"Emerald Publishing Limited","title":"Design for service inclusion: creating inclusive service systems by 2050","type":"article-journal"},"uris":["http://www.mendeley.com/documents/?uuid=c47f2f4a-c5f0-4902-9370-db5450049abc"]}],"mendeley":{"formattedCitation":"(Fisk et al., 2018)","manualFormatting":"Fisk et al. (2018)","plainTextFormattedCitation":"(Fisk et al., 2018)","previouslyFormattedCitation":"(Fisk et al., 2018)"},"properties":{"noteIndex":0},"schema":"https://github.com/citation-style-language/schema/raw/master/csl-citation.json"}</w:instrText>
      </w:r>
      <w:r w:rsidR="00980576" w:rsidRPr="005459E6">
        <w:rPr>
          <w:rFonts w:ascii="Times New Roman" w:hAnsi="Times New Roman" w:cs="Times New Roman"/>
        </w:rPr>
        <w:fldChar w:fldCharType="separate"/>
      </w:r>
      <w:r w:rsidR="00980576" w:rsidRPr="005459E6">
        <w:rPr>
          <w:rFonts w:ascii="Times New Roman" w:hAnsi="Times New Roman" w:cs="Times New Roman"/>
          <w:noProof/>
        </w:rPr>
        <w:t>Fisk et al. (2018)</w:t>
      </w:r>
      <w:r w:rsidR="00980576" w:rsidRPr="005459E6">
        <w:rPr>
          <w:rFonts w:ascii="Times New Roman" w:hAnsi="Times New Roman" w:cs="Times New Roman"/>
        </w:rPr>
        <w:fldChar w:fldCharType="end"/>
      </w:r>
      <w:r w:rsidR="00980576" w:rsidRPr="005459E6">
        <w:rPr>
          <w:rFonts w:ascii="Times New Roman" w:hAnsi="Times New Roman" w:cs="Times New Roman"/>
        </w:rPr>
        <w:t xml:space="preserve"> </w:t>
      </w:r>
      <w:r w:rsidRPr="005459E6">
        <w:rPr>
          <w:rFonts w:ascii="Times New Roman" w:hAnsi="Times New Roman" w:cs="Times New Roman"/>
        </w:rPr>
        <w:t xml:space="preserve">inclusive service systems and design services that meet the needs of all consumers, including not only service access but also </w:t>
      </w:r>
      <w:r w:rsidR="0066637B" w:rsidRPr="005459E6">
        <w:rPr>
          <w:rFonts w:ascii="Times New Roman" w:hAnsi="Times New Roman" w:cs="Times New Roman"/>
        </w:rPr>
        <w:t xml:space="preserve">a </w:t>
      </w:r>
      <w:r w:rsidRPr="005459E6">
        <w:rPr>
          <w:rFonts w:ascii="Times New Roman" w:hAnsi="Times New Roman" w:cs="Times New Roman"/>
        </w:rPr>
        <w:t>choice, fair treatment (during the service experience), and services that improve overall well-being.</w:t>
      </w:r>
    </w:p>
    <w:p w14:paraId="48A3ECE9" w14:textId="6470D854" w:rsidR="005C2A4C" w:rsidRPr="005459E6" w:rsidRDefault="005C2A4C" w:rsidP="005C2A4C">
      <w:pPr>
        <w:spacing w:line="360" w:lineRule="auto"/>
        <w:jc w:val="both"/>
        <w:rPr>
          <w:rFonts w:ascii="Times New Roman" w:hAnsi="Times New Roman" w:cs="Times New Roman"/>
        </w:rPr>
      </w:pPr>
      <w:r w:rsidRPr="005459E6">
        <w:rPr>
          <w:rFonts w:ascii="Times New Roman" w:hAnsi="Times New Roman" w:cs="Times New Roman"/>
        </w:rPr>
        <w:t>In response to a call to action for scholars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Research","id":"ITEM-1","issue":"3","issued":{"date-parts":[["2021"]]},"page":"329-353","title":"Service Research Priorities: Managing and Delivering Service in Turbulent Times","type":"article-journal","volume":"24"},"uris":["http://www.mendeley.com/documents/?uuid=69747d6e-268d-4378-b9bf-d191cb6a8d99"]}],"mendeley":{"formattedCitation":"(Ostrom et al., 2021)","manualFormatting":"Ostrom et al. 2021)","plainTextFormattedCitation":"(Ostrom et al., 2021)","previouslyFormattedCitation":"(Ostrom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Ostrom et al. 2021)</w:t>
      </w:r>
      <w:r w:rsidRPr="005459E6">
        <w:rPr>
          <w:rFonts w:ascii="Times New Roman" w:hAnsi="Times New Roman" w:cs="Times New Roman"/>
        </w:rPr>
        <w:fldChar w:fldCharType="end"/>
      </w:r>
      <w:r w:rsidRPr="005459E6">
        <w:rPr>
          <w:rFonts w:ascii="Times New Roman" w:hAnsi="Times New Roman" w:cs="Times New Roman"/>
        </w:rPr>
        <w:t>, service research would necessitate interdisciplinary and multidisciplinary, and transdisciplinary approaches to address the identified complex problems.</w:t>
      </w:r>
    </w:p>
    <w:p w14:paraId="1C397699" w14:textId="77777777" w:rsidR="00702C17" w:rsidRPr="005459E6" w:rsidRDefault="00702C17" w:rsidP="00042CB0">
      <w:pPr>
        <w:spacing w:line="360" w:lineRule="auto"/>
        <w:jc w:val="both"/>
        <w:rPr>
          <w:rFonts w:ascii="Times New Roman" w:hAnsi="Times New Roman" w:cs="Times New Roman"/>
        </w:rPr>
      </w:pPr>
    </w:p>
    <w:p w14:paraId="08DAB81E" w14:textId="77777777" w:rsidR="00EF5756" w:rsidRPr="005459E6" w:rsidRDefault="00EF5756" w:rsidP="00042CB0">
      <w:pPr>
        <w:pStyle w:val="Titolo2"/>
        <w:spacing w:line="360" w:lineRule="auto"/>
        <w:jc w:val="both"/>
        <w:rPr>
          <w:rFonts w:ascii="Times New Roman" w:hAnsi="Times New Roman" w:cs="Times New Roman"/>
          <w:color w:val="auto"/>
          <w:sz w:val="22"/>
          <w:szCs w:val="22"/>
        </w:rPr>
      </w:pPr>
      <w:bookmarkStart w:id="120" w:name="_Toc73129005"/>
      <w:bookmarkStart w:id="121" w:name="_Toc85542411"/>
      <w:bookmarkStart w:id="122" w:name="_Toc87349494"/>
      <w:bookmarkStart w:id="123" w:name="_Toc87349607"/>
      <w:bookmarkStart w:id="124" w:name="_Toc87349714"/>
      <w:bookmarkStart w:id="125" w:name="_Toc107248289"/>
      <w:r w:rsidRPr="005459E6">
        <w:rPr>
          <w:rFonts w:ascii="Times New Roman" w:hAnsi="Times New Roman" w:cs="Times New Roman"/>
          <w:color w:val="auto"/>
          <w:sz w:val="22"/>
          <w:szCs w:val="22"/>
        </w:rPr>
        <w:t>Objective</w:t>
      </w:r>
      <w:bookmarkEnd w:id="120"/>
      <w:r w:rsidRPr="005459E6">
        <w:rPr>
          <w:rFonts w:ascii="Times New Roman" w:hAnsi="Times New Roman" w:cs="Times New Roman"/>
          <w:color w:val="auto"/>
          <w:sz w:val="22"/>
          <w:szCs w:val="22"/>
        </w:rPr>
        <w:t>s</w:t>
      </w:r>
      <w:bookmarkEnd w:id="121"/>
      <w:bookmarkEnd w:id="122"/>
      <w:bookmarkEnd w:id="123"/>
      <w:bookmarkEnd w:id="124"/>
      <w:bookmarkEnd w:id="125"/>
    </w:p>
    <w:p w14:paraId="67584B3D" w14:textId="5621F4F5" w:rsidR="00FB5474" w:rsidRPr="005459E6" w:rsidRDefault="00FB5474" w:rsidP="00042CB0">
      <w:pPr>
        <w:spacing w:line="360" w:lineRule="auto"/>
        <w:jc w:val="both"/>
        <w:rPr>
          <w:rFonts w:ascii="Times New Roman" w:hAnsi="Times New Roman" w:cs="Times New Roman"/>
        </w:rPr>
      </w:pPr>
      <w:r w:rsidRPr="005459E6">
        <w:rPr>
          <w:rFonts w:ascii="Times New Roman" w:hAnsi="Times New Roman" w:cs="Times New Roman"/>
        </w:rPr>
        <w:t xml:space="preserve">The sheer number of people who experience symptoms ranging from anxiety to depression is enormous; it represents a significant problem for organizations. Various studies focus on depression </w:t>
      </w:r>
      <w:r w:rsidR="008118CE" w:rsidRPr="005459E6">
        <w:rPr>
          <w:rFonts w:ascii="Times New Roman" w:hAnsi="Times New Roman" w:cs="Times New Roman"/>
        </w:rPr>
        <w:t>in</w:t>
      </w:r>
      <w:r w:rsidRPr="005459E6">
        <w:rPr>
          <w:rFonts w:ascii="Times New Roman" w:hAnsi="Times New Roman" w:cs="Times New Roman"/>
        </w:rPr>
        <w:t xml:space="preserve"> people suffering from chronic diseases</w:t>
      </w:r>
      <w:r w:rsidR="00A50A88" w:rsidRPr="005459E6">
        <w:rPr>
          <w:rFonts w:ascii="Times New Roman" w:hAnsi="Times New Roman" w:cs="Times New Roman"/>
        </w:rPr>
        <w:t>;</w:t>
      </w:r>
      <w:r w:rsidRPr="005459E6">
        <w:rPr>
          <w:rFonts w:ascii="Times New Roman" w:hAnsi="Times New Roman" w:cs="Times New Roman"/>
        </w:rPr>
        <w:t xml:space="preserve"> however, minimal studies focus on the impact of depression that may increase the intensity of diseases. Also, it is not always straightforward because it is not easy to identify and treat psychological breakdown</w:t>
      </w:r>
      <w:r w:rsidR="004970FE" w:rsidRPr="005459E6">
        <w:rPr>
          <w:rFonts w:ascii="Times New Roman" w:hAnsi="Times New Roman" w:cs="Times New Roman"/>
        </w:rPr>
        <w:t>s</w:t>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{"citationItems":[{"id":"ITEM-1","itemData":{"DOI":"10.1097/01.nmd.0000244564.54694.87","ISSN":"00223018","PMID":"17102712","abstract":"A dysphoric mood is not required for the diagnosis of DSM-IV major depressive disorder. Individuals who deny depression, sadness, or feeling blue may nonetheless be diagnosed with major depressive disorder if they have lost interest or pleasure in all, or almost all, of their usual activities, and experienced at least four other symptoms of depression. The underlying assumption is that depressed patients without low mood are no different than depressed patients who report dysphoric mood. In the present report from the Rhode Island Methods to Improve Diagnostic Assessment and Services project, we examined the validity of this assumption. We compared the demographic, family history, and clinical characteristics of patients who met the DSM-IV criteria for a current major depressive episode who did (N = 839) and did not (N = 63) report low mood. Patients without depressed mood were significantly younger, and their current episodes were briefer, less severe, and associated with less suicidality and less psychosocial impairment. The results thus do not support DSM-IV's implicit assumption of no difference between depressed patients who do and do not report low mood. The alternative ways this might be addressed in future editions of the DSM are discussed. © 2006 Lippincott Williams &amp; Wilkins, Inc.","author":[{"dropping-particle":"","family":"Zimmerman","given":"Mark","non-dropping-particle":"","parse-names":false,"suffix":""},{"dropping-particle":"","family":"McGlinchey","given":"Joseph B.","non-dropping-particle":"","parse-names":false,"suffix":""},{"dropping-particle":"","family":"Young","given":"Diane","non-dropping-particle":"","parse-names":false,"suffix":""},{"dropping-particle":"","family":"Chelminski","given":"Iwona","non-dropping-particle":"","parse-names":false,"suffix":""}],"container-title":"Journal of Nervous and Mental Disease","id":"ITEM-1","issue":"11","issued":{"date-parts":[["2006"]]},"page":"864-869","title":"Diagnosing major depressive disorder IX: Are patients who deny low mood a distinct subgroup?","type":"article-journal","volume":"194"},"uris":["http://www.mendeley.com/documents/?uuid=0cf734e2-5a2e-4bf6-9131-e920aeb021ac"]}],"mendeley":{"formattedCitation":"(Zimmerman et al., 2006)","plainTextFormattedCitation":"(Zimmerman et al., 2006)","previouslyFormattedCitation":"(Zimmerman et al.,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(Zimmerman et al., 2006)</w:t>
      </w:r>
      <w:r w:rsidRPr="005459E6">
        <w:rPr>
          <w:rFonts w:ascii="Times New Roman" w:hAnsi="Times New Roman" w:cs="Times New Roman"/>
        </w:rPr>
        <w:fldChar w:fldCharType="end"/>
      </w:r>
      <w:r w:rsidRPr="005459E6">
        <w:rPr>
          <w:rFonts w:ascii="Times New Roman" w:hAnsi="Times New Roman" w:cs="Times New Roman"/>
        </w:rPr>
        <w:t xml:space="preserve">. With the development of predictive analytical techniques, we may need to implement a faster (but accurate) protocol that may serve as a remedy against degrading psychosomatic health. Based on the above, the proposed study looks forward to Exploring the reach of technology to be able to suggest a protocol for the betterment </w:t>
      </w:r>
      <w:r w:rsidR="002461D7" w:rsidRPr="005459E6">
        <w:rPr>
          <w:rFonts w:ascii="Times New Roman" w:hAnsi="Times New Roman" w:cs="Times New Roman"/>
        </w:rPr>
        <w:t xml:space="preserve">of psychological </w:t>
      </w:r>
      <w:r w:rsidRPr="005459E6">
        <w:rPr>
          <w:rFonts w:ascii="Times New Roman" w:hAnsi="Times New Roman" w:cs="Times New Roman"/>
        </w:rPr>
        <w:t xml:space="preserve">well-being. </w:t>
      </w:r>
    </w:p>
    <w:p w14:paraId="35C13554" w14:textId="77777777" w:rsidR="00427574" w:rsidRPr="005459E6" w:rsidRDefault="00427574" w:rsidP="00042CB0">
      <w:pPr>
        <w:spacing w:line="360" w:lineRule="auto"/>
        <w:jc w:val="both"/>
        <w:rPr>
          <w:rFonts w:ascii="Times New Roman" w:hAnsi="Times New Roman" w:cs="Times New Roman"/>
        </w:rPr>
      </w:pPr>
    </w:p>
    <w:p w14:paraId="1DC8E1DD" w14:textId="77777777" w:rsidR="00427574" w:rsidRPr="005459E6" w:rsidRDefault="00427574" w:rsidP="00042CB0">
      <w:pPr>
        <w:spacing w:line="360" w:lineRule="auto"/>
        <w:jc w:val="both"/>
        <w:rPr>
          <w:rFonts w:ascii="Times New Roman" w:hAnsi="Times New Roman" w:cs="Times New Roman"/>
        </w:rPr>
      </w:pPr>
    </w:p>
    <w:p w14:paraId="0722EED1" w14:textId="5027B147" w:rsidR="00683CD2" w:rsidRPr="005459E6" w:rsidRDefault="00FB5474" w:rsidP="00042CB0">
      <w:pPr>
        <w:spacing w:line="360" w:lineRule="auto"/>
        <w:jc w:val="both"/>
        <w:rPr>
          <w:rFonts w:ascii="Times New Roman" w:hAnsi="Times New Roman" w:cs="Times New Roman"/>
        </w:rPr>
      </w:pPr>
      <w:r w:rsidRPr="005459E6">
        <w:rPr>
          <w:rFonts w:ascii="Times New Roman" w:hAnsi="Times New Roman" w:cs="Times New Roman"/>
        </w:rPr>
        <w:t>Considering the current situation with Covid-19, people would require exceptional support on the psychological front, so the research looks forward to exploring a ‘</w:t>
      </w:r>
      <w:r w:rsidRPr="005459E6">
        <w:rPr>
          <w:rFonts w:ascii="Times New Roman" w:hAnsi="Times New Roman" w:cs="Times New Roman"/>
          <w:u w:val="single"/>
        </w:rPr>
        <w:t>Can psychosomatic health of an individual be augmented to reflect on organizational performance?</w:t>
      </w:r>
      <w:r w:rsidRPr="005459E6">
        <w:rPr>
          <w:rFonts w:ascii="Times New Roman" w:hAnsi="Times New Roman" w:cs="Times New Roman"/>
        </w:rPr>
        <w:t xml:space="preserve">’ </w:t>
      </w:r>
    </w:p>
    <w:p w14:paraId="49D60760" w14:textId="58377A2C" w:rsidR="00EF5756" w:rsidRPr="005459E6" w:rsidRDefault="00EF5756" w:rsidP="00042CB0">
      <w:pPr>
        <w:spacing w:line="360" w:lineRule="auto"/>
        <w:jc w:val="both"/>
        <w:rPr>
          <w:rFonts w:ascii="Times New Roman" w:hAnsi="Times New Roman" w:cs="Times New Roman"/>
        </w:rPr>
      </w:pPr>
      <w:r w:rsidRPr="005459E6">
        <w:rPr>
          <w:rFonts w:ascii="Times New Roman" w:hAnsi="Times New Roman" w:cs="Times New Roman"/>
        </w:rPr>
        <w:t xml:space="preserve">Considering the challenges presented by the complexities of the human mind, identifying the factors associated with the state of mental health and leveraging technology for analytical predictions presented research looks forward to fulfilling the following objectives </w:t>
      </w:r>
      <w:r w:rsidR="00427574" w:rsidRPr="005459E6">
        <w:rPr>
          <w:rFonts w:ascii="Times New Roman" w:hAnsi="Times New Roman" w:cs="Times New Roman"/>
        </w:rPr>
        <w:t>-</w:t>
      </w:r>
    </w:p>
    <w:p w14:paraId="32E5DBB9" w14:textId="77777777" w:rsidR="00EF5756" w:rsidRPr="005459E6" w:rsidRDefault="00EF5756" w:rsidP="00042CB0">
      <w:pPr>
        <w:spacing w:line="360" w:lineRule="auto"/>
        <w:jc w:val="both"/>
        <w:rPr>
          <w:rFonts w:ascii="Times New Roman" w:hAnsi="Times New Roman" w:cs="Times New Roman"/>
        </w:rPr>
      </w:pPr>
    </w:p>
    <w:p w14:paraId="372B06A0" w14:textId="6AA13B38" w:rsidR="00EF5756" w:rsidRPr="005459E6" w:rsidRDefault="00EF5756" w:rsidP="00042CB0">
      <w:pPr>
        <w:numPr>
          <w:ilvl w:val="0"/>
          <w:numId w:val="12"/>
        </w:numPr>
        <w:spacing w:line="360" w:lineRule="auto"/>
        <w:jc w:val="both"/>
        <w:rPr>
          <w:rFonts w:ascii="Times New Roman" w:hAnsi="Times New Roman" w:cs="Times New Roman"/>
          <w:b/>
          <w:bCs/>
        </w:rPr>
      </w:pPr>
      <w:r w:rsidRPr="005459E6">
        <w:rPr>
          <w:rFonts w:ascii="Times New Roman" w:hAnsi="Times New Roman" w:cs="Times New Roman"/>
          <w:b/>
          <w:bCs/>
        </w:rPr>
        <w:t xml:space="preserve">Explore the role of positive emotions for </w:t>
      </w:r>
      <w:r w:rsidR="004970FE" w:rsidRPr="005459E6">
        <w:rPr>
          <w:rFonts w:ascii="Times New Roman" w:hAnsi="Times New Roman" w:cs="Times New Roman"/>
          <w:b/>
          <w:bCs/>
        </w:rPr>
        <w:t xml:space="preserve">the </w:t>
      </w:r>
      <w:r w:rsidRPr="005459E6">
        <w:rPr>
          <w:rFonts w:ascii="Times New Roman" w:hAnsi="Times New Roman" w:cs="Times New Roman"/>
          <w:b/>
          <w:bCs/>
        </w:rPr>
        <w:t>betterment of Well-being using AI</w:t>
      </w:r>
    </w:p>
    <w:p w14:paraId="08A9E75E" w14:textId="7D91B1AA" w:rsidR="00EF5756" w:rsidRPr="005459E6" w:rsidRDefault="00EF5756" w:rsidP="00042CB0">
      <w:pPr>
        <w:spacing w:line="360" w:lineRule="auto"/>
        <w:jc w:val="both"/>
        <w:rPr>
          <w:rFonts w:ascii="Times New Roman" w:hAnsi="Times New Roman" w:cs="Times New Roman"/>
          <w:i/>
          <w:iCs/>
        </w:rPr>
      </w:pPr>
      <w:r w:rsidRPr="005459E6">
        <w:rPr>
          <w:rFonts w:ascii="Times New Roman" w:hAnsi="Times New Roman" w:cs="Times New Roman"/>
          <w:i/>
          <w:iCs/>
        </w:rPr>
        <w:t>To achieve this objective</w:t>
      </w:r>
      <w:r w:rsidR="004970FE" w:rsidRPr="005459E6">
        <w:rPr>
          <w:rFonts w:ascii="Times New Roman" w:hAnsi="Times New Roman" w:cs="Times New Roman"/>
          <w:i/>
          <w:iCs/>
        </w:rPr>
        <w:t>,</w:t>
      </w:r>
      <w:r w:rsidRPr="005459E6">
        <w:rPr>
          <w:rFonts w:ascii="Times New Roman" w:hAnsi="Times New Roman" w:cs="Times New Roman"/>
          <w:i/>
          <w:iCs/>
        </w:rPr>
        <w:t xml:space="preserve"> </w:t>
      </w:r>
      <w:r w:rsidR="004970FE" w:rsidRPr="005459E6">
        <w:rPr>
          <w:rFonts w:ascii="Times New Roman" w:hAnsi="Times New Roman" w:cs="Times New Roman"/>
          <w:i/>
          <w:iCs/>
        </w:rPr>
        <w:t xml:space="preserve">the </w:t>
      </w:r>
      <w:r w:rsidRPr="005459E6">
        <w:rPr>
          <w:rFonts w:ascii="Times New Roman" w:hAnsi="Times New Roman" w:cs="Times New Roman"/>
          <w:i/>
          <w:iCs/>
        </w:rPr>
        <w:t xml:space="preserve">research identified the construct of psychological well-being and observed the relationship </w:t>
      </w:r>
      <w:r w:rsidR="00CB049A" w:rsidRPr="005459E6">
        <w:rPr>
          <w:rFonts w:ascii="Times New Roman" w:hAnsi="Times New Roman" w:cs="Times New Roman"/>
          <w:i/>
          <w:iCs/>
        </w:rPr>
        <w:t>of ‘</w:t>
      </w:r>
      <w:r w:rsidRPr="005459E6">
        <w:rPr>
          <w:rFonts w:ascii="Times New Roman" w:hAnsi="Times New Roman" w:cs="Times New Roman"/>
          <w:i/>
          <w:iCs/>
        </w:rPr>
        <w:t xml:space="preserve">Stress’ as </w:t>
      </w:r>
      <w:r w:rsidR="004970FE" w:rsidRPr="005459E6">
        <w:rPr>
          <w:rFonts w:ascii="Times New Roman" w:hAnsi="Times New Roman" w:cs="Times New Roman"/>
          <w:i/>
          <w:iCs/>
        </w:rPr>
        <w:t xml:space="preserve">a </w:t>
      </w:r>
      <w:r w:rsidRPr="005459E6">
        <w:rPr>
          <w:rFonts w:ascii="Times New Roman" w:hAnsi="Times New Roman" w:cs="Times New Roman"/>
          <w:i/>
          <w:iCs/>
        </w:rPr>
        <w:t xml:space="preserve">target with </w:t>
      </w:r>
      <w:r w:rsidR="009A7D73" w:rsidRPr="005459E6">
        <w:rPr>
          <w:rFonts w:ascii="Times New Roman" w:hAnsi="Times New Roman" w:cs="Times New Roman"/>
          <w:i/>
          <w:iCs/>
        </w:rPr>
        <w:t>emotions</w:t>
      </w:r>
      <w:r w:rsidRPr="005459E6">
        <w:rPr>
          <w:rFonts w:ascii="Times New Roman" w:hAnsi="Times New Roman" w:cs="Times New Roman"/>
          <w:i/>
          <w:iCs/>
        </w:rPr>
        <w:t xml:space="preserve"> such as ‘Interest’, </w:t>
      </w:r>
      <w:r w:rsidR="00467688" w:rsidRPr="005459E6">
        <w:rPr>
          <w:rFonts w:ascii="Times New Roman" w:hAnsi="Times New Roman" w:cs="Times New Roman"/>
          <w:i/>
          <w:iCs/>
        </w:rPr>
        <w:t xml:space="preserve">and </w:t>
      </w:r>
      <w:r w:rsidRPr="005459E6">
        <w:rPr>
          <w:rFonts w:ascii="Times New Roman" w:hAnsi="Times New Roman" w:cs="Times New Roman"/>
          <w:i/>
          <w:iCs/>
        </w:rPr>
        <w:t>‘Relaxation’ using Machine Learning.</w:t>
      </w:r>
    </w:p>
    <w:p w14:paraId="03DB25E3" w14:textId="77777777" w:rsidR="00D75B97" w:rsidRPr="005459E6" w:rsidRDefault="00D75B97" w:rsidP="00042CB0">
      <w:pPr>
        <w:spacing w:line="360" w:lineRule="auto"/>
        <w:jc w:val="both"/>
        <w:rPr>
          <w:rFonts w:ascii="Times New Roman" w:hAnsi="Times New Roman" w:cs="Times New Roman"/>
        </w:rPr>
      </w:pPr>
    </w:p>
    <w:p w14:paraId="05679BA0" w14:textId="36426CD7" w:rsidR="00EF5756" w:rsidRPr="005459E6" w:rsidRDefault="00EF5756" w:rsidP="00042CB0">
      <w:pPr>
        <w:numPr>
          <w:ilvl w:val="0"/>
          <w:numId w:val="12"/>
        </w:numPr>
        <w:spacing w:line="360" w:lineRule="auto"/>
        <w:jc w:val="both"/>
        <w:rPr>
          <w:rFonts w:ascii="Times New Roman" w:hAnsi="Times New Roman" w:cs="Times New Roman"/>
          <w:b/>
          <w:bCs/>
        </w:rPr>
      </w:pPr>
      <w:r w:rsidRPr="005459E6">
        <w:rPr>
          <w:rFonts w:ascii="Times New Roman" w:hAnsi="Times New Roman" w:cs="Times New Roman"/>
          <w:b/>
          <w:bCs/>
        </w:rPr>
        <w:t xml:space="preserve">Reflect on co-created value </w:t>
      </w:r>
      <w:r w:rsidR="00735AE7" w:rsidRPr="005459E6">
        <w:rPr>
          <w:rFonts w:ascii="Times New Roman" w:hAnsi="Times New Roman" w:cs="Times New Roman"/>
          <w:b/>
          <w:bCs/>
        </w:rPr>
        <w:t>for</w:t>
      </w:r>
      <w:r w:rsidRPr="005459E6">
        <w:rPr>
          <w:rFonts w:ascii="Times New Roman" w:hAnsi="Times New Roman" w:cs="Times New Roman"/>
          <w:b/>
          <w:bCs/>
        </w:rPr>
        <w:t xml:space="preserve"> an organization through individual Well-being </w:t>
      </w:r>
    </w:p>
    <w:p w14:paraId="72CA0597" w14:textId="2E0F45B6" w:rsidR="00EF5756" w:rsidRPr="005459E6" w:rsidRDefault="00EF5756" w:rsidP="00042CB0">
      <w:pPr>
        <w:spacing w:line="360" w:lineRule="auto"/>
        <w:jc w:val="both"/>
        <w:rPr>
          <w:rFonts w:ascii="Times New Roman" w:hAnsi="Times New Roman" w:cs="Times New Roman"/>
          <w:i/>
          <w:iCs/>
        </w:rPr>
      </w:pPr>
      <w:r w:rsidRPr="005459E6">
        <w:rPr>
          <w:rFonts w:ascii="Times New Roman" w:hAnsi="Times New Roman" w:cs="Times New Roman"/>
          <w:i/>
          <w:iCs/>
        </w:rPr>
        <w:t xml:space="preserve">To fulfill this objective study identifies the relationships </w:t>
      </w:r>
      <w:r w:rsidR="00C2330F" w:rsidRPr="005459E6">
        <w:rPr>
          <w:rFonts w:ascii="Times New Roman" w:hAnsi="Times New Roman" w:cs="Times New Roman"/>
          <w:i/>
          <w:iCs/>
        </w:rPr>
        <w:t>between</w:t>
      </w:r>
      <w:r w:rsidRPr="005459E6">
        <w:rPr>
          <w:rFonts w:ascii="Times New Roman" w:hAnsi="Times New Roman" w:cs="Times New Roman"/>
          <w:i/>
          <w:iCs/>
        </w:rPr>
        <w:t xml:space="preserve"> ‘Workplace Productivity</w:t>
      </w:r>
      <w:r w:rsidR="004970FE" w:rsidRPr="005459E6">
        <w:rPr>
          <w:rFonts w:ascii="Times New Roman" w:hAnsi="Times New Roman" w:cs="Times New Roman"/>
          <w:i/>
          <w:iCs/>
        </w:rPr>
        <w:t>’</w:t>
      </w:r>
      <w:r w:rsidR="00C2330F" w:rsidRPr="005459E6">
        <w:rPr>
          <w:rFonts w:ascii="Times New Roman" w:hAnsi="Times New Roman" w:cs="Times New Roman"/>
          <w:i/>
          <w:iCs/>
        </w:rPr>
        <w:t xml:space="preserve"> </w:t>
      </w:r>
      <w:r w:rsidRPr="005459E6">
        <w:rPr>
          <w:rFonts w:ascii="Times New Roman" w:hAnsi="Times New Roman" w:cs="Times New Roman"/>
          <w:i/>
          <w:iCs/>
        </w:rPr>
        <w:t xml:space="preserve">and ‘Stress’ </w:t>
      </w:r>
      <w:r w:rsidR="002A5336" w:rsidRPr="005459E6">
        <w:rPr>
          <w:rFonts w:ascii="Times New Roman" w:hAnsi="Times New Roman" w:cs="Times New Roman"/>
          <w:i/>
          <w:iCs/>
        </w:rPr>
        <w:t>to g</w:t>
      </w:r>
      <w:r w:rsidR="001D1AD4" w:rsidRPr="005459E6">
        <w:rPr>
          <w:rFonts w:ascii="Times New Roman" w:hAnsi="Times New Roman" w:cs="Times New Roman"/>
          <w:i/>
          <w:iCs/>
        </w:rPr>
        <w:t>au</w:t>
      </w:r>
      <w:r w:rsidR="002A5336" w:rsidRPr="005459E6">
        <w:rPr>
          <w:rFonts w:ascii="Times New Roman" w:hAnsi="Times New Roman" w:cs="Times New Roman"/>
          <w:i/>
          <w:iCs/>
        </w:rPr>
        <w:t>ge</w:t>
      </w:r>
      <w:r w:rsidRPr="005459E6">
        <w:rPr>
          <w:rFonts w:ascii="Times New Roman" w:hAnsi="Times New Roman" w:cs="Times New Roman"/>
          <w:i/>
          <w:iCs/>
        </w:rPr>
        <w:t xml:space="preserve"> </w:t>
      </w:r>
      <w:r w:rsidR="00467688" w:rsidRPr="005459E6">
        <w:rPr>
          <w:rFonts w:ascii="Times New Roman" w:hAnsi="Times New Roman" w:cs="Times New Roman"/>
          <w:i/>
          <w:iCs/>
        </w:rPr>
        <w:t>their</w:t>
      </w:r>
      <w:r w:rsidRPr="005459E6">
        <w:rPr>
          <w:rFonts w:ascii="Times New Roman" w:hAnsi="Times New Roman" w:cs="Times New Roman"/>
          <w:i/>
          <w:iCs/>
        </w:rPr>
        <w:t xml:space="preserve"> impact on </w:t>
      </w:r>
      <w:r w:rsidR="004970FE" w:rsidRPr="005459E6">
        <w:rPr>
          <w:rFonts w:ascii="Times New Roman" w:hAnsi="Times New Roman" w:cs="Times New Roman"/>
          <w:i/>
          <w:iCs/>
        </w:rPr>
        <w:t>o</w:t>
      </w:r>
      <w:r w:rsidRPr="005459E6">
        <w:rPr>
          <w:rFonts w:ascii="Times New Roman" w:hAnsi="Times New Roman" w:cs="Times New Roman"/>
          <w:i/>
          <w:iCs/>
        </w:rPr>
        <w:t>rganizational performance.</w:t>
      </w:r>
    </w:p>
    <w:p w14:paraId="145B67D4" w14:textId="77777777" w:rsidR="002461D7" w:rsidRPr="005459E6" w:rsidRDefault="002461D7" w:rsidP="00042CB0">
      <w:pPr>
        <w:spacing w:line="360" w:lineRule="auto"/>
        <w:jc w:val="both"/>
        <w:rPr>
          <w:rFonts w:ascii="Times New Roman" w:hAnsi="Times New Roman" w:cs="Times New Roman"/>
        </w:rPr>
      </w:pPr>
    </w:p>
    <w:p w14:paraId="3FD136D1" w14:textId="77777777" w:rsidR="00EF5756" w:rsidRPr="005459E6" w:rsidRDefault="00EF5756" w:rsidP="00042CB0">
      <w:pPr>
        <w:pStyle w:val="Titolo2"/>
        <w:spacing w:line="360" w:lineRule="auto"/>
        <w:jc w:val="both"/>
        <w:rPr>
          <w:rFonts w:ascii="Times New Roman" w:hAnsi="Times New Roman" w:cs="Times New Roman"/>
          <w:color w:val="auto"/>
          <w:sz w:val="22"/>
          <w:szCs w:val="22"/>
        </w:rPr>
      </w:pPr>
      <w:bookmarkStart w:id="126" w:name="_Toc73129006"/>
      <w:bookmarkStart w:id="127" w:name="_Toc85542412"/>
      <w:bookmarkStart w:id="128" w:name="_Toc87349495"/>
      <w:bookmarkStart w:id="129" w:name="_Toc87349608"/>
      <w:bookmarkStart w:id="130" w:name="_Toc87349715"/>
      <w:bookmarkStart w:id="131" w:name="_Toc107248290"/>
      <w:r w:rsidRPr="005459E6">
        <w:rPr>
          <w:rFonts w:ascii="Times New Roman" w:hAnsi="Times New Roman" w:cs="Times New Roman"/>
          <w:color w:val="auto"/>
          <w:sz w:val="22"/>
          <w:szCs w:val="22"/>
        </w:rPr>
        <w:t>Scope</w:t>
      </w:r>
      <w:bookmarkEnd w:id="126"/>
      <w:bookmarkEnd w:id="127"/>
      <w:bookmarkEnd w:id="128"/>
      <w:bookmarkEnd w:id="129"/>
      <w:bookmarkEnd w:id="130"/>
      <w:r w:rsidRPr="005459E6">
        <w:rPr>
          <w:rFonts w:ascii="Times New Roman" w:hAnsi="Times New Roman" w:cs="Times New Roman"/>
          <w:color w:val="auto"/>
          <w:sz w:val="22"/>
          <w:szCs w:val="22"/>
        </w:rPr>
        <w:t xml:space="preserve"> of Study</w:t>
      </w:r>
      <w:bookmarkEnd w:id="131"/>
    </w:p>
    <w:p w14:paraId="640F467C" w14:textId="3701D1FD" w:rsidR="00EF5756" w:rsidRPr="005459E6" w:rsidRDefault="00EF5756" w:rsidP="00042CB0">
      <w:pPr>
        <w:spacing w:line="360" w:lineRule="auto"/>
        <w:jc w:val="both"/>
        <w:rPr>
          <w:rFonts w:ascii="Times New Roman" w:hAnsi="Times New Roman" w:cs="Times New Roman"/>
        </w:rPr>
      </w:pPr>
      <w:r w:rsidRPr="005459E6">
        <w:rPr>
          <w:rFonts w:ascii="Times New Roman" w:hAnsi="Times New Roman" w:cs="Times New Roman"/>
        </w:rPr>
        <w:t xml:space="preserve">The exponential growth of digital technologies has induced an information revolution in the healthcare sector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{"citationItems":[{"id":"ITEM-1","itemData":{"DOI":"10.1016/j.amepre.2007.01.016","ISSN":"07493797","PMID":"17466822","abstract":"Abstract: The Internet and related digital technologies have spawned the burgeoning growth of an information revolution in health care. Emerging evidence provides support for the beneficial effects of online interactive eHealth programs, although many challenges remain with respect to research approaches to methodology, implementation, and evaluation. This paper addresses and highlights some of the unique challenges and opportunities that researchers in eHealth face with a particular emphasis on methodologic issues. A brief historical perspective provides context for the subsequent appraisal of the current state of eHealth research. Next, emerging evidence pointing to the growing interest and investment in eHealth research is presented. © 2007 American Journal of Preventive Medicine.","author":[{"dropping-particle":"","family":"Ahern","given":"David K.","non-dropping-particle":"","parse-names":false,"suffix":""}],"container-title":"American Journal of Preventive Medicine","id":"ITEM-1","issue":"5 SUPPL.","issued":{"date-parts":[["2007"]]},"title":"Challenges and Opportunities of eHealth Research","type":"article-journal","volume":"32"},"uris":["http://www.mendeley.com/documents/?uuid=77625f5c-1a84-4cf3-9e3e-55fd848941dd"]}],"mendeley":{"formattedCitation":"(Ahern, 2007)","plainTextFormattedCitation":"(Ahern, 2007)","previouslyFormattedCitation":"(Ahern, 2007)"},"properties":{"noteIndex":0},"schema":"https://github.com/citation-style-language/schema/raw/master/csl-citation.json"}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(Ahern, 2007)</w:t>
      </w:r>
      <w:r w:rsidRPr="005459E6">
        <w:rPr>
          <w:rFonts w:ascii="Times New Roman" w:hAnsi="Times New Roman" w:cs="Times New Roman"/>
        </w:rPr>
        <w:fldChar w:fldCharType="end"/>
      </w:r>
      <w:r w:rsidRPr="005459E6">
        <w:rPr>
          <w:rFonts w:ascii="Times New Roman" w:hAnsi="Times New Roman" w:cs="Times New Roman"/>
        </w:rPr>
        <w:t xml:space="preserve">. </w:t>
      </w:r>
      <w:r w:rsidR="00427574" w:rsidRPr="005459E6">
        <w:rPr>
          <w:rFonts w:ascii="Times New Roman" w:hAnsi="Times New Roman" w:cs="Times New Roman"/>
        </w:rPr>
        <w:t xml:space="preserve"> </w:t>
      </w:r>
      <w:r w:rsidRPr="005459E6">
        <w:rPr>
          <w:rFonts w:ascii="Times New Roman" w:hAnsi="Times New Roman" w:cs="Times New Roman"/>
        </w:rPr>
        <w:t xml:space="preserve">One such outcome termed ‘eHealth’ is an emerging gateway to address the burdened healthcare system </w:t>
      </w:r>
      <w:r w:rsidRPr="005459E6">
        <w:rPr>
          <w:rFonts w:ascii="Times New Roman" w:hAnsi="Times New Roman" w:cs="Times New Roman"/>
        </w:rPr>
        <w:fldChar w:fldCharType="begin" w:fldLock="1"/>
      </w:r>
      <w:r w:rsidR="006C6273" w:rsidRPr="005459E6">
        <w:rPr>
          <w:rFonts w:ascii="Times New Roman" w:hAnsi="Times New Roman" w:cs="Times New Roman"/>
        </w:rPr>
        <w:instrText>ADDIN CSL_CITATION {"citationItems":[{"id":"ITEM-1","itemData":{"DOI":"10.1186/s12938-018-0553-x","ISSN":"1475925X","PMID":"30189879","abstract":"The use of information and communication technologies for health (eHealth) delivered via mobile-based or digitally enhanced solutions (mHealth) have rapidly evolved. When used together across various mobile applications and devices eHealth and mHealth technologies have the ability to passively monitor behavior as an indicator of socialization and mood; accumulate a range of biomedical data such as weight and heart rate; and track metrics associated with activities including steps taken and hours slept. Yet, these technologies are insufficient for measuring the full array of data about an individual and the impact of that data on a person's current and future health. Digital health converges eHealth and mHealth with patient data about their health, healthcare, living, and environment with genomics. An innovative opportunity to unravel the complexities of disease and aging is increasingly possible with an integrative multi-omics approach informed by multidisciplinary sciences including medicine, design, biomedical informatics and engineering. The digitization of individual level data from all available sources makes possible the development of DigitalMe™, a personalized virtual avatar of a real person. The combination of longitudinally collected person generated data and molecular data derived from biospecimens offers researchers unique opportunities to better understand the mechanisms of disease while advancing person-centric hypotheses generation related to treatments, diagnostics, and prognostics.","author":[{"dropping-particle":"","family":"Okun","given":"Sally","non-dropping-particle":"","parse-names":false,"suffix":""},{"dropping-particle":"","family":"Wicks","given":"Paul","non-dropping-particle":"","parse-names":false,"suffix":""}],"container-title":"BioMedical Engineering Online","id":"ITEM-1","issue":"1","issued":{"date-parts":[["2018"]]},"page":"1-7","publisher":"BioMed Central","title":"DigitalMe: A journey towards personalized health and thriving","type":"article-journal","volume":"17"},"uris":["http://www.mendeley.com/documents/?uuid=5839db7b-3d1e-4a23-89c8-e17d48107d16"]},{"id":"ITEM-2","itemData":{"author":[{"dropping-particle":"","family":"Empelen","given":"Pepijn","non-dropping-particle":"van","parse-names":false,"suffix":""},{"dropping-particle":"","family":"Otten","given":"Wilma","non-dropping-particle":"","parse-names":false,"suffix":""},{"dropping-particle":"","family":"Molema","given":"Hanneke","non-dropping-particle":"","parse-names":false,"suffix":""},{"dropping-particle":"","family":"Keijsers","given":"Jolanda","non-dropping-particle":"","parse-names":false,"suffix":""},{"dropping-particle":"","family":"Mooij","given":"Ronald","non-dropping-particle":"","parse-names":false,"suffix":""}],"container-title":"TNO innovation for life","id":"ITEM-2","issue":"November","issued":{"date-parts":[["2016"]]},"page":"1-10","title":"Digital Health: Increasing the impact with personalized design","type":"article-journal"},"uris":["http://www.mendeley.com/documents/?uuid=b876f081-ac27-46d9-9209-9096b695e01b"]},{"id":"ITEM-3","itemData":{"DOI":"10.2196/jmir.8.1.e4","ISSN":"14388871","abstract":"Background: The field of eHealth holds promise for supporting and enabling health behavior change and the prevention and management of chronic disease. Objective: In order to establish areas of congruence and controversy among contributors to the early development, evaluation, and dissemination of eHealth applications, as well as the desire to inform an evaluation research funding agenda, 38 semistructured, qualitative interviews were conducted among stakeholders in eHealth between May 2002 and September 2003. Methods: Participants were asked about their perspectives on the credibility, value, and future potential of information technology for health behavior change and chronic disease management. Interviews were coded and analyzed for emergent themes using qualitative methods. Results: Consistent themes were identified across stakeholder groups, with slight differences in emphasis. These topics included the following: (1) consensus and standardization - most stakeholders expressed a strong desire for a more coordinated, rigorous effort to define and integrate the field; (2) evaluation methods and challenges - demonstrating outcomes is required to establish eHealth quality and efficacy, but stakeholders were not satisfied with the sensitivity, validity, and reliability of existing outcome measures; (3) quality, value, and future potential - the intersection between eHealth's potential cost-effectiveness, efficiency, and improved clinical status among users generated a high degree of interest; and (4) health disparities - many stakeholders contended that traditionally underserved populations will particularly benefit from eHealth applications, although others argued that the underserved are also disadvantaged in terms of access to technology. Conclusions: Recommendations included the need for improvement and formalization of development and evaluation standards across private and public sectors, additional research on the technology needs and preferences of traditionally underserved populations, and long-term epidemiologic studies of the impact of eHealth on outcomes and cost-effectiveness. © David K Ahern, Jennifer M Kreslake, Judith M Phalen.","author":[{"dropping-particle":"","family":"Ahern","given":"David K.","non-dropping-particle":"","parse-names":false,"suffix":""},{"dropping-particle":"","family":"Kreslake","given":"Jennifer M.","non-dropping-particle":"","parse-names":false,"suffix":""},{"dropping-particle":"","family":"Phalen","given":"Judith M.","non-dropping-particle":"","parse-names":false,"suffix":""}],"container-title":"Journal of Medical Internet Research","id":"ITEM-3","issue":"1","issued":{"date-parts":[["2006"]]},"title":"What is eHealth (6): Perspectives on the evolution of eHealth research","type":"article-journal","volume":"8"},"uris":["http://www.mendeley.com/documents/?uuid=4e28c7a3-8698-42c7-a32d-7f9306762506"]}],"mendeley":{"formattedCitation":"(Ahern et al., 2006; Okun &amp; Wicks, 2018; van Empelen et al., 2016)","manualFormatting":"(Okun &amp; Wicks, 2018; van Empelen et al., 2016)","plainTextFormattedCitation":"(Ahern et al., 2006; Okun &amp; Wicks, 2018; van Empelen et al., 2016)","previouslyFormattedCitation":"(Ahern et al., 2006; Okun &amp; Wicks, 2018; van Empelen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(Okun &amp; Wicks, 2018; van Empelen et al., 2016)</w:t>
      </w:r>
      <w:r w:rsidRPr="005459E6">
        <w:rPr>
          <w:rFonts w:ascii="Times New Roman" w:hAnsi="Times New Roman" w:cs="Times New Roman"/>
        </w:rPr>
        <w:fldChar w:fldCharType="end"/>
      </w:r>
      <w:r w:rsidRPr="005459E6">
        <w:rPr>
          <w:rFonts w:ascii="Times New Roman" w:hAnsi="Times New Roman" w:cs="Times New Roman"/>
        </w:rPr>
        <w:t xml:space="preserve">. Latest developments in eHealth indicate the feasibility of using wearable sensors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{"citationItems":[{"id":"ITEM-1","itemData":{"DOI":"10.2196/12251","ISSN":"14388871","PMID":"31025944","abstract":"Background: Over the past several decades, naturally occurring and man-made mass casualty incidents (MCIs) have increased in frequency and number worldwide. To test the impact of such events on medical resources, simulations can provide a safe, controlled setting while replicating the chaotic environment typical of an actual disaster. A standardized method to collect and analyze data from mass casualty exercises is needed to assess preparedness and performance of the health care staff involved. Objective: In this study, we aimed to assess the feasibility of using wearable proximity sensors to measure proximity events during an MCI simulation. In the first instance, our objective was to demonstrate how proximity sensors can collect spatial and temporal information about the interactions between medical staff and patients during an MCI exercise in a quasi-autonomous way. In addition, we assessed how the deployment of this technology could help improve future simulations by analyzing the flow of patients in the hospital. Methods: Data were obtained and collected through the deployment of wearable proximity sensors during an MCI functional exercise. The scenario included 2 areas: the accident site and the Advanced Medical Post, and the exercise lasted 3 hours. A total of 238 participants were involved in the exercise and classified in categories according to their role: 14 medical doctors, 16 nurses, 134 victims, 47 Emergency Medical Services staff members, and 27 health care assistants and other hospital support staff. Each victim was assigned a score related to the severity of his/her injury. Each participant wore a proximity sensor, and in addition, 30 fixed devices were placed in the field hospital. Results: The contact networks show a heterogeneous distribution of the cumulative time spent in proximity by the participants. We obtained contact matrices based on the cumulative time spent in proximity between the victims and rescuers. Our results showed that the time spent in proximity by the health care teams with the victims is related to the severity of the patient's injury. The analysis of patients' flow showed that the presence of patients in the rooms of the hospital is consistent with the triage code and diagnosis, and no obvious bottlenecks were found. Conclusions: Our study shows the feasibility of the use of wearable sensors for tracking close contacts among individuals during an MCI simulation. It represents, to our knowledge, the first example…","author":[{"dropping-particle":"","family":"Ozella","given":"Laura","non-dropping-particle":"","parse-names":false,"suffix":""},{"dropping-particle":"","family":"Gauvin","given":"Laetitia","non-dropping-particle":"","parse-names":false,"suffix":""},{"dropping-particle":"","family":"Carenzo","given":"Luca","non-dropping-particle":"","parse-names":false,"suffix":""},{"dropping-particle":"","family":"Quaggiotto","given":"Marco","non-dropping-particle":"","parse-names":false,"suffix":""},{"dropping-particle":"","family":"Ingrassia","given":"Pier Luigi","non-dropping-particle":"","parse-names":false,"suffix":""},{"dropping-particle":"","family":"Tizzoni","given":"Michele","non-dropping-particle":"","parse-names":false,"suffix":""},{"dropping-particle":"","family":"Panisson","given":"André","non-dropping-particle":"","parse-names":false,"suffix":""},{"dropping-particle":"","family":"Colombo","given":"Davide","non-dropping-particle":"","parse-names":false,"suffix":""},{"dropping-particle":"","family":"Sapienza","given":"Anna","non-dropping-particle":"","parse-names":false,"suffix":""},{"dropping-particle":"","family":"Kalimeri","given":"Kyriaki","non-dropping-particle":"","parse-names":false,"suffix":""},{"dropping-particle":"Della","family":"Corte","given":"Francesco","non-dropping-particle":"","parse-names":false,"suffix":""},{"dropping-particle":"","family":"Cattuto","given":"Ciro","non-dropping-particle":"","parse-names":false,"suffix":""}],"container-title":"Journal of Medical Internet Research","id":"ITEM-1","issue":"4","issued":{"date-parts":[["2019"]]},"page":"1-13","title":"Wearable proximity sensors for monitoring a mass casualty incident exercise: Feasibility study","type":"article-journal","volume":"21"},"uris":["http://www.mendeley.com/documents/?uuid=b34c290a-e69a-472e-ad4a-9009291f97c0"]}],"mendeley":{"formattedCitation":"(Ozella et al., 2019)","plainTextFormattedCitation":"(Ozella et al., 2019)","previouslyFormattedCitation":"(Ozella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(Ozella et al., 2019)</w:t>
      </w:r>
      <w:r w:rsidRPr="005459E6">
        <w:rPr>
          <w:rFonts w:ascii="Times New Roman" w:hAnsi="Times New Roman" w:cs="Times New Roman"/>
        </w:rPr>
        <w:fldChar w:fldCharType="end"/>
      </w:r>
      <w:r w:rsidRPr="005459E6">
        <w:rPr>
          <w:rFonts w:ascii="Times New Roman" w:hAnsi="Times New Roman" w:cs="Times New Roman"/>
        </w:rPr>
        <w:t xml:space="preserve"> for real-time data collection </w:t>
      </w:r>
      <w:r w:rsidRPr="005459E6">
        <w:rPr>
          <w:rFonts w:ascii="Times New Roman" w:hAnsi="Times New Roman" w:cs="Times New Roman"/>
        </w:rPr>
        <w:fldChar w:fldCharType="begin" w:fldLock="1"/>
      </w:r>
      <w:r w:rsidR="00712DE0" w:rsidRPr="005459E6">
        <w:rPr>
          <w:rFonts w:ascii="Times New Roman" w:hAnsi="Times New Roman" w:cs="Times New Roman"/>
        </w:rPr>
        <w:instrText>ADDIN CSL_CITATION {"citationItems":[{"id":"ITEM-1","itemData":{"DOI":"10.1109/JPROC.2017.2787688.Using","ISBN":"0000000000000","ISSN":"1527-5418","PMID":"24655651","abstract":"Synapses are highly plastic and are modified by changes in patterns of neural activity or sensory experience. Plasticity of cortical excitatory synapses is thought to be important for learning and memory, leading to alterations in sensory representations and cognitive maps. However, these changes must be coordinated across other synapses within local circuits to preserve neural coding schemes and the organization of excitatory and inhibitory inputs, i.e., excitatory-inhibitory balance. Recent studies indicate that inhibitory synapses are also plastic and are controlled directly by a large number of neuromodulators, particularly during episodes of learning. Many modulators transiently alter excitatory-inhibitory balance by decreasing inhibition, and thus disinhibition has emerged as a major mechanism by which neuromodulation might enable long-term synaptic modifications naturally. This review examines the relationships between neuromodulation and synaptic plasticity, focusing on the induction of long-term changes that collectively enhance cortical excitatory-inhibitory balance for improving perception and behavior. Keywords","author":[{"dropping-particle":"","family":"Yang","given":"Guang","non-dropping-particle":"","parse-names":false,"suffix":""},{"dropping-particle":"","family":"Sau","given":"Cora","non-dropping-particle":"","parse-names":false,"suffix":""},{"dropping-particle":"","family":"Lai","given":"Wan","non-dropping-particle":"","parse-names":false,"suffix":""},{"dropping-particle":"","family":"Cichon","given":"Joseph","non-dropping-particle":"","parse-names":false,"suffix":""},{"dropping-particle":"","family":"Li","given":"Wei","non-dropping-particle":"","parse-names":false,"suffix":""}],"id":"ITEM-1","issue":"6188","issued":{"date-parts":[["2015"]]},"page":"1173-1178","title":"Using Smart City Technology to Make Healthcare Smarter Diane","type":"article-journal","volume":"344"},"uris":["http://www.mendeley.com/documents/?uuid=b3749ca9-6982-460d-82f3-2117f5b0e22d"]},{"id":"ITEM-2","itemData":{"DOI":"10.2196/12251","ISSN":"14388871","PMID":"31025944","abstract":"Background: Over the past several decades, naturally occurring and man-made mass casualty incidents (MCIs) have increased in frequency and number worldwide. To test the impact of such events on medical resources, simulations can provide a safe, controlled setting while replicating the chaotic environment typical of an actual disaster. A standardized method to collect and analyze data from mass casualty exercises is needed to assess preparedness and performance of the health care staff involved. Objective: In this study, we aimed to assess the feasibility of using wearable proximity sensors to measure proximity events during an MCI simulation. In the first instance, our objective was to demonstrate how proximity sensors can collect spatial and temporal information about the interactions between medical staff and patients during an MCI exercise in a quasi-autonomous way. In addition, we assessed how the deployment of this technology could help improve future simulations by analyzing the flow of patients in the hospital. Methods: Data were obtained and collected through the deployment of wearable proximity sensors during an MCI functional exercise. The scenario included 2 areas: the accident site and the Advanced Medical Post, and the exercise lasted 3 hours. A total of 238 participants were involved in the exercise and classified in categories according to their role: 14 medical doctors, 16 nurses, 134 victims, 47 Emergency Medical Services staff members, and 27 health care assistants and other hospital support staff. Each victim was assigned a score related to the severity of his/her injury. Each participant wore a proximity sensor, and in addition, 30 fixed devices were placed in the field hospital. Results: The contact networks show a heterogeneous distribution of the cumulative time spent in proximity by the participants. We obtained contact matrices based on the cumulative time spent in proximity between the victims and rescuers. Our results showed that the time spent in proximity by the health care teams with the victims is related to the severity of the patient's injury. The analysis of patients' flow showed that the presence of patients in the rooms of the hospital is consistent with the triage code and diagnosis, and no obvious bottlenecks were found. Conclusions: Our study shows the feasibility of the use of wearable sensors for tracking close contacts among individuals during an MCI simulation. It represents, to our knowledge, the first example…","author":[{"dropping-particle":"","family":"Ozella","given":"Laura","non-dropping-particle":"","parse-names":false,"suffix":""},{"dropping-particle":"","family":"Gauvin","given":"Laetitia","non-dropping-particle":"","parse-names":false,"suffix":""},{"dropping-particle":"","family":"Carenzo","given":"Luca","non-dropping-particle":"","parse-names":false,"suffix":""},{"dropping-particle":"","family":"Quaggiotto","given":"Marco","non-dropping-particle":"","parse-names":false,"suffix":""},{"dropping-particle":"","family":"Ingrassia","given":"Pier Luigi","non-dropping-particle":"","parse-names":false,"suffix":""},{"dropping-particle":"","family":"Tizzoni","given":"Michele","non-dropping-particle":"","parse-names":false,"suffix":""},{"dropping-particle":"","family":"Panisson","given":"André","non-dropping-particle":"","parse-names":false,"suffix":""},{"dropping-particle":"","family":"Colombo","given":"Davide","non-dropping-particle":"","parse-names":false,"suffix":""},{"dropping-particle":"","family":"Sapienza","given":"Anna","non-dropping-particle":"","parse-names":false,"suffix":""},{"dropping-particle":"","family":"Kalimeri","given":"Kyriaki","non-dropping-particle":"","parse-names":false,"suffix":""},{"dropping-particle":"Della","family":"Corte","given":"Francesco","non-dropping-particle":"","parse-names":false,"suffix":""},{"dropping-particle":"","family":"Cattuto","given":"Ciro","non-dropping-particle":"","parse-names":false,"suffix":""}],"container-title":"Journal of Medical Internet Research","id":"ITEM-2","issue":"4","issued":{"date-parts":[["2019"]]},"page":"1-13","title":"Wearable proximity sensors for monitoring a mass casualty incident exercise: Feasibility study","type":"article-journal","volume":"21"},"uris":["http://www.mendeley.com/documents/?uuid=b34c290a-e69a-472e-ad4a-9009291f97c0"]}],"mendeley":{"formattedCitation":"(Ozella et al., 2019; G. Yang et al., 2015)","manualFormatting":"(Ozella et al., 2019; Yang et al., 2015)","plainTextFormattedCitation":"(Ozella et al., 2019; G. Yang et al., 2015)","previouslyFormattedCitation":"(Ozella et al., 2019; G. Yang et al., 2015)"},"properties":{"noteIndex":0},"schema":"https://github.com/citation-style-language/schema/raw/master/csl-citation.json"}</w:instrText>
      </w:r>
      <w:r w:rsidRPr="005459E6">
        <w:rPr>
          <w:rFonts w:ascii="Times New Roman" w:hAnsi="Times New Roman" w:cs="Times New Roman"/>
        </w:rPr>
        <w:fldChar w:fldCharType="separate"/>
      </w:r>
      <w:r w:rsidR="003867F6" w:rsidRPr="005459E6">
        <w:rPr>
          <w:rFonts w:ascii="Times New Roman" w:hAnsi="Times New Roman" w:cs="Times New Roman"/>
          <w:noProof/>
        </w:rPr>
        <w:t>(Ozella et al., 2019; Yang et al., 2015)</w:t>
      </w:r>
      <w:r w:rsidRPr="005459E6">
        <w:rPr>
          <w:rFonts w:ascii="Times New Roman" w:hAnsi="Times New Roman" w:cs="Times New Roman"/>
        </w:rPr>
        <w:fldChar w:fldCharType="end"/>
      </w:r>
      <w:r w:rsidRPr="005459E6">
        <w:rPr>
          <w:rFonts w:ascii="Times New Roman" w:hAnsi="Times New Roman" w:cs="Times New Roman"/>
        </w:rPr>
        <w:t xml:space="preserve"> that renders expediated care and adherence monitoring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{"citationItems":[{"id":"ITEM-1","itemData":{"DOI":"10.3390/asi1020014","ISSN":"25715577","abstract":"Medication non-adherence is a prevalent, complex problem. Failure to follow medication schedules may lead to major health complications, including death. Proper medication adherence is thus required in order to gain the greatest possible drug benefit during a patient’s treatment. Interventions have been proven to improve medication adherence if deviations are detected. This review focuses on recent advances in the field of technology-based medication adherence approaches and pays particular attention to their technical monitoring aspects. The taxonomy space of this review spans multiple techniques including sensor systems, proximity sensing, vision systems, and combinations of these. As each technique has unique advantages and limitations, this work describes their trade-offs in accuracy, energy consumption, acceptability and user’s comfort, and user authentication.","author":[{"dropping-particle":"","family":"Aldeer","given":"Murtadha","non-dropping-particle":"","parse-names":false,"suffix":""},{"dropping-particle":"","family":"Javanmard","given":"Mehdi","non-dropping-particle":"","parse-names":false,"suffix":""},{"dropping-particle":"","family":"Martin","given":"Richard P.","non-dropping-particle":"","parse-names":false,"suffix":""}],"container-title":"Applied System Innovation","id":"ITEM-1","issue":"2","issued":{"date-parts":[["2018"]]},"page":"1-27","title":"A review of medication adherence monitoring technologies","type":"article-journal","volume":"1"},"uris":["http://www.mendeley.com/documents/?uuid=ae33c349-6a81-47ff-88b9-fc5ff564d420"]}],"mendeley":{"formattedCitation":"(Aldeer et al., 2018)","plainTextFormattedCitation":"(Aldeer et al., 2018)","previouslyFormattedCitation":"(Aldeer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(Aldeer et al., 2018)</w:t>
      </w:r>
      <w:r w:rsidRPr="005459E6">
        <w:rPr>
          <w:rFonts w:ascii="Times New Roman" w:hAnsi="Times New Roman" w:cs="Times New Roman"/>
        </w:rPr>
        <w:fldChar w:fldCharType="end"/>
      </w:r>
      <w:r w:rsidRPr="005459E6">
        <w:rPr>
          <w:rFonts w:ascii="Times New Roman" w:hAnsi="Times New Roman" w:cs="Times New Roman"/>
        </w:rPr>
        <w:t xml:space="preserve"> to achieve healthy lifestyle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{"citationItems":[{"id":"ITEM-1","itemData":{"DOI":"10.2196/jmir.4863","ISSN":"14388871","PMID":"27342137","abstract":"Background: New community-based arrangements and novel technologies can empower individuals to be active participants in their health maintenance, enabling people to control and self-regulate their health and wellness and make better health-and lifestyle-related decisions. Mobile sensing technology and health systems responsive to individual profiles combined with cloud computing can expand innovation for new types of interoperable services that are consumer-oriented and community-based. This could fuel a paradigm shift in the way health care can be, or should be, provided and received, while lessening the burden on exhausted health and social care systems. Objective: Our goal is to identify and discuss the main scientific and engineering challenges that need to be successfully addressed in delivering state-of-the-art, ubiquitous eHealth and mHealth services, including citizen-centered wellness management services, and reposition their role and potential within a broader context of diverse sociotechnical drivers, agents, and stakeholders. Methods: We review the state-of-the-art relevant to the development and implementation of eHealth and mHealth services in critical domains. We identify and discuss scientific, engineering, and implementation-related challenges that need to be overcome to move research, development, and the market forward. Results: Several important advances have been identified in the fields of systems for personalized health monitoring, such as smartphone platforms and intelligent ubiquitous services. Sensors embedded in smartphones and clothes are making the unobtrusive recognition of physical activity, behavior, and lifestyle possible, and thus the deployment of platforms for health assistance and citizen empowerment. Similarly, significant advances are observed in the domain of infrastructure supporting services. Still, many technical problems remain to be solved, combined with no less challenging issues related to security, privacy, trust, and organizational dynamics. Conclusions: Delivering innovative ubiquitous eHealth and mHealth services, including citizen-centered wellness and lifestyle management services, goes well beyond the development of technical solutions. For the large-scale information and communication technology-supported adoption of healthier lifestyles to take place, crucial innovations are needed in the process of making and deploying usable empowering end-user services that are trusted and user-acceptable. Such…","author":[{"dropping-particle":"","family":"Spanakis","given":"Emmanouil G.","non-dropping-particle":"","parse-names":false,"suffix":""},{"dropping-particle":"","family":"Santana","given":"Silvina","non-dropping-particle":"","parse-names":false,"suffix":""},{"dropping-particle":"","family":"Tsiknakis","given":"Manolis","non-dropping-particle":"","parse-names":false,"suffix":""},{"dropping-particle":"","family":"Marias","given":"Kostas","non-dropping-particle":"","parse-names":false,"suffix":""},{"dropping-particle":"","family":"Sakkalis","given":"Vangelis","non-dropping-particle":"","parse-names":false,"suffix":""},{"dropping-particle":"","family":"Teixeira","given":"Antonio","non-dropping-particle":"","parse-names":false,"suffix":""},{"dropping-particle":"","family":"Janssen","given":"Joris H.","non-dropping-particle":"","parse-names":false,"suffix":""},{"dropping-particle":"","family":"Jong","given":"Henri","non-dropping-particle":"De","parse-names":false,"suffix":""},{"dropping-particle":"","family":"Tziraki","given":"Chariklia","non-dropping-particle":"","parse-names":false,"suffix":""}],"container-title":"Journal of Medical Internet Research","id":"ITEM-1","issue":"6","issued":{"date-parts":[["2016"]]},"title":"Technology-based innovations to foster personalized healthy lifestyles and well-being:a targeted review","type":"article-journal","volume":"18"},"uris":["http://www.mendeley.com/documents/?uuid=7f975838-089f-49c5-914e-2fbd1682ae22"]}],"mendeley":{"formattedCitation":"(Spanakis et al., 2016)","plainTextFormattedCitation":"(Spanakis et al., 2016)","previouslyFormattedCitation":"(Spanakis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(Spanakis et al., 2016)</w:t>
      </w:r>
      <w:r w:rsidRPr="005459E6">
        <w:rPr>
          <w:rFonts w:ascii="Times New Roman" w:hAnsi="Times New Roman" w:cs="Times New Roman"/>
        </w:rPr>
        <w:fldChar w:fldCharType="end"/>
      </w:r>
      <w:r w:rsidRPr="005459E6">
        <w:rPr>
          <w:rFonts w:ascii="Times New Roman" w:hAnsi="Times New Roman" w:cs="Times New Roman"/>
        </w:rPr>
        <w:t xml:space="preserve">. Such technological advancement has been persuading humanity to establish </w:t>
      </w:r>
      <w:r w:rsidR="008118CE" w:rsidRPr="005459E6">
        <w:rPr>
          <w:rFonts w:ascii="Times New Roman" w:hAnsi="Times New Roman" w:cs="Times New Roman"/>
        </w:rPr>
        <w:t>a</w:t>
      </w:r>
      <w:r w:rsidRPr="005459E6">
        <w:rPr>
          <w:rFonts w:ascii="Times New Roman" w:hAnsi="Times New Roman" w:cs="Times New Roman"/>
        </w:rPr>
        <w:t xml:space="preserve"> balance between physical and digital practices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{"citationItems":[{"id":"ITEM-1","itemData":{"author":[{"dropping-particle":"","family":"Thimbleby","given":"Harold","non-dropping-particle":"","parse-names":false,"suffix":""}],"container-title":"Journal of Public Health Research","id":"ITEM-1","issue":"28","issued":{"date-parts":[["2013"]]},"title":"Technology and the future of healthcare","type":"article-journal","volume":"2"},"uris":["http://www.mendeley.com/documents/?uuid=d4959cec-94d4-4177-8e50-567d8631d7bc"]}],"mendeley":{"formattedCitation":"(Thimbleby, 2013)","plainTextFormattedCitation":"(Thimbleby, 2013)","previouslyFormattedCitation":"(Thimbleby,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(Thimbleby, 2013)</w:t>
      </w:r>
      <w:r w:rsidRPr="005459E6">
        <w:rPr>
          <w:rFonts w:ascii="Times New Roman" w:hAnsi="Times New Roman" w:cs="Times New Roman"/>
        </w:rPr>
        <w:fldChar w:fldCharType="end"/>
      </w:r>
      <w:r w:rsidRPr="005459E6">
        <w:rPr>
          <w:rFonts w:ascii="Times New Roman" w:hAnsi="Times New Roman" w:cs="Times New Roman"/>
        </w:rPr>
        <w:t xml:space="preserve">. In healthcare, there are circumstances where one must make a difficult decision whether to visit </w:t>
      </w:r>
      <w:r w:rsidR="008118CE" w:rsidRPr="005459E6">
        <w:rPr>
          <w:rFonts w:ascii="Times New Roman" w:hAnsi="Times New Roman" w:cs="Times New Roman"/>
        </w:rPr>
        <w:t>a</w:t>
      </w:r>
      <w:r w:rsidRPr="005459E6">
        <w:rPr>
          <w:rFonts w:ascii="Times New Roman" w:hAnsi="Times New Roman" w:cs="Times New Roman"/>
        </w:rPr>
        <w:t xml:space="preserve"> healthcare professional or to seek telemedicine. In some cases, the latter may not always be feasible or even useful. Also, the unprecedented spread of Coronavirus has curtailed access to doctors and therapeutic procedures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{"citationItems":[{"id":"ITEM-1","itemData":{"DOI":"10.1371/journal.pone.0234956","ISBN":"1111111111","ISSN":"19326203","PMID":"32555723","abstract":"Background The coronavirus disease 2019 (COVID-19) pandemic poses an unprecedented challenge to health-care systems around the world. As approximately one-third of the world´s population is living under “lockdown” conditions, medical resources are being reallocated and hospital admissions are limited to emergencies. We examined the decision-making impact of these actions and their effects on access to hospital treatment in patients with neurosurgical conditions. Methods This retrospective cohort study analyzes hospital admissions of two major neurosurgical services in Germany during the nationwide lockdown period (March 16th to April 16th, 2020). Spinal or cranial conditions requiring immediate hospital admission and treatment constituted emergencies. Results A total of 243 in-patients were treated between March 16th and April 16th 2020 (122 patients at the University Medical Center Mainz, 121 patients at the University Medical Center Göttingen). Of these, 38.0±16% qualified as emergency admission. Another 1,688 admissions were reviewed during the same periods in 2018 and 2019, providing a frame of reference. Overall, emergency admissions declined by 44.7±0.7% during lockdown. Admissions for cranial emergencies fell by 48.1±4.44%, spinal emergencies by 30.9±14.6%. Conclusion Above findings indicate that in addition to postponing elective procedures, emergency admissions were dramatically curtailed during the COVID-19 lockdown. As this surely is unexpected and unintended, reasons are undoubtedly complex. As consequences in morbidity and mortality are still unpredictable, efforts should be made to accommodate all patients in need of hospital access going forward.","author":[{"dropping-particle":"","family":"Krenzlin","given":"Harald","non-dropping-particle":"","parse-names":false,"suffix":""},{"dropping-particle":"","family":"Bettag","given":"Christoph","non-dropping-particle":"","parse-names":false,"suffix":""},{"dropping-particle":"","family":"Rohde","given":"Veit","non-dropping-particle":"","parse-names":false,"suffix":""},{"dropping-particle":"","family":"Ringel","given":"Florian","non-dropping-particle":"","parse-names":false,"suffix":""},{"dropping-particle":"","family":"Keric","given":"Naureen","non-dropping-particle":"","parse-names":false,"suffix":""}],"container-title":"PLoS ONE","id":"ITEM-1","issue":"6","issued":{"date-parts":[["2020"]]},"page":"1-7","title":"Involuntary ambulatory triage during the COVID-19 pandemic - A neurosurgical perspective","type":"article-journal","volume":"15"},"uris":["http://www.mendeley.com/documents/?uuid=77eedbc4-44e0-4fcc-8ac4-a4d1caaf8fde"]}],"mendeley":{"formattedCitation":"(Krenzlin et al., 2020)","plainTextFormattedCitation":"(Krenzlin et al., 2020)","previouslyFormattedCitation":"(Krenzlin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(Krenzlin et al., 2020)</w:t>
      </w:r>
      <w:r w:rsidRPr="005459E6">
        <w:rPr>
          <w:rFonts w:ascii="Times New Roman" w:hAnsi="Times New Roman" w:cs="Times New Roman"/>
        </w:rPr>
        <w:fldChar w:fldCharType="end"/>
      </w:r>
      <w:r w:rsidRPr="005459E6">
        <w:rPr>
          <w:rFonts w:ascii="Times New Roman" w:hAnsi="Times New Roman" w:cs="Times New Roman"/>
        </w:rPr>
        <w:t xml:space="preserve">. However, the fact remains that the healthcare system can only be considered robust when most of the population is granted access. </w:t>
      </w:r>
    </w:p>
    <w:p w14:paraId="7298A484" w14:textId="5D864083" w:rsidR="00C17C6A" w:rsidRPr="005459E6" w:rsidRDefault="00EF5756" w:rsidP="00042CB0">
      <w:pPr>
        <w:spacing w:line="360" w:lineRule="auto"/>
        <w:jc w:val="both"/>
        <w:rPr>
          <w:rFonts w:ascii="Times New Roman" w:hAnsi="Times New Roman" w:cs="Times New Roman"/>
        </w:rPr>
      </w:pPr>
      <w:r w:rsidRPr="005459E6">
        <w:rPr>
          <w:rFonts w:ascii="Times New Roman" w:hAnsi="Times New Roman" w:cs="Times New Roman"/>
        </w:rPr>
        <w:lastRenderedPageBreak/>
        <w:t xml:space="preserve">The contemporary context of healthcare needs and disease characteristics calls for an integrative healthcare structure through the incorporation of technologies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{"citationItems":[{"id":"ITEM-1","itemData":{"DOI":"10.1590/0102-311x00151915","ISSN":"1678-4464","abstract":"Abstract: The contemporary context of population aging, itsthe population's different health and disease characteristics, and the growing incorporation of technologies by healthcare systems have highlighted the need to adjust the healthcare structure as a whole. The defense of a democratic and sustainable system reveals the importance of understanding how changes in healthcare take place. The current article aims to contribute to the understanding of innovation in healthcare services. The study's results indicate that the existence of certain knowledge gaps means that public policies tend to overlook a whole rangeseries of innovations normally associated with social changes, with a consequentwith an impact on human development, social cohesion, equality, and equity, allcentral issues that are central toin the field of collective public healthcare field. The article concludes that the lack of a mature theoretical framework negatively impacts the formulation of such policies, further aggravated in Brazil by growing differences in quality and access between population segments that depend on the public and private healthcare systems.Resumen: El contexto contemporáneo de envejecimiento y las características de salud y enfermedad de la población, aliados a la creciente incorporación tecnológica en los sistemas de salud, ha apuntado la necesidad de adecuación de la estructura de atención. La defensa de un sistema democrático y sostenible evidencia la importancia de entender cómo se establecen los procesos relacionados con los cambios en la salud. En este escenario, el presente artículo tiene por objetivo profundizar en el entendimiento sobre la innovación en los servicios de salud. Los resultados de la investigación indicaron que algunas lagunas en el conocimiento conducen a las políticas públicas a ser negligentes con una serie de innovaciones, normalmente asociadas a cambios sociales con impacto en el desarrollo humano, cohesión social, igualdad y equidad, temas centrales en el campo de la salud colectiva. Y concluye que la falta de un marco referencial teórico maduro tiene impactos devastadores para la formulación de esas políticas, cuadro agravado en Brasil, donde se observan diferencias crecientes en la calidad y disponibilidad de acceso entre los segmentos poblacionales dependientes de los sistemas públicos y privados.Resumo: O contexto contemporâneo de envelhecimento e as características de saúde e doença da população, aliados à crescente incorporação …","author":[{"dropping-particle":"","family":"Costa","given":"Laís Silveira","non-dropping-particle":"","parse-names":false,"suffix":""}],"container-title":"Cadernos de Saúde Pública","id":"ITEM-1","issue":"suppl 2","issued":{"date-parts":[["2016"]]},"page":"1-12","title":"Innovation in healthcare services: notes on the limits of field research","type":"article-journal","volume":"32"},"uris":["http://www.mendeley.com/documents/?uuid=d475460c-ab5e-44ee-83d6-a7b62fdd1e7f"]}],"mendeley":{"formattedCitation":"(Costa, 2016)","plainTextFormattedCitation":"(Costa, 2016)","previouslyFormattedCitation":"(Costa,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(Costa, 2016)</w:t>
      </w:r>
      <w:r w:rsidRPr="005459E6">
        <w:rPr>
          <w:rFonts w:ascii="Times New Roman" w:hAnsi="Times New Roman" w:cs="Times New Roman"/>
        </w:rPr>
        <w:fldChar w:fldCharType="end"/>
      </w:r>
      <w:r w:rsidRPr="005459E6">
        <w:rPr>
          <w:rFonts w:ascii="Times New Roman" w:hAnsi="Times New Roman" w:cs="Times New Roman"/>
        </w:rPr>
        <w:t xml:space="preserve">. Such pervasive healthcare offers innumerable possibilities, offering business opportunities and innovative personalization of services </w:t>
      </w:r>
      <w:r w:rsidRPr="005459E6">
        <w:rPr>
          <w:rFonts w:ascii="Times New Roman" w:hAnsi="Times New Roman" w:cs="Times New Roman"/>
        </w:rPr>
        <w:fldChar w:fldCharType="begin" w:fldLock="1"/>
      </w:r>
      <w:r w:rsidR="00A95F16" w:rsidRPr="005459E6">
        <w:rPr>
          <w:rFonts w:ascii="Times New Roman" w:hAnsi="Times New Roman" w:cs="Times New Roman"/>
        </w:rPr>
        <w:instrText>ADDIN CSL_CITATION {"citationItems":[{"id":"ITEM-1","itemData":{"DOI":"10.1186/s12916-017-0838-0","ISBN":"1291601708","ISSN":"17417015","PMID":"28376771","abstract":"Background: Globally, healthcare systems face major challenges with medicines management and medication adherence. Medication adherence determines medication effectiveness and can be the single most effective intervention for improving health outcomes. In anticipation of growth in eHealth interventions worldwide, we explore the role of eHealth in the patients' medicines management journey in primary care, focusing on personalisation and intelligent monitoring for greater adherence. Discussion: eHealth offers opportunities to transform every step of the patient's medicines management journey. From booking appointments, consultation with a healthcare professional, decision-making, medication dispensing, carer support, information acquisition and monitoring, to learning about medicines and their management in daily life. It has the potential to support personalisation and monitoring and thus lead to better adherence. For some of these dimensions, such as supporting decision-making and providing reminders and prompts, evidence is stronger, but for many others more rigorous research is urgently needed. Conclusions: Given the potential benefits and barriers to eHealth in medicines management, a fine balance needs to be established between evidence-based integration of technologies and constructive experimentation that could lead to a game-changing breakthrough. A concerted, transdisciplinary approach adapted to different contexts, including low- and middle-income contries is required to realise the benefits of eHealth at scale.","author":[{"dropping-particle":"","family":"Car","given":"Josip","non-dropping-particle":"","parse-names":false,"suffix":""},{"dropping-particle":"","family":"Tan","given":"Woan Shin","non-dropping-particle":"","parse-names":false,"suffix":""},{"dropping-particle":"","family":"Huang","given":"Zhilian","non-dropping-particle":"","parse-names":false,"suffix":""},{"dropping-particle":"","family":"Sloot","given":"Peter","non-dropping-particle":"","parse-names":false,"suffix":""},{"dropping-particle":"","family":"Franklin","given":"Bryony Dean","non-dropping-particle":"","parse-names":false,"suffix":""}],"container-title":"BMC Medicine","id":"ITEM-1","issue":"1","issued":{"date-parts":[["2017"]]},"publisher":"BMC Medicine","title":"eHealth in the future of medications management: Personalisation, monitoring and adherence","type":"article-journal","volume":"15"},"uris":["http://www.mendeley.com/documents/?uuid=5c5babb4-f05a-4a7a-8255-0d2786cc9283"]},{"id":"ITEM-2","itemData":{"DOI":"10.2196/jmir.5357","ISSN":"1438-8871","abstract":"Personalized health technology is a noisy new entrant to the health space, yet to make a significant impact on population health but seemingly teeming with potential. Devices including wearable fitness trackers and healthy-living apps are designed to help users quantify and improve their health behaviors. Although the ethical issues surrounding data privacy have received much attention, little is being said about the impact on socioeconomic health inequalities. Populations who stand to benefit the most from these technologies are unable to afford, access, or use them. This paper outlines the negative impact that these technologies will have on inequalities unless their user base can be radically extended to include vulnerable populations. Frugal innovation and public-private partnership are discussed as the major means for reaching this end.","author":[{"dropping-particle":"","family":"Allen","given":"Luke Nelson","non-dropping-particle":"","parse-names":false,"suffix":""},{"dropping-particle":"","family":"Christie","given":"Gillian Pepall","non-dropping-particle":"","parse-names":false,"suffix":""}],"container-title":"Journal of medical Internet research","id":"ITEM-2","issue":"5","issued":{"date-parts":[["2016","5","10"]]},"language":"eng","page":"e99-e99","publisher":"JMIR Publications Inc.","title":"The Emergence of Personalized Health Technology","type":"article-journal","volume":"18"},"uris":["http://www.mendeley.com/documents/?uuid=35a5847a-d1d1-4991-854d-50845c06d76a"]}],"mendeley":{"formattedCitation":"(Allen &amp; Christie, 2016; Car et al., 2017)","manualFormatting":"(Allen &amp; Christie, 2016; Car et al., 2017)","plainTextFormattedCitation":"(Allen &amp; Christie, 2016; Car et al., 2017)","previouslyFormattedCitation":"(Allen &amp; Christie, 2016; Car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(Allen &amp; Christie, 2016; Car et al., 2017)</w:t>
      </w:r>
      <w:r w:rsidRPr="005459E6">
        <w:rPr>
          <w:rFonts w:ascii="Times New Roman" w:hAnsi="Times New Roman" w:cs="Times New Roman"/>
        </w:rPr>
        <w:fldChar w:fldCharType="end"/>
      </w:r>
      <w:r w:rsidRPr="005459E6">
        <w:rPr>
          <w:rFonts w:ascii="Times New Roman" w:hAnsi="Times New Roman" w:cs="Times New Roman"/>
        </w:rPr>
        <w:t xml:space="preserve">. This is where </w:t>
      </w:r>
      <w:r w:rsidR="00A50A88" w:rsidRPr="005459E6">
        <w:rPr>
          <w:rFonts w:ascii="Times New Roman" w:hAnsi="Times New Roman" w:cs="Times New Roman"/>
        </w:rPr>
        <w:t xml:space="preserve">the </w:t>
      </w:r>
      <w:r w:rsidRPr="005459E6">
        <w:rPr>
          <w:rFonts w:ascii="Times New Roman" w:hAnsi="Times New Roman" w:cs="Times New Roman"/>
        </w:rPr>
        <w:t>presented thesis comes in</w:t>
      </w:r>
      <w:r w:rsidR="002461D7" w:rsidRPr="005459E6">
        <w:rPr>
          <w:rFonts w:ascii="Times New Roman" w:hAnsi="Times New Roman" w:cs="Times New Roman"/>
        </w:rPr>
        <w:t xml:space="preserve">, where it </w:t>
      </w:r>
      <w:r w:rsidRPr="005459E6">
        <w:rPr>
          <w:rFonts w:ascii="Times New Roman" w:hAnsi="Times New Roman" w:cs="Times New Roman"/>
        </w:rPr>
        <w:t xml:space="preserve">revolves </w:t>
      </w:r>
      <w:r w:rsidR="008118CE" w:rsidRPr="005459E6">
        <w:rPr>
          <w:rFonts w:ascii="Times New Roman" w:hAnsi="Times New Roman" w:cs="Times New Roman"/>
        </w:rPr>
        <w:t>around</w:t>
      </w:r>
      <w:r w:rsidRPr="005459E6">
        <w:rPr>
          <w:rFonts w:ascii="Times New Roman" w:hAnsi="Times New Roman" w:cs="Times New Roman"/>
        </w:rPr>
        <w:t xml:space="preserve"> </w:t>
      </w:r>
      <w:r w:rsidR="006475AE" w:rsidRPr="005459E6">
        <w:rPr>
          <w:rFonts w:ascii="Times New Roman" w:hAnsi="Times New Roman" w:cs="Times New Roman"/>
        </w:rPr>
        <w:t xml:space="preserve">the </w:t>
      </w:r>
      <w:r w:rsidRPr="005459E6">
        <w:rPr>
          <w:rFonts w:ascii="Times New Roman" w:hAnsi="Times New Roman" w:cs="Times New Roman"/>
        </w:rPr>
        <w:t>eHealth domain</w:t>
      </w:r>
      <w:r w:rsidR="006475AE" w:rsidRPr="005459E6">
        <w:rPr>
          <w:rFonts w:ascii="Times New Roman" w:hAnsi="Times New Roman" w:cs="Times New Roman"/>
        </w:rPr>
        <w:t>,</w:t>
      </w:r>
      <w:r w:rsidRPr="005459E6">
        <w:rPr>
          <w:rFonts w:ascii="Times New Roman" w:hAnsi="Times New Roman" w:cs="Times New Roman"/>
        </w:rPr>
        <w:t xml:space="preserve"> </w:t>
      </w:r>
      <w:r w:rsidR="002461D7" w:rsidRPr="005459E6">
        <w:rPr>
          <w:rFonts w:ascii="Times New Roman" w:hAnsi="Times New Roman" w:cs="Times New Roman"/>
        </w:rPr>
        <w:t>looking</w:t>
      </w:r>
      <w:r w:rsidRPr="005459E6">
        <w:rPr>
          <w:rFonts w:ascii="Times New Roman" w:hAnsi="Times New Roman" w:cs="Times New Roman"/>
        </w:rPr>
        <w:t xml:space="preserve"> forward to positive</w:t>
      </w:r>
      <w:r w:rsidR="002461D7" w:rsidRPr="005459E6">
        <w:rPr>
          <w:rFonts w:ascii="Times New Roman" w:hAnsi="Times New Roman" w:cs="Times New Roman"/>
        </w:rPr>
        <w:t>ly</w:t>
      </w:r>
      <w:r w:rsidRPr="005459E6">
        <w:rPr>
          <w:rFonts w:ascii="Times New Roman" w:hAnsi="Times New Roman" w:cs="Times New Roman"/>
        </w:rPr>
        <w:t xml:space="preserve"> influenc</w:t>
      </w:r>
      <w:r w:rsidR="006475AE" w:rsidRPr="005459E6">
        <w:rPr>
          <w:rFonts w:ascii="Times New Roman" w:hAnsi="Times New Roman" w:cs="Times New Roman"/>
        </w:rPr>
        <w:t>ing</w:t>
      </w:r>
      <w:r w:rsidRPr="005459E6">
        <w:rPr>
          <w:rFonts w:ascii="Times New Roman" w:hAnsi="Times New Roman" w:cs="Times New Roman"/>
        </w:rPr>
        <w:t xml:space="preserve"> two factors</w:t>
      </w:r>
      <w:r w:rsidR="006475AE" w:rsidRPr="005459E6">
        <w:rPr>
          <w:rFonts w:ascii="Times New Roman" w:hAnsi="Times New Roman" w:cs="Times New Roman"/>
        </w:rPr>
        <w:t>,</w:t>
      </w:r>
      <w:r w:rsidRPr="005459E6">
        <w:rPr>
          <w:rFonts w:ascii="Times New Roman" w:hAnsi="Times New Roman" w:cs="Times New Roman"/>
        </w:rPr>
        <w:t xml:space="preserve"> including time and access with respect </w:t>
      </w:r>
      <w:r w:rsidR="006475AE" w:rsidRPr="005459E6">
        <w:rPr>
          <w:rFonts w:ascii="Times New Roman" w:hAnsi="Times New Roman" w:cs="Times New Roman"/>
        </w:rPr>
        <w:t xml:space="preserve">to </w:t>
      </w:r>
      <w:r w:rsidR="002461D7" w:rsidRPr="005459E6">
        <w:rPr>
          <w:rFonts w:ascii="Times New Roman" w:hAnsi="Times New Roman" w:cs="Times New Roman"/>
        </w:rPr>
        <w:t>psychosomatic health.</w:t>
      </w:r>
      <w:r w:rsidR="00374957" w:rsidRPr="005459E6">
        <w:rPr>
          <w:rFonts w:ascii="Times New Roman" w:hAnsi="Times New Roman" w:cs="Times New Roman"/>
        </w:rPr>
        <w:t xml:space="preserve"> </w:t>
      </w:r>
      <w:r w:rsidR="00E06AF8" w:rsidRPr="005459E6">
        <w:rPr>
          <w:rFonts w:ascii="Times New Roman" w:hAnsi="Times New Roman" w:cs="Times New Roman"/>
        </w:rPr>
        <w:t xml:space="preserve"> </w:t>
      </w:r>
      <w:r w:rsidR="00462F7E" w:rsidRPr="005459E6">
        <w:rPr>
          <w:rFonts w:ascii="Times New Roman" w:hAnsi="Times New Roman" w:cs="Times New Roman"/>
        </w:rPr>
        <w:t xml:space="preserve">It must be noted that </w:t>
      </w:r>
      <w:r w:rsidR="00F646B8" w:rsidRPr="005459E6">
        <w:rPr>
          <w:rFonts w:ascii="Times New Roman" w:hAnsi="Times New Roman" w:cs="Times New Roman"/>
        </w:rPr>
        <w:t>the scope of given research entails exploration of the role of AI in service science</w:t>
      </w:r>
      <w:r w:rsidR="00374957" w:rsidRPr="005459E6">
        <w:rPr>
          <w:rFonts w:ascii="Times New Roman" w:hAnsi="Times New Roman" w:cs="Times New Roman"/>
        </w:rPr>
        <w:t xml:space="preserve"> w</w:t>
      </w:r>
      <w:r w:rsidR="00F646B8" w:rsidRPr="005459E6">
        <w:rPr>
          <w:rFonts w:ascii="Times New Roman" w:hAnsi="Times New Roman" w:cs="Times New Roman"/>
        </w:rPr>
        <w:t xml:space="preserve">ith </w:t>
      </w:r>
      <w:r w:rsidR="004970FE" w:rsidRPr="005459E6">
        <w:rPr>
          <w:rFonts w:ascii="Times New Roman" w:hAnsi="Times New Roman" w:cs="Times New Roman"/>
        </w:rPr>
        <w:t xml:space="preserve">a </w:t>
      </w:r>
      <w:r w:rsidR="00F646B8" w:rsidRPr="005459E6">
        <w:rPr>
          <w:rFonts w:ascii="Times New Roman" w:hAnsi="Times New Roman" w:cs="Times New Roman"/>
        </w:rPr>
        <w:t xml:space="preserve">focus on the betterment of </w:t>
      </w:r>
      <w:r w:rsidR="002461D7" w:rsidRPr="005459E6">
        <w:rPr>
          <w:rFonts w:ascii="Times New Roman" w:hAnsi="Times New Roman" w:cs="Times New Roman"/>
        </w:rPr>
        <w:t>p</w:t>
      </w:r>
      <w:r w:rsidR="00F646B8" w:rsidRPr="005459E6">
        <w:rPr>
          <w:rFonts w:ascii="Times New Roman" w:hAnsi="Times New Roman" w:cs="Times New Roman"/>
        </w:rPr>
        <w:t xml:space="preserve">sychological </w:t>
      </w:r>
      <w:r w:rsidR="002461D7" w:rsidRPr="005459E6">
        <w:rPr>
          <w:rFonts w:ascii="Times New Roman" w:hAnsi="Times New Roman" w:cs="Times New Roman"/>
        </w:rPr>
        <w:t>w</w:t>
      </w:r>
      <w:r w:rsidR="00F646B8" w:rsidRPr="005459E6">
        <w:rPr>
          <w:rFonts w:ascii="Times New Roman" w:hAnsi="Times New Roman" w:cs="Times New Roman"/>
        </w:rPr>
        <w:t>ell-being</w:t>
      </w:r>
      <w:r w:rsidR="00374957" w:rsidRPr="005459E6">
        <w:rPr>
          <w:rFonts w:ascii="Times New Roman" w:hAnsi="Times New Roman" w:cs="Times New Roman"/>
        </w:rPr>
        <w:t xml:space="preserve"> t</w:t>
      </w:r>
      <w:r w:rsidR="00F646B8" w:rsidRPr="005459E6">
        <w:rPr>
          <w:rFonts w:ascii="Times New Roman" w:hAnsi="Times New Roman" w:cs="Times New Roman"/>
        </w:rPr>
        <w:t xml:space="preserve">hat can be linked to possible improvement of </w:t>
      </w:r>
      <w:r w:rsidR="002461D7" w:rsidRPr="005459E6">
        <w:rPr>
          <w:rFonts w:ascii="Times New Roman" w:hAnsi="Times New Roman" w:cs="Times New Roman"/>
        </w:rPr>
        <w:t>w</w:t>
      </w:r>
      <w:r w:rsidR="00F646B8" w:rsidRPr="005459E6">
        <w:rPr>
          <w:rFonts w:ascii="Times New Roman" w:hAnsi="Times New Roman" w:cs="Times New Roman"/>
        </w:rPr>
        <w:t>orkplace productivity</w:t>
      </w:r>
      <w:r w:rsidR="004970FE" w:rsidRPr="005459E6">
        <w:rPr>
          <w:rFonts w:ascii="Times New Roman" w:hAnsi="Times New Roman" w:cs="Times New Roman"/>
        </w:rPr>
        <w:t>,</w:t>
      </w:r>
      <w:r w:rsidR="00374957" w:rsidRPr="005459E6">
        <w:rPr>
          <w:rFonts w:ascii="Times New Roman" w:hAnsi="Times New Roman" w:cs="Times New Roman"/>
        </w:rPr>
        <w:t xml:space="preserve"> </w:t>
      </w:r>
      <w:r w:rsidR="00726E1D" w:rsidRPr="005459E6">
        <w:rPr>
          <w:rFonts w:ascii="Times New Roman" w:hAnsi="Times New Roman" w:cs="Times New Roman"/>
        </w:rPr>
        <w:t>although</w:t>
      </w:r>
      <w:r w:rsidR="00F646B8" w:rsidRPr="005459E6">
        <w:rPr>
          <w:rFonts w:ascii="Times New Roman" w:hAnsi="Times New Roman" w:cs="Times New Roman"/>
        </w:rPr>
        <w:t xml:space="preserve"> it does engage itself in devising experimental treatment protocol using ML modeling does not try to recommend or replace the clinical decision of a healthcare professional. Rather it attempts to provide a tool that can compl</w:t>
      </w:r>
      <w:r w:rsidR="004970FE" w:rsidRPr="005459E6">
        <w:rPr>
          <w:rFonts w:ascii="Times New Roman" w:hAnsi="Times New Roman" w:cs="Times New Roman"/>
        </w:rPr>
        <w:t>e</w:t>
      </w:r>
      <w:r w:rsidR="00F646B8" w:rsidRPr="005459E6">
        <w:rPr>
          <w:rFonts w:ascii="Times New Roman" w:hAnsi="Times New Roman" w:cs="Times New Roman"/>
        </w:rPr>
        <w:t xml:space="preserve">ment </w:t>
      </w:r>
      <w:r w:rsidR="002461D7" w:rsidRPr="005459E6">
        <w:rPr>
          <w:rFonts w:ascii="Times New Roman" w:hAnsi="Times New Roman" w:cs="Times New Roman"/>
        </w:rPr>
        <w:t xml:space="preserve">&amp; strengthen </w:t>
      </w:r>
      <w:r w:rsidR="00F646B8" w:rsidRPr="005459E6">
        <w:rPr>
          <w:rFonts w:ascii="Times New Roman" w:hAnsi="Times New Roman" w:cs="Times New Roman"/>
        </w:rPr>
        <w:t>their judgment and decision</w:t>
      </w:r>
      <w:r w:rsidR="000A0408" w:rsidRPr="005459E6">
        <w:rPr>
          <w:rFonts w:ascii="Times New Roman" w:hAnsi="Times New Roman" w:cs="Times New Roman"/>
        </w:rPr>
        <w:t>-</w:t>
      </w:r>
      <w:r w:rsidR="00F646B8" w:rsidRPr="005459E6">
        <w:rPr>
          <w:rFonts w:ascii="Times New Roman" w:hAnsi="Times New Roman" w:cs="Times New Roman"/>
        </w:rPr>
        <w:t>making.</w:t>
      </w:r>
    </w:p>
    <w:p w14:paraId="1A6B5849" w14:textId="77777777" w:rsidR="00C80F03" w:rsidRPr="005459E6" w:rsidRDefault="00C80F03" w:rsidP="00042CB0">
      <w:pPr>
        <w:spacing w:line="360" w:lineRule="auto"/>
        <w:jc w:val="both"/>
        <w:rPr>
          <w:rFonts w:ascii="Times New Roman" w:hAnsi="Times New Roman" w:cs="Times New Roman"/>
        </w:rPr>
      </w:pPr>
    </w:p>
    <w:p w14:paraId="6580BD8E" w14:textId="69D8879F" w:rsidR="00B91E54" w:rsidRPr="005459E6" w:rsidRDefault="00EF5756" w:rsidP="00B91E54">
      <w:pPr>
        <w:pStyle w:val="Titolo2"/>
        <w:spacing w:line="360" w:lineRule="auto"/>
        <w:jc w:val="both"/>
        <w:rPr>
          <w:rFonts w:ascii="Times New Roman" w:hAnsi="Times New Roman" w:cs="Times New Roman"/>
          <w:color w:val="auto"/>
          <w:sz w:val="22"/>
          <w:szCs w:val="22"/>
        </w:rPr>
      </w:pPr>
      <w:bookmarkStart w:id="132" w:name="_Toc73129008"/>
      <w:bookmarkStart w:id="133" w:name="_Toc85542414"/>
      <w:bookmarkStart w:id="134" w:name="_Toc87349497"/>
      <w:bookmarkStart w:id="135" w:name="_Toc87349610"/>
      <w:bookmarkStart w:id="136" w:name="_Toc87349717"/>
      <w:bookmarkStart w:id="137" w:name="_Toc107248291"/>
      <w:r w:rsidRPr="005459E6">
        <w:rPr>
          <w:rFonts w:ascii="Times New Roman" w:hAnsi="Times New Roman" w:cs="Times New Roman"/>
          <w:color w:val="auto"/>
          <w:sz w:val="22"/>
          <w:szCs w:val="22"/>
        </w:rPr>
        <w:t>Research Question &amp; Hypothesis</w:t>
      </w:r>
      <w:bookmarkEnd w:id="132"/>
      <w:bookmarkEnd w:id="133"/>
      <w:bookmarkEnd w:id="134"/>
      <w:bookmarkEnd w:id="135"/>
      <w:bookmarkEnd w:id="136"/>
      <w:bookmarkEnd w:id="137"/>
    </w:p>
    <w:p w14:paraId="58187375" w14:textId="1A25D1D2" w:rsidR="00D30383" w:rsidRPr="005459E6" w:rsidRDefault="00D30383" w:rsidP="00B91E54">
      <w:pPr>
        <w:spacing w:line="360" w:lineRule="auto"/>
        <w:jc w:val="both"/>
        <w:rPr>
          <w:rFonts w:ascii="Times New Roman" w:hAnsi="Times New Roman" w:cs="Times New Roman"/>
        </w:rPr>
      </w:pPr>
      <w:r w:rsidRPr="005459E6">
        <w:rPr>
          <w:rFonts w:ascii="Times New Roman" w:hAnsi="Times New Roman" w:cs="Times New Roman"/>
        </w:rPr>
        <w:t xml:space="preserve">Considering the role of service systems as dynamic value co-creation configurations of people, technologies, and resources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{"citationItems":[{"id":"ITEM-1","itemData":{"ISSN":"0019-8501","author":[{"dropping-particle":"","family":"Maglio","given":"Paul P","non-dropping-particle":"","parse-names":false,"suffix":""},{"dropping-particle":"","family":"Spohrer","given":"Jim","non-dropping-particle":"","parse-names":false,"suffix":""}],"container-title":"Industrial Marketing Management","id":"ITEM-1","issue":"5","issued":{"date-parts":[["2013"]]},"page":"665-670","publisher":"Elsevier","title":"A service science perspective on business model innovation","type":"article-journal","volume":"42"},"uris":["http://www.mendeley.com/documents/?uuid=b10833c8-7735-49df-aa26-8838bd2145b3"]}],"mendeley":{"formattedCitation":"(Maglio &amp; Spohrer, 2013)","plainTextFormattedCitation":"(Maglio &amp; Spohrer, 2013)","previouslyFormattedCitation":"(Maglio &amp; Spohrer,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(Maglio &amp; Spohrer, 2013)</w:t>
      </w:r>
      <w:r w:rsidRPr="005459E6">
        <w:rPr>
          <w:rFonts w:ascii="Times New Roman" w:hAnsi="Times New Roman" w:cs="Times New Roman"/>
        </w:rPr>
        <w:fldChar w:fldCharType="end"/>
      </w:r>
      <w:r w:rsidRPr="005459E6">
        <w:rPr>
          <w:rFonts w:ascii="Times New Roman" w:hAnsi="Times New Roman" w:cs="Times New Roman"/>
        </w:rPr>
        <w:t xml:space="preserve">, there is a need to consider the impact of smart technologies and networked devices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Management","id":"ITEM-1","issue":"2","issued":{"date-parts":[["2011"]]},"page":"181-187","publisher":"Elsevier Inc.","title":"It's all B2B...and beyond: Toward a systems perspective of the market","type":"article-journal","volume":"40"},"uris":["http://www.mendeley.com/documents/?uuid=a97ea4e2-4b0b-4720-83c3-c42ff3bce304"]},{"id":"ITEM-2","itemData":{"author":[{"dropping-particle":"","family":"Joiner","given":"Keith","non-dropping-particle":"","parse-names":false,"suffix":""},{"dropping-particle":"","family":"Lusch","given":"Robert","non-dropping-particle":"","parse-names":false,"suffix":""}],"container-title":"Australian Health Review","id":"ITEM-2","issued":{"date-parts":[["2015"]]},"publisher":"CSIRO","title":"Evolving to a Service-Dominant Logic for Health","type":"article-journal"},"uris":["http://www.mendeley.com/documents/?uuid=74f609b9-bc1f-4e11-be1d-f186bac6b9d4"]}],"mendeley":{"formattedCitation":"(Joiner &amp; Lusch, 2015; S. L. Vargo &amp; Lusch, 2011)","manualFormatting":"(Joiner &amp; Lusch, 2015; Vargo &amp; Lusch, 2011)","plainTextFormattedCitation":"(Joiner &amp; Lusch, 2015; S. L. Vargo &amp; Lusch, 2011)","previouslyFormattedCitation":"(Joiner &amp; Lusch, 2015; S. L. Vargo &amp; Lusch,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(Joiner &amp; Lusch, 2015; Vargo &amp; Lusch, 2011)</w:t>
      </w:r>
      <w:r w:rsidRPr="005459E6">
        <w:rPr>
          <w:rFonts w:ascii="Times New Roman" w:hAnsi="Times New Roman" w:cs="Times New Roman"/>
        </w:rPr>
        <w:fldChar w:fldCharType="end"/>
      </w:r>
      <w:r w:rsidRPr="005459E6">
        <w:rPr>
          <w:rFonts w:ascii="Times New Roman" w:hAnsi="Times New Roman" w:cs="Times New Roman"/>
        </w:rPr>
        <w:t xml:space="preserve">. </w:t>
      </w:r>
    </w:p>
    <w:p w14:paraId="47085547" w14:textId="77777777" w:rsidR="00F42435" w:rsidRPr="005459E6" w:rsidRDefault="00D30383" w:rsidP="00B91E54">
      <w:pPr>
        <w:spacing w:line="360" w:lineRule="auto"/>
        <w:jc w:val="both"/>
        <w:rPr>
          <w:rFonts w:ascii="Times New Roman" w:hAnsi="Times New Roman" w:cs="Times New Roman"/>
        </w:rPr>
      </w:pPr>
      <w:r w:rsidRPr="005459E6">
        <w:rPr>
          <w:rFonts w:ascii="Times New Roman" w:hAnsi="Times New Roman" w:cs="Times New Roman"/>
        </w:rPr>
        <w:t>Hence a</w:t>
      </w:r>
      <w:r w:rsidR="001323DB" w:rsidRPr="005459E6">
        <w:rPr>
          <w:rFonts w:ascii="Times New Roman" w:hAnsi="Times New Roman" w:cs="Times New Roman"/>
        </w:rPr>
        <w:t xml:space="preserve"> r</w:t>
      </w:r>
      <w:r w:rsidR="00B91E54" w:rsidRPr="005459E6">
        <w:rPr>
          <w:rFonts w:ascii="Times New Roman" w:hAnsi="Times New Roman" w:cs="Times New Roman"/>
        </w:rPr>
        <w:t xml:space="preserve">eview of literature explores the significance of technologies </w:t>
      </w:r>
      <w:r w:rsidR="00B91E54" w:rsidRPr="005459E6">
        <w:rPr>
          <w:rFonts w:ascii="Times New Roman" w:hAnsi="Times New Roman" w:cs="Times New Roman"/>
        </w:rPr>
        <w:fldChar w:fldCharType="begin" w:fldLock="1"/>
      </w:r>
      <w:r w:rsidR="001D5D32" w:rsidRPr="005459E6">
        <w:rPr>
          <w:rFonts w:ascii="Times New Roman" w:hAnsi="Times New Roman" w:cs="Times New Roman"/>
        </w:rPr>
        <w:instrText>ADDIN CSL_CITATION {"citationItems":[{"id":"ITEM-1","itemData":{"DOI":"10.1007/978-1-4419-1628-0","ISBN":"978-1-4419-1627-3","abstract":"The chapter presents a summary and extension of our book, Winning the Service Game, published in 1995 by Harvard Business School Press (Schneider &amp;amp; Bowen , 1995). We summarize the rules of the game we had presented there concerning the production and delivery primarily of consumer services and note several advances in thinking since we wrote the book. We emphasize that people (customers, employees, and managers) still are a prominent key to success in service and that this should be fully recognized in the increasingly technical sophistication of service science . The foundation of this thesis is the idea that promoting service excellence and innovation requires an understanding of the co-creation of value by and for people. Further, that such co-creation is most likely to effectively occur when an appropriate psycho-social context is created for people as they produce, deliver and experience a service process. Such a context is the result of understanding the complexities of the people who are a central component of the service delivery system.","author":[{"dropping-particle":"","family":"Vargo","given":"Stephen L","non-dropping-particle":"","parse-names":false,"suffix":""},{"dropping-particle":"","family":"Lusch","given":"Robert F","non-dropping-particle":"","parse-names":false,"suffix":""}],"id":"ITEM-1","issue":"2008","issued":{"date-parts":[["2010"]]},"title":"Handbook of Service Science","type":"book","volume":"II"},"uris":["http://www.mendeley.com/documents/?uuid=5a080f3d-e8a1-45f7-bf4e-95b9d3ec45f8"]}],"mendeley":{"formattedCitation":"(S. L. Vargo &amp; Lusch, 2010b)","manualFormatting":"(Vargo &amp; Lusch, 2010b)","plainTextFormattedCitation":"(S. L. Vargo &amp; Lusch, 2010b)","previouslyFormattedCitation":"(S. L. Vargo &amp; Lusch, 2010b)"},"properties":{"noteIndex":0},"schema":"https://github.com/citation-style-language/schema/raw/master/csl-citation.json"}</w:instrText>
      </w:r>
      <w:r w:rsidR="00B91E54" w:rsidRPr="005459E6">
        <w:rPr>
          <w:rFonts w:ascii="Times New Roman" w:hAnsi="Times New Roman" w:cs="Times New Roman"/>
        </w:rPr>
        <w:fldChar w:fldCharType="separate"/>
      </w:r>
      <w:r w:rsidR="000B0CE8" w:rsidRPr="005459E6">
        <w:rPr>
          <w:rFonts w:ascii="Times New Roman" w:hAnsi="Times New Roman" w:cs="Times New Roman"/>
          <w:noProof/>
        </w:rPr>
        <w:t>(Vargo &amp; Lusch, 2010b)</w:t>
      </w:r>
      <w:r w:rsidR="00B91E54" w:rsidRPr="005459E6">
        <w:rPr>
          <w:rFonts w:ascii="Times New Roman" w:hAnsi="Times New Roman" w:cs="Times New Roman"/>
        </w:rPr>
        <w:fldChar w:fldCharType="end"/>
      </w:r>
      <w:r w:rsidR="00B91E54" w:rsidRPr="005459E6">
        <w:rPr>
          <w:rFonts w:ascii="Times New Roman" w:hAnsi="Times New Roman" w:cs="Times New Roman"/>
        </w:rPr>
        <w:t xml:space="preserve"> and </w:t>
      </w:r>
      <w:r w:rsidR="001323DB" w:rsidRPr="005459E6">
        <w:rPr>
          <w:rFonts w:ascii="Times New Roman" w:hAnsi="Times New Roman" w:cs="Times New Roman"/>
        </w:rPr>
        <w:t>their</w:t>
      </w:r>
      <w:r w:rsidR="00B91E54" w:rsidRPr="005459E6">
        <w:rPr>
          <w:rFonts w:ascii="Times New Roman" w:hAnsi="Times New Roman" w:cs="Times New Roman"/>
        </w:rPr>
        <w:t xml:space="preserve"> impact on healthcare services </w:t>
      </w:r>
      <w:r w:rsidR="00B91E54"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{"citationItems":[{"id":"ITEM-1","itemData":{"author":[{"dropping-particle":"","family":"Porter","given":"Michael E","non-dropping-particle":"","parse-names":false,"suffix":""},{"dropping-particle":"","family":"Heppelmann","given":"James E","non-dropping-particle":"","parse-names":false,"suffix":""}],"container-title":"Harvard business review","id":"ITEM-1","issue":"11","issued":{"date-parts":[["2014"]]},"page":"64-88","title":"How smart, connected products are transforming competition","type":"article-journal","volume":"92"},"uris":["http://www.mendeley.com/documents/?uuid=136f1ec7-ca32-47e8-85ef-add4989c28f7"]}],"mendeley":{"formattedCitation":"(Porter &amp; Heppelmann, 2014)","plainTextFormattedCitation":"(Porter &amp; Heppelmann, 2014)","previouslyFormattedCitation":"(Porter &amp; Heppelmann, 2014)"},"properties":{"noteIndex":0},"schema":"https://github.com/citation-style-language/schema/raw/master/csl-citation.json"}</w:instrText>
      </w:r>
      <w:r w:rsidR="00B91E54" w:rsidRPr="005459E6">
        <w:rPr>
          <w:rFonts w:ascii="Times New Roman" w:hAnsi="Times New Roman" w:cs="Times New Roman"/>
        </w:rPr>
        <w:fldChar w:fldCharType="separate"/>
      </w:r>
      <w:r w:rsidR="000B0CE8" w:rsidRPr="005459E6">
        <w:rPr>
          <w:rFonts w:ascii="Times New Roman" w:hAnsi="Times New Roman" w:cs="Times New Roman"/>
          <w:noProof/>
        </w:rPr>
        <w:t>(Porter &amp; Heppelmann, 2014)</w:t>
      </w:r>
      <w:r w:rsidR="00B91E54" w:rsidRPr="005459E6">
        <w:rPr>
          <w:rFonts w:ascii="Times New Roman" w:hAnsi="Times New Roman" w:cs="Times New Roman"/>
        </w:rPr>
        <w:fldChar w:fldCharType="end"/>
      </w:r>
      <w:r w:rsidR="00B91E54" w:rsidRPr="005459E6">
        <w:rPr>
          <w:rFonts w:ascii="Times New Roman" w:hAnsi="Times New Roman" w:cs="Times New Roman"/>
        </w:rPr>
        <w:t xml:space="preserve">.  It also identifies </w:t>
      </w:r>
      <w:r w:rsidR="001323DB" w:rsidRPr="005459E6">
        <w:rPr>
          <w:rFonts w:ascii="Times New Roman" w:hAnsi="Times New Roman" w:cs="Times New Roman"/>
        </w:rPr>
        <w:t xml:space="preserve">the </w:t>
      </w:r>
      <w:r w:rsidR="00B91E54" w:rsidRPr="005459E6">
        <w:rPr>
          <w:rFonts w:ascii="Times New Roman" w:hAnsi="Times New Roman" w:cs="Times New Roman"/>
        </w:rPr>
        <w:t xml:space="preserve">construct of Well-being </w:t>
      </w:r>
      <w:r w:rsidR="001D5D32" w:rsidRPr="005459E6">
        <w:rPr>
          <w:rFonts w:ascii="Times New Roman" w:hAnsi="Times New Roman" w:cs="Times New Roman"/>
        </w:rPr>
        <w:fldChar w:fldCharType="begin" w:fldLock="1"/>
      </w:r>
      <w:r w:rsidR="00760413" w:rsidRPr="005459E6">
        <w:rPr>
          <w:rFonts w:ascii="Times New Roman" w:hAnsi="Times New Roman" w:cs="Times New Roman"/>
        </w:rPr>
        <w:instrText>ADDIN CSL_CITATION {"citationItems":[{"id":"ITEM-1","itemData":{"DOI":"10.1177/1754073917697824","ISSN":"17540739","abstract":"A paradigm shift in public health and medicine has broadened the field from a singular focus on the ill effects of negative states and psychopathology to an expanded view that examines protective psychological assets that may promote improved physical health and longevity. We summarize recent evidence of the link between psychological well-being (including positive affect, optimism, life meaning and purpose, and life satisfaction) and physical health, with particular attention to outcomes of mortality and chronic disease incidence and progression. Within this evolving discipline there remain controversies and lessons to be learned. We discuss measurement-related challenges, concerns about the quality of the evidence, and other shortcomings in the field, along with a brief discussion of hypothesized biobehavioral mechanisms involved. Finally, we suggest next steps to move the field forward.","author":[{"dropping-particle":"","family":"Hernandez","given":"Rosalba","non-dropping-particle":"","parse-names":false,"suffix":""},{"dropping-particle":"","family":"Bassett","given":"Sarah M.","non-dropping-particle":"","parse-names":false,"suffix":""},{"dropping-particle":"","family":"Boughton","given":"Seth W.","non-dropping-particle":"","parse-names":false,"suffix":""},{"dropping-particle":"","family":"Schuette","given":"Stephanie A.","non-dropping-particle":"","parse-names":false,"suffix":""},{"dropping-particle":"","family":"Shiu","given":"Eva W.","non-dropping-particle":"","parse-names":false,"suffix":""},{"dropping-particle":"","family":"Moskowitz","given":"Judith T.","non-dropping-particle":"","parse-names":false,"suffix":""}],"container-title":"Emotion Review","id":"ITEM-1","issue":"1","issued":{"date-parts":[["2018"]]},"page":"18-29","title":"Psychological Well-Being and Physical Health: Associations, Mechanisms, and Future Directions","type":"article-journal","volume":"10"},"uris":["http://www.mendeley.com/documents/?uuid=6fd8a9a9-2729-4160-9739-c5d42b4ecb05"]},{"id":"ITEM-2","itemData":{"DOI":"10.1016/j.neubiorev.2020.12.002","ISSN":"18737528","PMID":"33307046","abstract":"This review paper provides an integrative account regarding neurophysiological correlates of positive emotions and affect that cumulatively contribute to the scaffolding for happiness and wellbeing in humans and other animals. This paper reviews the associations among neurotransmitters, hormones, brain networks, and cognitive functions in the context of positive emotions and affect. Consideration of lifespan developmental perspectives are incorporated, and we also examine the impact of healthy social relationships and environmental contexts on the modulation of positive emotions and affect. The neurophysiological processes that implement positive emotions are dynamic and modifiable, and meditative practices as well as flow states that change patterns of brain function and ultimately support wellbeing are also discussed. This review is part of “The Human Affectome Project” (http://neuroqualia.org/background.php), and in order to advance a primary aim of the Human Affectome Project, we also reviewed relevant linguistic dimensions and terminology that characterizes positive emotions and wellbeing. These linguistic dimensions are discussed within the context of the neuroscience literature with the overarching goal of generating novel recommendations for advancing neuroscience research on positive emotions and wellbeing.","author":[{"dropping-particle":"","family":"Alexander","given":"Rebecca","non-dropping-particle":"","parse-names":false,"suffix":""},{"dropping-particle":"","family":"Aragón","given":"Oriana R.","non-dropping-particle":"","parse-names":false,"suffix":""},{"dropping-particle":"","family":"Bookwala","given":"Jamila","non-dropping-particle":"","parse-names":false,"suffix":""},{"dropping-particle":"","family":"Cherbuin","given":"Nicolas","non-dropping-particle":"","parse-names":false,"suffix":""},{"dropping-particle":"","family":"Gatt","given":"Justine M.","non-dropping-particle":"","parse-names":false,"suffix":""},{"dropping-particle":"","family":"Kahrilas","given":"Ian J.","non-dropping-particle":"","parse-names":false,"suffix":""},{"dropping-particle":"","family":"Kästner","given":"Niklas","non-dropping-particle":"","parse-names":false,"suffix":""},{"dropping-particle":"","family":"Lawrence","given":"Alistair","non-dropping-particle":"","parse-names":false,"suffix":""},{"dropping-particle":"","family":"Lowe","given":"Leroy","non-dropping-particle":"","parse-names":false,"suffix":""},{"dropping-particle":"","family":"Morrison","given":"Robert G.","non-dropping-particle":"","parse-names":false,"suffix":""},{"dropping-particle":"","family":"Mueller","given":"Sven C.","non-dropping-particle":"","parse-names":false,"suffix":""},{"dropping-particle":"","family":"Nusslock","given":"Robin","non-dropping-particle":"","parse-names":false,"suffix":""},{"dropping-particle":"","family":"Papadelis","given":"Christos","non-dropping-particle":"","parse-names":false,"suffix":""},{"dropping-particle":"","family":"Polnaszek","given":"Kelly L.","non-dropping-particle":"","parse-names":false,"suffix":""},{"dropping-particle":"","family":"Helene Richter","given":"S.","non-dropping-particle":"","parse-names":false,"suffix":""},{"dropping-particle":"","family":"Silton","given":"Rebecca L.","non-dropping-particle":"","parse-names":false,"suffix":""},{"dropping-particle":"","family":"Styliadis","given":"Charis","non-dropping-particle":"","parse-names":false,"suffix":""}],"container-title":"Neuroscience and Biobehavioral Reviews","id":"ITEM-2","issued":{"date-parts":[["2021"]]},"page":"220-249","title":"The neuroscience of positive emotions and affect: Implications for cultivating happiness and wellbeing","type":"article-journal","volume":"121"},"uris":["http://www.mendeley.com/documents/?uuid=0fd8d3e9-7810-4ab5-8976-f84e53c6bda8"]}],"mendeley":{"formattedCitation":"(Alexander et al., 2021; Hernandez et al., 2018)","plainTextFormattedCitation":"(Alexander et al., 2021; Hernandez et al., 2018)","previouslyFormattedCitation":"(Alexander et al., 2021; Hernandez et al., 2018)"},"properties":{"noteIndex":0},"schema":"https://github.com/citation-style-language/schema/raw/master/csl-citation.json"}</w:instrText>
      </w:r>
      <w:r w:rsidR="001D5D32" w:rsidRPr="005459E6">
        <w:rPr>
          <w:rFonts w:ascii="Times New Roman" w:hAnsi="Times New Roman" w:cs="Times New Roman"/>
        </w:rPr>
        <w:fldChar w:fldCharType="separate"/>
      </w:r>
      <w:r w:rsidR="001D5D32" w:rsidRPr="005459E6">
        <w:rPr>
          <w:rFonts w:ascii="Times New Roman" w:hAnsi="Times New Roman" w:cs="Times New Roman"/>
          <w:noProof/>
        </w:rPr>
        <w:t>(Alexander et al., 2021; Hernandez et al., 2018)</w:t>
      </w:r>
      <w:r w:rsidR="001D5D32" w:rsidRPr="005459E6">
        <w:rPr>
          <w:rFonts w:ascii="Times New Roman" w:hAnsi="Times New Roman" w:cs="Times New Roman"/>
        </w:rPr>
        <w:fldChar w:fldCharType="end"/>
      </w:r>
      <w:r w:rsidR="00B91E54" w:rsidRPr="005459E6">
        <w:rPr>
          <w:rFonts w:ascii="Times New Roman" w:hAnsi="Times New Roman" w:cs="Times New Roman"/>
        </w:rPr>
        <w:t xml:space="preserve"> and its relationship with </w:t>
      </w:r>
      <w:r w:rsidR="00216AB8" w:rsidRPr="005459E6">
        <w:rPr>
          <w:rFonts w:ascii="Times New Roman" w:hAnsi="Times New Roman" w:cs="Times New Roman"/>
        </w:rPr>
        <w:t>p</w:t>
      </w:r>
      <w:r w:rsidR="00B91E54" w:rsidRPr="005459E6">
        <w:rPr>
          <w:rFonts w:ascii="Times New Roman" w:hAnsi="Times New Roman" w:cs="Times New Roman"/>
        </w:rPr>
        <w:t xml:space="preserve">ositive </w:t>
      </w:r>
      <w:r w:rsidR="00216AB8" w:rsidRPr="005459E6">
        <w:rPr>
          <w:rFonts w:ascii="Times New Roman" w:hAnsi="Times New Roman" w:cs="Times New Roman"/>
        </w:rPr>
        <w:t>e</w:t>
      </w:r>
      <w:r w:rsidR="00B91E54" w:rsidRPr="005459E6">
        <w:rPr>
          <w:rFonts w:ascii="Times New Roman" w:hAnsi="Times New Roman" w:cs="Times New Roman"/>
        </w:rPr>
        <w:t xml:space="preserve">motions as well as stress </w:t>
      </w:r>
      <w:r w:rsidR="001323DB" w:rsidRPr="005459E6">
        <w:rPr>
          <w:rFonts w:ascii="Times New Roman" w:hAnsi="Times New Roman" w:cs="Times New Roman"/>
        </w:rPr>
        <w:t xml:space="preserve">and </w:t>
      </w:r>
      <w:r w:rsidR="00B91E54" w:rsidRPr="005459E6">
        <w:rPr>
          <w:rFonts w:ascii="Times New Roman" w:hAnsi="Times New Roman" w:cs="Times New Roman"/>
        </w:rPr>
        <w:t xml:space="preserve">happiness </w:t>
      </w:r>
      <w:r w:rsidR="00B91E54"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{"citationItems":[{"id":"ITEM-1","itemData":{"DOI":"10.1037/a0027448","ISBN":"1939-1455(Electronic),0033-2909(Print)","abstract":"This review investigates the association between positive psychological well-being (PPWB) and cardiovascular disease (CVD). We also consider the mechanisms by which PPWB may be linked with CVD, focusing on the health behaviors (e.g., smoking, alcohol consumption, physical activity, sleep quality and quantity, and food consumption) and biological functions (e.g., cardiovascular, inflammatory, and metabolic processes) that are most relevant for cardiovascular health. Because PPWB is a broad concept, not all aspects of PPWB may be associated with cardiovascular health. Thus, we distinguish between eudaimonic well-being, hedonic well-being, optimism, and other measures of well-being when reviewing the literature. Findings suggest that PPWB protects consistently against CVD, independently of traditional risk factors and ill-being. Specifically, optimism is most robustly associated with a reduced risk of cardiovascular events. In general, PPWB is also positively associated with restorative health behaviors and biological function and inversely associated with deteriorative health behaviors and biological function. Cardiovascular health is more consistently associated with optimism and hedonic well-being than with eudaimonic well-being, although this could be due in part to more limited evidence being available concerning eudaimonic well-being. Some similarities were also evident across different measures of PPWB, which is likely due to measurement overlap. A theoretical context for this research is provided, and suggestions for future research are given, including the need for additional prospective investigations and research that includes multiple constructs of psychological well-being and ill-being. (PsycInfo Database Record (c) 2020 APA, all rights reserved)","author":[{"dropping-particle":"","family":"Boehm","given":"Julia K","non-dropping-particle":"","parse-names":false,"suffix":""},{"dropping-particle":"","family":"Kubzansky","given":"Laura D","non-dropping-particle":"","parse-names":false,"suffix":""}],"container-title":"Psychological Bulletin","id":"ITEM-1","issue":"4","issued":{"date-parts":[["2012"]]},"page":"655-691","publisher":"American Psychological Association","publisher-place":"Boehm, Julia K.: Department of Society, Human Development, and Health, Harvard School of Public Health, Landmark Center, Room 428A, 401 Park Drive, Boston, MA, US, 02215, jboehm@hsph.harvard.edu","title":"The heart's content: The association between positive psychological well-being and cardiovascular health.","type":"article","volume":"138"},"uris":["http://www.mendeley.com/documents/?uuid=f1806af5-fc76-4d70-a74f-38b17b9beb4f"]},{"id":"ITEM-2","itemData":{"DOI":"10.1098/rstb.2004.1521","ISSN":"09628436","PMID":"15347530","abstract":"Two key types of well-being, eudaimonic and hedonic, are reviewed. The first addresses ideas of self-development, personal growth and purposeful engagement, while the second is concerned with positive feelings such as happiness and contentment. How well-being varies by age and socio-economic standing is briefly summarized, followed by examination of its biological correlates (neuroendocrine, immune, cardiovascular, rapid eye movement (REM) sleep). Preliminary findings on a sample of ageing women showed that those with higher levels of eudaimonic well-being had lower levels of daily salivary cortisol, pro-inflammatory cytokines, cardiovascular risk, and longer duration REM sleep compared with those showing lower levels of eudaimonic well-being. Hedonic well-being, however, showed minimal linkage to biomarker assessments. Future research directions building on these initial findings are discussed.","author":[{"dropping-particle":"","family":"Ryff","given":"Carol D.","non-dropping-particle":"","parse-names":false,"suffix":""},{"dropping-particle":"","family":"Singer","given":"Burton H.","non-dropping-particle":"","parse-names":false,"suffix":""},{"dropping-particle":"","family":"Love","given":"Gayle Dienberg","non-dropping-particle":"","parse-names":false,"suffix":""}],"container-title":"Philosophical Transactions of the Royal Society B: Biological Sciences","id":"ITEM-2","issue":"1449","issued":{"date-parts":[["2004"]]},"page":"1383-1394","title":"Positive health: Connecting well-being with biology","type":"article-journal","volume":"359"},"uris":["http://www.mendeley.com/documents/?uuid=c90fab42-1814-43e9-af54-dc5aa92fa09a"]}],"mendeley":{"formattedCitation":"(Boehm &amp; Kubzansky, 2012; Ryff et al., 2004)","plainTextFormattedCitation":"(Boehm &amp; Kubzansky, 2012; Ryff et al., 2004)","previouslyFormattedCitation":"(Boehm &amp; Kubzansky, 2012; Ryff et al., 2004)"},"properties":{"noteIndex":0},"schema":"https://github.com/citation-style-language/schema/raw/master/csl-citation.json"}</w:instrText>
      </w:r>
      <w:r w:rsidR="00B91E54" w:rsidRPr="005459E6">
        <w:rPr>
          <w:rFonts w:ascii="Times New Roman" w:hAnsi="Times New Roman" w:cs="Times New Roman"/>
        </w:rPr>
        <w:fldChar w:fldCharType="separate"/>
      </w:r>
      <w:r w:rsidR="000B0CE8" w:rsidRPr="005459E6">
        <w:rPr>
          <w:rFonts w:ascii="Times New Roman" w:hAnsi="Times New Roman" w:cs="Times New Roman"/>
          <w:noProof/>
        </w:rPr>
        <w:t>(Boehm &amp; Kubzansky, 2012; Ryff et al., 2004)</w:t>
      </w:r>
      <w:r w:rsidR="00B91E54" w:rsidRPr="005459E6">
        <w:rPr>
          <w:rFonts w:ascii="Times New Roman" w:hAnsi="Times New Roman" w:cs="Times New Roman"/>
        </w:rPr>
        <w:fldChar w:fldCharType="end"/>
      </w:r>
      <w:r w:rsidR="00B91E54" w:rsidRPr="005459E6">
        <w:rPr>
          <w:rFonts w:ascii="Times New Roman" w:hAnsi="Times New Roman" w:cs="Times New Roman"/>
        </w:rPr>
        <w:t>.</w:t>
      </w:r>
      <w:r w:rsidR="00F42435" w:rsidRPr="005459E6">
        <w:rPr>
          <w:rFonts w:ascii="Times New Roman" w:hAnsi="Times New Roman" w:cs="Times New Roman"/>
        </w:rPr>
        <w:t xml:space="preserve"> </w:t>
      </w:r>
    </w:p>
    <w:p w14:paraId="318A4F0B" w14:textId="5956EE9F" w:rsidR="00B91E54" w:rsidRPr="005459E6" w:rsidRDefault="00B91E54" w:rsidP="00B91E54">
      <w:pPr>
        <w:spacing w:line="360" w:lineRule="auto"/>
        <w:jc w:val="both"/>
        <w:rPr>
          <w:rFonts w:ascii="Times New Roman" w:hAnsi="Times New Roman" w:cs="Times New Roman"/>
        </w:rPr>
      </w:pPr>
      <w:r w:rsidRPr="005459E6">
        <w:rPr>
          <w:rFonts w:ascii="Times New Roman" w:hAnsi="Times New Roman" w:cs="Times New Roman"/>
        </w:rPr>
        <w:t>To further study the entanglement among Individual lifestyle</w:t>
      </w:r>
      <w:r w:rsidR="001323DB" w:rsidRPr="005459E6">
        <w:rPr>
          <w:rFonts w:ascii="Times New Roman" w:hAnsi="Times New Roman" w:cs="Times New Roman"/>
        </w:rPr>
        <w:t>s</w:t>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000B0CE8" w:rsidRPr="005459E6">
        <w:rPr>
          <w:rFonts w:ascii="Times New Roman" w:hAnsi="Times New Roman" w:cs="Times New Roman"/>
        </w:rPr>
        <w:instrText>ADDIN CSL_CITATION {"citationItems":[{"id":"ITEM-1","itemData":{"DOI":"10.1186/s12889-018-5526-2","ISSN":"14712458","PMID":"29769115","abstract":"Background: A healthy lifestyle can be beneficial for one's mental health. Thus, identifying healthy lifestyle choices that promote psychological well-being and reduce mental problems is useful to prevent mental disorders. The aim of this longitudinal study was to evaluate the predictive values of a broad range of lifestyle choices for positive mental health (PMH) and mental health problems (MHP) in German and Chinese students. Method: Data were assessed at baseline and at 1-year follow-up. Samples included 2991 German (M age = 21.69, SD = 4.07) and 12,405 Chinese (M age = 20.59, SD = 1.58) university students. Lifestyle choices were body mass index, frequency of physical and mental activities, frequency of alcohol consumption, smoking, vegetarian diet, and social rhythm irregularity. PMH and MHP were measured with the Positive Mental Health Scale and a 21-item version of the Depression Anxiety and Stress Scale. The predictive values of lifestyle choices for PMH and MHP at baseline and follow-up were assessed with single-group and multi-group path analyses. Results: Better mental health (higher PMH and fewer MHP) at baseline was predicted by a lower body mass index, a higher frequency of physical and mental activities, non-smoking, a non-vegetarian diet, and a more regular social rhythm. When controlling for baseline mental health, age, and gender, physical activity was a positive predictor of PMH, smoking was a positive predictor of MHP, and a more irregular social rhythm was a positive predictor of PMH and a negative predictor of MHP at follow-up. The good fit of a multi-group model indicated that most lifestyle choices predict mental health comparably across samples. Some country-specific effects emerged: frequency of alcohol consumption, for example, predicted better mental health in German and poorer mental health in Chinese students. Conclusions: Our findings underline the importance of healthy lifestyle choices for improved psychological well-being and fewer mental health difficulties. Effects of lifestyle on mental health are comparable in German and Chinese students. Some healthy lifestyle choices (i.e., more frequent physical activity, non-smoking, regular social rhythm) are related to improvements in mental health over a 1-year period.","author":[{"dropping-particle":"","family":"Velten","given":"Julia","non-dropping-particle":"","parse-names":false,"suffix":""},{"dropping-particle":"","family":"Bieda","given":"Angela","non-dropping-particle":"","parse-names":false,"suffix":""},{"dropping-particle":"","family":"Scholten","given":"Saskia","non-dropping-particle":"","parse-names":false,"suffix":""},{"dropping-particle":"","family":"Wannemüller","given":"André","non-dropping-particle":"","parse-names":false,"suffix":""},{"dropping-particle":"","family":"Margraf","given":"Jürgen","non-dropping-particle":"","parse-names":false,"suffix":""}],"container-title":"BMC Public Health","id":"ITEM-1","issue":"1","issued":{"date-parts":[["2018"]]},"page":"1-15","publisher":"BMC Public Health","title":"Lifestyle choices and mental health: A longitudinal survey with German and Chinese students","type":"article-journal","volume":"18"},"uris":["http://www.mendeley.com/documents/?uuid=b2b97905-b552-478d-98f0-86b5f7373c85"]}],"mendeley":{"formattedCitation":"(Velten et al., 2018)","plainTextFormattedCitation":"(Velten et al., 2018)","previouslyFormattedCitation":"(Velten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(Velten et al., 2018)</w:t>
      </w:r>
      <w:r w:rsidRPr="005459E6">
        <w:rPr>
          <w:rFonts w:ascii="Times New Roman" w:hAnsi="Times New Roman" w:cs="Times New Roman"/>
        </w:rPr>
        <w:fldChar w:fldCharType="end"/>
      </w:r>
      <w:r w:rsidRPr="005459E6">
        <w:rPr>
          <w:rFonts w:ascii="Times New Roman" w:hAnsi="Times New Roman" w:cs="Times New Roman"/>
        </w:rPr>
        <w:t xml:space="preserve"> and emotional states </w:t>
      </w:r>
      <w:r w:rsidRPr="005459E6">
        <w:rPr>
          <w:rFonts w:ascii="Times New Roman" w:hAnsi="Times New Roman" w:cs="Times New Roman"/>
        </w:rPr>
        <w:fldChar w:fldCharType="begin" w:fldLock="1"/>
      </w:r>
      <w:r w:rsidR="001D5D32" w:rsidRPr="005459E6">
        <w:rPr>
          <w:rFonts w:ascii="Times New Roman" w:hAnsi="Times New Roman" w:cs="Times New Roman"/>
        </w:rPr>
        <w:instrText>ADDIN CSL_CITATION {"citationItems":[{"id":"ITEM-1","itemData":{"DOI":"10.2147/NDT.S120995","ISSN":"11782021","abstract":"Recently, there has been increasing interest in preventing and managing diseases both inside and outside medical institutions, and these concerns have supported the development of the individual Personal Health Record (PHR). Thus, the current study created a mobile platform called “Mind Mirror” to evaluate psychological and physical conditions and investigated whether PHRs would be a useful tool for assessment of the dynamic relationship between the emotional and physical conditions of an individual. Methods: Mind Mirror was used to collect 30 days of observational data about emotional valence and the physical states of pain and fatigue from 20 healthy participants, and these data were used to analyze the dynamic relationship between emotional and physical conditions. Additionally, based on the cross-correlations between these three parameters, a multilevel multivariate regression model (mixed linear model [MLM]) was implemented. Results: The strongest cross-correlation between emotional and physical conditions was at lag 0, which implies that emotion and body condition changed concurrently. In the MLM, emotional valence was negatively associated with fatigue (β =-0.233, P&lt;0.001), fatigue was positively associated with pain (β =0.250, P&lt;0.001), and pain was positively associated with fatigue (β =0.398, P&lt;0.001). Conclusion: Our study showed that emotional valence and one’s physical condition negatively influenced one another, while fatigue and pain positively affected each other. These findings suggest that the mind and body interact instantaneously, in addition to providing a possible solution for the recording and management of health using a PHR on a daily basis.","author":[{"dropping-particle":"","family":"Lee","given":"Ye Seul","non-dropping-particle":"","parse-names":false,"suffix":""},{"dropping-particle":"","family":"Jung","given":"Won Mo","non-dropping-particle":"","parse-names":false,"suffix":""},{"dropping-particle":"","family":"Jang","given":"Hyunchul","non-dropping-particle":"","parse-names":false,"suffix":""},{"dropping-particle":"","family":"Kim","given":"Sanghyun","non-dropping-particle":"","parse-names":false,"suffix":""},{"dropping-particle":"","family":"Chung","given":"Sun Yong","non-dropping-particle":"","parse-names":false,"suffix":""},{"dropping-particle":"","family":"Chae","given":"Younbyoung","non-dropping-particle":"","parse-names":false,"suffix":""}],"container-title":"Neuropsychiatric Disease and Treatment","id":"ITEM-1","issued":{"date-parts":[["2017"]]},"page":"411-419","title":"The dynamic relationship between emotional and physical states: An observational study of personal health records","type":"article-journal","volume":"13"},"uris":["http://www.mendeley.com/documents/?uuid=9a055173-b123-4122-8735-1edc58101fad","http://www.mendeley.com/documents/?uuid=b4432cb8-9851-4897-9771-33760626db3e"]}],"mendeley":{"formattedCitation":"(Y. S. Lee et al., 2017)","manualFormatting":"(Lee et al., 2017)","plainTextFormattedCitation":"(Y. S. Lee et al., 2017)","previouslyFormattedCitation":"(Y. S. Lee et al., 2017)"},"properties":{"noteIndex":0},"schema":"https://github.com/citation-style-language/schema/raw/master/csl-citation.json"}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(Lee et al., 2017)</w:t>
      </w:r>
      <w:r w:rsidRPr="005459E6">
        <w:rPr>
          <w:rFonts w:ascii="Times New Roman" w:hAnsi="Times New Roman" w:cs="Times New Roman"/>
        </w:rPr>
        <w:fldChar w:fldCharType="end"/>
      </w:r>
      <w:r w:rsidRPr="005459E6">
        <w:rPr>
          <w:rFonts w:ascii="Times New Roman" w:hAnsi="Times New Roman" w:cs="Times New Roman"/>
        </w:rPr>
        <w:t xml:space="preserve"> to reflect on Psychological Well-being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{"citationItems":[{"id":"ITEM-1","itemData":{"DOI":"10.1016/j.socscimed.2017.11.008","ISSN":"18735347","PMID":"29132081","abstract":"There is a strong link between mental health and physical health, but little is known about the pathways from one to the other. We analyse the direct and indirect effects of past mental health on present physical health and past physical health on present mental health using lifestyle choices and social capital in a mediation framework. We use data on 10,693 individuals aged 50 years and over from six waves (2002–2012) of the English Longitudinal Study of Ageing. Mental health is measured by the Centre for Epidemiological Studies Depression Scale (CES) and physical health by the Activities of Daily Living (ADL). We find significant direct and indirect effects for both forms of health, with indirect effects explaining 10% of the effect of past mental health on physical health and 8% of the effect of past physical health on mental health. Physical activity is the largest contributor to the indirect effects. There are stronger indirect effects for males in mental health (9.9%) and for older age groups in mental health (13.6%) and in physical health (12.6%). Health policies aiming at changing physical and mental health need to consider not only the direct cross-effects but also the indirect cross-effects between mental health and physical health.","author":[{"dropping-particle":"","family":"Ohrnberger","given":"Julius","non-dropping-particle":"","parse-names":false,"suffix":""},{"dropping-particle":"","family":"Fichera","given":"Eleonora","non-dropping-particle":"","parse-names":false,"suffix":""},{"dropping-particle":"","family":"Sutton","given":"Matt","non-dropping-particle":"","parse-names":false,"suffix":""}],"container-title":"Social Science and Medicine","id":"ITEM-1","issue":"November","issued":{"date-parts":[["2017"]]},"page":"42-49","publisher":"Elsevier","title":"The relationship between physical and mental health: A mediation analysis","type":"article-journal","volume":"195"},"uris":["http://www.mendeley.com/documents/?uuid=4da87665-6255-4985-a222-e5d3731890d8"]}],"mendeley":{"formattedCitation":"(Ohrnberger et al., 2017c)","plainTextFormattedCitation":"(Ohrnberger et al., 2017c)","previouslyFormattedCitation":"(Ohrnberger et al., 2017c)"},"properties":{"noteIndex":0},"schema":"https://github.com/citation-style-language/schema/raw/master/csl-citation.json"}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(Ohrnberger et al., 2017c)</w:t>
      </w:r>
      <w:r w:rsidRPr="005459E6">
        <w:rPr>
          <w:rFonts w:ascii="Times New Roman" w:hAnsi="Times New Roman" w:cs="Times New Roman"/>
        </w:rPr>
        <w:fldChar w:fldCharType="end"/>
      </w:r>
      <w:r w:rsidRPr="005459E6">
        <w:rPr>
          <w:rFonts w:ascii="Times New Roman" w:hAnsi="Times New Roman" w:cs="Times New Roman"/>
        </w:rPr>
        <w:t xml:space="preserve"> </w:t>
      </w:r>
      <w:r w:rsidR="006234A9" w:rsidRPr="005459E6">
        <w:rPr>
          <w:rFonts w:ascii="Times New Roman" w:hAnsi="Times New Roman" w:cs="Times New Roman"/>
        </w:rPr>
        <w:t>R</w:t>
      </w:r>
      <w:r w:rsidRPr="005459E6">
        <w:rPr>
          <w:rFonts w:ascii="Times New Roman" w:hAnsi="Times New Roman" w:cs="Times New Roman"/>
        </w:rPr>
        <w:t xml:space="preserve">esearch Question </w:t>
      </w:r>
      <w:r w:rsidR="00A662AA" w:rsidRPr="005459E6">
        <w:rPr>
          <w:rFonts w:ascii="Times New Roman" w:hAnsi="Times New Roman" w:cs="Times New Roman"/>
        </w:rPr>
        <w:t>1</w:t>
      </w:r>
      <w:r w:rsidRPr="005459E6">
        <w:rPr>
          <w:rFonts w:ascii="Times New Roman" w:hAnsi="Times New Roman" w:cs="Times New Roman"/>
        </w:rPr>
        <w:t xml:space="preserve"> has been formed. In line with Service</w:t>
      </w:r>
      <w:r w:rsidR="001323DB" w:rsidRPr="005459E6">
        <w:rPr>
          <w:rFonts w:ascii="Times New Roman" w:hAnsi="Times New Roman" w:cs="Times New Roman"/>
        </w:rPr>
        <w:t>-</w:t>
      </w:r>
      <w:r w:rsidRPr="005459E6">
        <w:rPr>
          <w:rFonts w:ascii="Times New Roman" w:hAnsi="Times New Roman" w:cs="Times New Roman"/>
        </w:rPr>
        <w:t xml:space="preserve">Dominant Logic </w:t>
      </w:r>
      <w:r w:rsidR="005D2728">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{"citationItems":[{"id":"ITEM-1","itemData":{"DOI":"10.2147/ieh.s93473","ISSN":"2324-5905","abstract":"Consumers value health and a sense of well-being. The health care system cannot supply these values, but only “products” such as hospitalization, ambulatory care, medica- tions, procedures, and preventative care. These components of health care represent neither the value within the system nor the desired final output. Nonetheless, the health care system has focused inordinately on the products, to the point of suggesting that they have intrinsic value. We link this situation to the concept of goods-dominant logic, which has dominated business and managerial thinking since the Industrial Revolution. We then explain why and how moving to service-dominant logic is essential for consumers and providers to better cocreate value from products which are not intrinsically valuable. The challenge of cocreating value is confounded by information asymmetry, and by the myriad factors in the health care ecosystem that contribute to or detract from health and well-being. A new lexicon, emanating from service-dominant logic, is suggested to facilitate the move away from a goods-dominant mindset.","author":[{"dropping-particle":"","family":"Joiner","given":"Keith","non-dropping-particle":"","parse-names":false,"suffix":""},{"dropping-particle":"","family":"Lusch","given":"Robert","non-dropping-particle":"","parse-names":false,"suffix":""}],"container-title":"Innovation and Entrepreneurship in Health","id":"ITEM-1","issued":{"date-parts":[["2016"]]},"page":"25","title":"Evolving to a new service-dominant logic for health care","type":"article-journal"},"uris":["http://www.mendeley.com/documents/?uuid=9ea58e15-5e88-4b60-8943-1f7edca95c26"]},{"id":"ITEM-2","itemData":{"DOI":"10.1016/j.indmarman.2010.06.026","ISSN":"00198501","abstract":"The delineation of B2B from 'mainstream' marketing reflects the limitations of the traditional, goods-dominant (G-D) model of exchange and a conceptualization of value creation based on the 'producer' versus 'consumer' divide. Service-dominant (S-D) logic broadens the perspective of exchange and value creation and implies that all social and economic actors engaged in exchange (e.g., firms, customers, etc.) are service-providing, value-creating enterprises; thus, in this sense, all exchange can be considered B2B. From this perspective, the contributions of B2B marketing (and other sub-disciplines) can be seen as applicable to 'mainstream' marketing. This generic, actor-to-actor (A2A) orientation, in turn, points toward a dynamic, networked and systems orientation to value creation. This article discusses this systems-oriented framework and elaborates the steps necessary for developing it further into a general theory of the market, informed by the marketing sub-disciplines, marketing practices, and disciplines external to marketing. © 2010 Elsevier Inc.","author":[{"dropping-particle":"","family":"Vargo","given":"Stephen L.","non-dropping-particle":"","parse-names":false,"suffix":""},{"dropping-particle":"","family":"Lusch","given":"Robert F.","non-dropping-particle":"","parse-names":false,"suffix":""}],"container-title":"Industrial Marketing Management","id":"ITEM-2","issue":"2","issued":{"date-parts":[["2011"]]},"page":"181-187","publisher":"Elsevier Inc.","title":"It's all B2B...and beyond: Toward a systems perspective of the market","type":"article-journal","volume":"40"},"uris":["http://www.mendeley.com/documents/?uuid=a97ea4e2-4b0b-4720-83c3-c42ff3bce304"]},{"id":"ITEM-3","itemData":{"author":[{"dropping-particle":"","family":"Joiner","given":"Keith","non-dropping-particle":"","parse-names":false,"suffix":""},{"dropping-particle":"","family":"Lusch","given":"Robert","non-dropping-particle":"","parse-names":false,"suffix":""}],"container-title":"Australian Health Review","id":"ITEM-3","issued":{"date-parts":[["2015"]]},"publisher":"CSIRO","title":"Evolving to a Service-Dominant Logic for Health","type":"article-journal"},"uris":["http://www.mendeley.com/documents/?uuid=74f609b9-bc1f-4e11-be1d-f186bac6b9d4"]}],"mendeley":{"formattedCitation":"(Joiner &amp; Lusch, 2015, 2016; S. L. Vargo &amp; Lusch, 2011)","manualFormatting":"(Joiner &amp; Lusch, 2015, 2016; Vargo &amp; Lusch, 2011)","plainTextFormattedCitation":"(Joiner &amp; Lusch, 2015, 2016; S. L. Vargo &amp; Lusch, 2011)","previouslyFormattedCitation":"(Joiner &amp; Lusch, 2015, 2016; S. L. Vargo &amp; Lusch, 2011)"},"properties":{"noteIndex":0},"schema":"https://github.com/citation-style-language/schema/raw/master/csl-citation.json"}</w:instrText>
      </w:r>
      <w:r w:rsidR="005D2728">
        <w:rPr>
          <w:rFonts w:ascii="Times New Roman" w:hAnsi="Times New Roman" w:cs="Times New Roman"/>
        </w:rPr>
        <w:fldChar w:fldCharType="separate"/>
      </w:r>
      <w:r w:rsidR="005D2728" w:rsidRPr="005D2728">
        <w:rPr>
          <w:rFonts w:ascii="Times New Roman" w:hAnsi="Times New Roman" w:cs="Times New Roman"/>
          <w:noProof/>
        </w:rPr>
        <w:t>(Joiner &amp; Lusch, 2015, 2016; Vargo &amp; Lusch, 2011)</w:t>
      </w:r>
      <w:r w:rsidR="005D2728">
        <w:rPr>
          <w:rFonts w:ascii="Times New Roman" w:hAnsi="Times New Roman" w:cs="Times New Roman"/>
        </w:rPr>
        <w:fldChar w:fldCharType="end"/>
      </w:r>
      <w:r w:rsidRPr="005459E6">
        <w:rPr>
          <w:rFonts w:ascii="Times New Roman" w:hAnsi="Times New Roman" w:cs="Times New Roman"/>
        </w:rPr>
        <w:t xml:space="preserve"> literature reviewed the role of actors, </w:t>
      </w:r>
      <w:r w:rsidR="001323DB" w:rsidRPr="005459E6">
        <w:rPr>
          <w:rFonts w:ascii="Times New Roman" w:hAnsi="Times New Roman" w:cs="Times New Roman"/>
        </w:rPr>
        <w:t xml:space="preserve">and </w:t>
      </w:r>
      <w:r w:rsidRPr="005459E6">
        <w:rPr>
          <w:rFonts w:ascii="Times New Roman" w:hAnsi="Times New Roman" w:cs="Times New Roman"/>
        </w:rPr>
        <w:t xml:space="preserve">resource integration for co-created value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Management","id":"ITEM-1","issued":{"date-parts":[["2016"]]},"page":"24-39","publisher":"Elsevier B.V.","title":"Co-creation practices: Their role in shaping a health care ecosystem","type":"article-journal","volume":"56"},"uris":["http://www.mendeley.com/documents/?uuid=5e430748-68c9-3f39-8609-d4025411ebcb"]},{"id":"ITEM-2","itemData":{"ISSN":"1094-6705","author":[{"dropping-particle":"","family":"McColl-Kennedy","given":"Janet R","non-dropping-particle":"","parse-names":false,"suffix":""},{"dropping-particle":"","family":"Vargo","given":"Stephen L","non-dropping-particle":"","parse-names":false,"suffix":""},{"dropping-particle":"","family":"Dagger","given":"Tracey S","non-dropping-particle":"","parse-names":false,"suffix":""},{"dropping-particle":"","family":"Sweeney","given":"Jillian C","non-dropping-particle":"","parse-names":false,"suffix":""},{"dropping-particle":"van","family":"Kasteren","given":"Yasmin","non-dropping-particle":"","parse-names":false,"suffix":""}],"container-title":"Journal of service research","id":"ITEM-2","issue":"4","issued":{"date-parts":[["2012"]]},"page":"370-389","publisher":"Sage Publications Sage CA: Los Angeles, CA","title":"Health care customer value cocreation practice styles","type":"article-journal","volume":"15"},"uris":["http://www.mendeley.com/documents/?uuid=d84d6249-e68c-4180-a434-bcb5a076e628"]},{"id":"ITEM-3","itemData":{"abstract":"Drawing on three studies using data from six separate samples of 1151 health care customers, the authors investigate cocreative customer practices, modeling the effects of customer value cocreation practices on well-being. Results highlight that while positive interactions with medical staff (doctors) lead to increased well-being through engaging in coproducing treatment options, interactions with friends and family and their associated cocreated activities have an even greater positive effect on well-being. Furthermore, several other customer-directed activities have positive indirect effects. Interestingly, activities requiring change can have a negative effect on well-being, except in psychological illnesses, where the opposite is true. The authors conclude with theoretical and managerial implications, highlighting that if interactions and activities with medical professionals are supplemented with customer-directed activities, the positive effect on well-being is significantly enhanced.","author":[{"dropping-particle":"","family":"McColl-Kennedy","given":"Janet R","non-dropping-particle":"","parse-names":false,"suffix":""},{"dropping-particle":"","family":"Hogan","given":"Suellen J","non-dropping-particle":"","parse-names":false,"suffix":""},{"dropping-particle":"","family":"Witell","given":"Lars","non-dropping-particle":"","parse-names":false,"suffix":""},{"dropping-particle":"","family":"Snyder","given":"Hannah","non-dropping-particle":"","parse-names":false,"suffix":""}],"container-title":"Journal of Business Research","id":"ITEM-3","issue":"C","issued":{"date-parts":[["2017"]]},"page":"55-66","title":"Cocreative customer practices: Effects of health care customer value cocreation practices on well-being","type":"article-journal","volume":"70"},"uris":["http://www.mendeley.com/documents/?uuid=2c4b7c31-8556-45d6-a921-6541a54520fb"]}],"mendeley":{"formattedCitation":"(Frow et al., 2016a; McColl-Kennedy et al., 2012a, 2017)","manualFormatting":"(Frow et al., 2016; McColl-Kennedy et al., 2012, 2017)","plainTextFormattedCitation":"(Frow et al., 2016a; McColl-Kennedy et al., 2012a, 2017)","previouslyFormattedCitation":"(Frow et al., 2016a; McColl-Kennedy et al., 2012a,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(Frow et al., 2016; McColl-Kennedy et al., 2012, 2017)</w:t>
      </w:r>
      <w:r w:rsidRPr="005459E6">
        <w:rPr>
          <w:rFonts w:ascii="Times New Roman" w:hAnsi="Times New Roman" w:cs="Times New Roman"/>
        </w:rPr>
        <w:fldChar w:fldCharType="end"/>
      </w:r>
      <w:r w:rsidRPr="005459E6">
        <w:rPr>
          <w:rFonts w:ascii="Times New Roman" w:hAnsi="Times New Roman" w:cs="Times New Roman"/>
        </w:rPr>
        <w:t xml:space="preserve">. It also reflected how positive affect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{"citationItems":[{"id":"ITEM-1","itemData":{"DOI":"10.1037/a0027448","ISBN":"1939-1455(Electronic),0033-2909(Print)","abstract":"This review investigates the association between positive psychological well-being (PPWB) and cardiovascular disease (CVD). We also consider the mechanisms by which PPWB may be linked with CVD, focusing on the health behaviors (e.g., smoking, alcohol consumption, physical activity, sleep quality and quantity, and food consumption) and biological functions (e.g., cardiovascular, inflammatory, and metabolic processes) that are most relevant for cardiovascular health. Because PPWB is a broad concept, not all aspects of PPWB may be associated with cardiovascular health. Thus, we distinguish between eudaimonic well-being, hedonic well-being, optimism, and other measures of well-being when reviewing the literature. Findings suggest that PPWB protects consistently against CVD, independently of traditional risk factors and ill-being. Specifically, optimism is most robustly associated with a reduced risk of cardiovascular events. In general, PPWB is also positively associated with restorative health behaviors and biological function and inversely associated with deteriorative health behaviors and biological function. Cardiovascular health is more consistently associated with optimism and hedonic well-being than with eudaimonic well-being, although this could be due in part to more limited evidence being available concerning eudaimonic well-being. Some similarities were also evident across different measures of PPWB, which is likely due to measurement overlap. A theoretical context for this research is provided, and suggestions for future research are given, including the need for additional prospective investigations and research that includes multiple constructs of psychological well-being and ill-being. (PsycInfo Database Record (c) 2020 APA, all rights reserved)","author":[{"dropping-particle":"","family":"Boehm","given":"Julia K","non-dropping-particle":"","parse-names":false,"suffix":""},{"dropping-particle":"","family":"Kubzansky","given":"Laura D","non-dropping-particle":"","parse-names":false,"suffix":""}],"container-title":"Psychological Bulletin","id":"ITEM-1","issue":"4","issued":{"date-parts":[["2012"]]},"page":"655-691","publisher":"American Psychological Association","publisher-place":"Boehm, Julia K.: Department of Society, Human Development, and Health, Harvard School of Public Health, Landmark Center, Room 428A, 401 Park Drive, Boston, MA, US, 02215, jboehm@hsph.harvard.edu","title":"The heart's content: The association between positive psychological well-being and cardiovascular health.","type":"article","volume":"138"},"uris":["http://www.mendeley.com/documents/?uuid=f1806af5-fc76-4d70-a74f-38b17b9beb4f"]},{"id":"ITEM-2","itemData":{"DOI":"10.1098/rstb.2004.1521","ISSN":"09628436","PMID":"15347530","abstract":"Two key types of well-being, eudaimonic and hedonic, are reviewed. The first addresses ideas of self-development, personal growth and purposeful engagement, while the second is concerned with positive feelings such as happiness and contentment. How well-being varies by age and socio-economic standing is briefly summarized, followed by examination of its biological correlates (neuroendocrine, immune, cardiovascular, rapid eye movement (REM) sleep). Preliminary findings on a sample of ageing women showed that those with higher levels of eudaimonic well-being had lower levels of daily salivary cortisol, pro-inflammatory cytokines, cardiovascular risk, and longer duration REM sleep compared with those showing lower levels of eudaimonic well-being. Hedonic well-being, however, showed minimal linkage to biomarker assessments. Future research directions building on these initial findings are discussed.","author":[{"dropping-particle":"","family":"Ryff","given":"Carol D.","non-dropping-particle":"","parse-names":false,"suffix":""},{"dropping-particle":"","family":"Singer","given":"Burton H.","non-dropping-particle":"","parse-names":false,"suffix":""},{"dropping-particle":"","family":"Love","given":"Gayle Dienberg","non-dropping-particle":"","parse-names":false,"suffix":""}],"container-title":"Philosophical Transactions of the Royal Society B: Biological Sciences","id":"ITEM-2","issue":"1449","issued":{"date-parts":[["2004"]]},"page":"1383-1394","title":"Positive health: Connecting well-being with biology","type":"article-journal","volume":"359"},"uris":["http://www.mendeley.com/documents/?uuid=c90fab42-1814-43e9-af54-dc5aa92fa09a"]}],"mendeley":{"formattedCitation":"(Boehm &amp; Kubzansky, 2012; Ryff et al., 2004)","plainTextFormattedCitation":"(Boehm &amp; Kubzansky, 2012; Ryff et al., 2004)","previouslyFormattedCitation":"(Boehm &amp; Kubzansky, 2012; Ryff et al., 2004)"},"properties":{"noteIndex":0},"schema":"https://github.com/citation-style-language/schema/raw/master/csl-citation.json"}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(Boehm &amp; Kubzansky, 2012; Ryff et al., 2004)</w:t>
      </w:r>
      <w:r w:rsidRPr="005459E6">
        <w:rPr>
          <w:rFonts w:ascii="Times New Roman" w:hAnsi="Times New Roman" w:cs="Times New Roman"/>
        </w:rPr>
        <w:fldChar w:fldCharType="end"/>
      </w:r>
      <w:r w:rsidRPr="005459E6">
        <w:rPr>
          <w:rFonts w:ascii="Times New Roman" w:hAnsi="Times New Roman" w:cs="Times New Roman"/>
        </w:rPr>
        <w:t xml:space="preserve"> can impact Psychological </w:t>
      </w:r>
      <w:r w:rsidR="001323DB" w:rsidRPr="005459E6">
        <w:rPr>
          <w:rFonts w:ascii="Times New Roman" w:hAnsi="Times New Roman" w:cs="Times New Roman"/>
        </w:rPr>
        <w:t>well-</w:t>
      </w:r>
      <w:r w:rsidRPr="005459E6">
        <w:rPr>
          <w:rFonts w:ascii="Times New Roman" w:hAnsi="Times New Roman" w:cs="Times New Roman"/>
        </w:rPr>
        <w:t xml:space="preserve">being. </w:t>
      </w:r>
    </w:p>
    <w:p w14:paraId="22072281" w14:textId="25BC7291" w:rsidR="00B91E54" w:rsidRPr="005459E6" w:rsidRDefault="00B91E54" w:rsidP="00B91E54">
      <w:pPr>
        <w:spacing w:line="360" w:lineRule="auto"/>
        <w:jc w:val="both"/>
        <w:rPr>
          <w:rFonts w:ascii="Times New Roman" w:hAnsi="Times New Roman" w:cs="Times New Roman"/>
        </w:rPr>
      </w:pPr>
      <w:r w:rsidRPr="005459E6">
        <w:rPr>
          <w:rFonts w:ascii="Times New Roman" w:hAnsi="Times New Roman" w:cs="Times New Roman"/>
        </w:rPr>
        <w:t xml:space="preserve">Through </w:t>
      </w:r>
      <w:r w:rsidR="001323DB" w:rsidRPr="005459E6">
        <w:rPr>
          <w:rFonts w:ascii="Times New Roman" w:hAnsi="Times New Roman" w:cs="Times New Roman"/>
        </w:rPr>
        <w:t xml:space="preserve">the </w:t>
      </w:r>
      <w:r w:rsidRPr="005459E6">
        <w:rPr>
          <w:rFonts w:ascii="Times New Roman" w:hAnsi="Times New Roman" w:cs="Times New Roman"/>
        </w:rPr>
        <w:t xml:space="preserve">SD-L lens </w:t>
      </w:r>
      <w:r w:rsidRPr="005459E6">
        <w:rPr>
          <w:rFonts w:ascii="Times New Roman" w:hAnsi="Times New Roman" w:cs="Times New Roman"/>
        </w:rPr>
        <w:fldChar w:fldCharType="begin" w:fldLock="1"/>
      </w:r>
      <w:r w:rsidR="00C812F7" w:rsidRPr="005459E6">
        <w:rPr>
          <w:rFonts w:ascii="Times New Roman" w:hAnsi="Times New Roman" w:cs="Times New Roman"/>
        </w:rPr>
        <w:instrText>ADDIN CSL_CITATION {"citationItems":[{"id":"ITEM-1","itemData":{"ISSN":"0092-0703","author":[{"dropping-particle":"","family":"Vargo","given":"Stephen L","non-dropping-particle":"","parse-names":false,"suffix":""},{"dropping-particle":"","family":"Lusch","given":"Robert F","non-dropping-particle":"","parse-names":false,"suffix":""}],"container-title":"Journal of the Academy of marketing Science","id":"ITEM-1","issue":"1","issued":{"date-parts":[["2008"]]},"page":"1-10","publisher":"Springer","title":"Service-dominant logic: continuing the evolution","type":"article-journal","volume":"36"},"uris":["http://www.mendeley.com/documents/?uuid=d319439f-4604-4c24-a19e-dda8bb170ebf"]}],"mendeley":{"formattedCitation":"(S. L. Vargo &amp; Lusch, 2008)","manualFormatting":"(Vargo &amp; Lusch, 2008)","plainTextFormattedCitation":"(S. L. Vargo &amp; Lusch, 2008)","previouslyFormattedCitation":"(S. L. Vargo &amp; Lusch, 2008)"},"properties":{"noteIndex":0},"schema":"https://github.com/citation-style-language/schema/raw/master/csl-citation.json"}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(Vargo &amp; Lusch, 2008)</w:t>
      </w:r>
      <w:r w:rsidRPr="005459E6">
        <w:rPr>
          <w:rFonts w:ascii="Times New Roman" w:hAnsi="Times New Roman" w:cs="Times New Roman"/>
        </w:rPr>
        <w:fldChar w:fldCharType="end"/>
      </w:r>
      <w:r w:rsidRPr="005459E6">
        <w:rPr>
          <w:rFonts w:ascii="Times New Roman" w:hAnsi="Times New Roman" w:cs="Times New Roman"/>
        </w:rPr>
        <w:t xml:space="preserve">  Research Question 2 provides clarity on the enactments of these elements that also co-create the value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{"citationItems":[{"id":"ITEM-1","itemData":{"DOI":"10.1080/10978526.2020.1802286","ISSN":"15286932","abstract":"In recent decades, healthcare innovation improvements in product technology, treatments, and care delivery have successfully increased patient life expectancy and quality of life, and made access to care, treatments, and diagnostic-path options easier. Innovation in healthcare is also generating efficiency, reducing costs and human errors. Due to this bivalent behavior, innovation is playing a fundamental role in the healthcare ecosystem scenario. With a growing focus on innovation, interaction among healthcare actors is constantly increasing and improving care outcomes, providing a more personalized care, and bringing a new way to provide and co-create value. This study presents a systematic literature review, seeking to analyze and summarize the evidence regarding how service innovation in healthcare is promoting personalized care solutions and how the increasing interaction between healthcare actors is generating new ways to co-create value.","author":[{"dropping-particle":"","family":"Guarcello","given":"Claudio","non-dropping-particle":"","parse-names":false,"suffix":""},{"dropping-particle":"","family":"Vargas","given":"Eduardo Raupp","non-dropping-particle":"de","parse-names":false,"suffix":""}],"container-title":"Latin American Business Review","id":"ITEM-1","issue":"4","issued":{"date-parts":[["2020"]]},"page":"353-369","title":"Service Innovation in Healthcare: A Systematic Literature Review","type":"article-journal","volume":"21"},"uris":["http://www.mendeley.com/documents/?uuid=70164fd7-7965-4e67-9878-2f753f3451d4"]}],"mendeley":{"formattedCitation":"(Guarcello &amp; de Vargas, 2020)","plainTextFormattedCitation":"(Guarcello &amp; de Vargas, 2020)","previouslyFormattedCitation":"(Guarcello &amp; de Vargas, 2020)"},"properties":{"noteIndex":0},"schema":"https://github.com/citation-style-language/schema/raw/master/csl-citation.json"}</w:instrText>
      </w:r>
      <w:r w:rsidRPr="005459E6">
        <w:rPr>
          <w:rFonts w:ascii="Times New Roman" w:hAnsi="Times New Roman" w:cs="Times New Roman"/>
        </w:rPr>
        <w:fldChar w:fldCharType="separate"/>
      </w:r>
      <w:r w:rsidR="000B0CE8" w:rsidRPr="005459E6">
        <w:rPr>
          <w:rFonts w:ascii="Times New Roman" w:hAnsi="Times New Roman" w:cs="Times New Roman"/>
          <w:noProof/>
        </w:rPr>
        <w:t>(Guarcello &amp; de Vargas, 2020)</w:t>
      </w:r>
      <w:r w:rsidRPr="005459E6">
        <w:rPr>
          <w:rFonts w:ascii="Times New Roman" w:hAnsi="Times New Roman" w:cs="Times New Roman"/>
        </w:rPr>
        <w:fldChar w:fldCharType="end"/>
      </w:r>
      <w:r w:rsidRPr="005459E6">
        <w:rPr>
          <w:rFonts w:ascii="Times New Roman" w:hAnsi="Times New Roman" w:cs="Times New Roman"/>
        </w:rPr>
        <w:t xml:space="preserve"> in </w:t>
      </w:r>
      <w:r w:rsidR="00D32E7A" w:rsidRPr="005459E6">
        <w:rPr>
          <w:rFonts w:ascii="Times New Roman" w:hAnsi="Times New Roman" w:cs="Times New Roman"/>
        </w:rPr>
        <w:t>an</w:t>
      </w:r>
      <w:r w:rsidRPr="005459E6">
        <w:rPr>
          <w:rFonts w:ascii="Times New Roman" w:hAnsi="Times New Roman" w:cs="Times New Roman"/>
        </w:rPr>
        <w:t xml:space="preserve"> organization. This RQ reflects how individual well-being and technological convergence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Ženka","given":"Jan","non-dropping-particle":"","parse-names":false,"suffix":""},{"dropping-particle":"","family":"Macháček","given":"Jan","non-dropping-particle":"","parse-names":false,"suffix":""},{"dropping-particle":"","family":"Michna","given":"Pavel","non-dropping-particle":"","parse-names":false,"suffix":""},{"dropping-particle":"","family":"Kořízek","given":"Pavel","non-dropping-particle":"","parse-names":false,"suffix":""}],"container-title":"International Journal of Environmental Research and Public Health","id":"ITEM-1","issue":"3","issued":{"date-parts":[["2021"]]},"page":"974","publisher":"Multidisciplinary Digital Publishing Institute","title":"Navigational Needs and Preferences of Hospital Patients and Visitors: What Prospects for Smart Technologies?","type":"article-journal","volume":"18"},"uris":["http://www.mendeley.com/documents/?uuid=1efebefd-7002-4d70-ae1d-5983b069d09c"]},{"id":"ITEM-2","itemData":{"DOI":"10.1177/2394964318809152","ISSN":"2394-9643","author":[{"dropping-particle":"","family":"Mele","given":"Cristina","non-dropping-particle":"","parse-names":false,"suffix":""},{"dropping-particle":"","family":"Spena","given":"Tiziana Russo","non-dropping-particle":"","parse-names":false,"suffix":""},{"dropping-particle":"","family":"Peschiera","given":"Silvia","non-dropping-particle":"","parse-names":false,"suffix":""}],"container-title":"Journal of Creating Value","id":"ITEM-2","issue":"2","issued":{"date-parts":[["2018","11","1"]]},"note":"doi: 10.1177/2394964318809152","page":"182-195","publisher":"SAGE Publications India","title":"Value Creation and Cognitive Technologies: Opportunities and Challenges","type":"article-journal","volume":"4"},"uris":["http://www.mendeley.com/documents/?uuid=500bebca-bf7b-409f-89c5-c49952ac36a6"]}],"mendeley":{"formattedCitation":"(Mele et al., 2018; Ženka et al., 2021)","plainTextFormattedCitation":"(Mele et al., 2018; Ženka et al., 2021)","previouslyFormattedCitation":"(Mele et al., 2018; Ženka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et al., 2018; Ženka et al., 2021)</w:t>
      </w:r>
      <w:r w:rsidRPr="005459E6">
        <w:rPr>
          <w:rFonts w:ascii="Times New Roman" w:hAnsi="Times New Roman" w:cs="Times New Roman"/>
        </w:rPr>
        <w:fldChar w:fldCharType="end"/>
      </w:r>
      <w:r w:rsidRPr="005459E6">
        <w:rPr>
          <w:rFonts w:ascii="Times New Roman" w:hAnsi="Times New Roman" w:cs="Times New Roman"/>
        </w:rPr>
        <w:t xml:space="preserve"> </w:t>
      </w:r>
      <w:r w:rsidR="001323DB" w:rsidRPr="005459E6">
        <w:rPr>
          <w:rFonts w:ascii="Times New Roman" w:hAnsi="Times New Roman" w:cs="Times New Roman"/>
        </w:rPr>
        <w:t>translate</w:t>
      </w:r>
      <w:r w:rsidRPr="005459E6">
        <w:rPr>
          <w:rFonts w:ascii="Times New Roman" w:hAnsi="Times New Roman" w:cs="Times New Roman"/>
        </w:rPr>
        <w:t xml:space="preserve"> into workplace productivity.</w:t>
      </w:r>
    </w:p>
    <w:p w14:paraId="2A1514B2" w14:textId="77777777" w:rsidR="00FF5C98" w:rsidRPr="005459E6" w:rsidRDefault="00FF5C98" w:rsidP="00B91E54">
      <w:pPr>
        <w:spacing w:line="360" w:lineRule="auto"/>
        <w:jc w:val="both"/>
        <w:rPr>
          <w:rFonts w:ascii="Times New Roman" w:hAnsi="Times New Roman" w:cs="Times New Roman"/>
        </w:rPr>
      </w:pPr>
    </w:p>
    <w:p w14:paraId="7A2FDF79" w14:textId="77777777" w:rsidR="00427574" w:rsidRPr="005459E6" w:rsidRDefault="00427574" w:rsidP="00B91E54">
      <w:pPr>
        <w:spacing w:line="360" w:lineRule="auto"/>
        <w:jc w:val="both"/>
        <w:rPr>
          <w:rFonts w:ascii="Times New Roman" w:hAnsi="Times New Roman" w:cs="Times New Roman"/>
        </w:rPr>
      </w:pPr>
    </w:p>
    <w:p w14:paraId="00054704" w14:textId="5B1489DB" w:rsidR="00BC01E2" w:rsidRPr="005459E6" w:rsidRDefault="00B91E54" w:rsidP="00B91E54">
      <w:pPr>
        <w:spacing w:line="360" w:lineRule="auto"/>
        <w:jc w:val="both"/>
        <w:rPr>
          <w:rFonts w:ascii="Times New Roman" w:hAnsi="Times New Roman" w:cs="Times New Roman"/>
        </w:rPr>
      </w:pPr>
      <w:r w:rsidRPr="005459E6">
        <w:rPr>
          <w:rFonts w:ascii="Times New Roman" w:hAnsi="Times New Roman" w:cs="Times New Roman"/>
        </w:rPr>
        <w:t xml:space="preserve">The presented thesis </w:t>
      </w:r>
      <w:r w:rsidR="00BD704F" w:rsidRPr="005459E6">
        <w:rPr>
          <w:rFonts w:ascii="Times New Roman" w:hAnsi="Times New Roman" w:cs="Times New Roman"/>
        </w:rPr>
        <w:t xml:space="preserve">further </w:t>
      </w:r>
      <w:r w:rsidRPr="005459E6">
        <w:rPr>
          <w:rFonts w:ascii="Times New Roman" w:hAnsi="Times New Roman" w:cs="Times New Roman"/>
        </w:rPr>
        <w:t xml:space="preserve">looks forward to fulfilling service research priorities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{"citationItems":[{"id":"ITEM-1","itemData":{"DOI":"10.1177/10946705211031302","ISSN":"1094-6705","abstract":"This article utilizes input from service scholars, practitioners, reviews of published literature, and influential policy documents to identify service research priorities that push the boundaries of extant research. In a companion piece, we focused on four service research priorities related to managing and delivering service in turbulent times. Further, we identified a set of stakeholder-wants from the literature and included research questions that tie key stakeholder-wants to each of the three priorities in this article and the four priorities in the companion article. Here, we highlight the critical importance of scholarship and practice related to the design of sustainable service ecosystems and discuss three key service research priorities: large-scale and complex service ecosystems for transformative impact (SRP5), platform ecosystems and marketplaces (SRP6), and services for disadvantaged consumers and communities (SRP7). We call for an engaged service scholarship that considers the interrelationships among consumers, organizations, employees, platforms, and societal institutions and pursues transformative goals.","author":[{"dropping-particle":"","family":"Field","given":"Joy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Ostrom","given":"Amy L.","non-dropping-particle":"","parse-names":false,"suffix":""},{"dropping-particle":"","family":"Lemon","given":"Katherine N.","non-dropping-particle":"","parse-names":false,"suffix":""},{"dropping-particle":"","family":"Huang","given":"Ming-Hui","non-dropping-particle":"","parse-names":false,"suffix":""},{"dropping-particle":"","family":"McColl-Kennedy","given":"Janet R.","non-dropping-particle":"","parse-names":false,"suffix":""}],"container-title":"Journal of Service Research","id":"ITEM-1","issue":"0","issued":{"date-parts":[["2021"]]},"page":"109467052110313","title":"Service Research Priorities: Designing Sustainable Service Ecosystems","type":"article-journal","volume":"0"},"uris":["http://www.mendeley.com/documents/?uuid=cd01a098-8ca8-4cd8-b914-3a6abf45f098"]},{"id":"ITEM-2","itemData":{"DOI":"10.1177/10946705211021915","ISSN":"15527379","abstract":"Transformative changes in the societal and service context call out for the service discipline to develop a coherent set of priorities for research and practice. To this end, we utilized multiple data sources: surveys of service scholars and practitioners, web scraping of online documents, a review of published service scholarship, and roundtable discussions conducted at the world’s foremost service research centers. We incorporated innovative methodologies, including machine learning, natural language processing, and qualitative analyses, to identify key service research priorities that are critical to address during these turbulent times. The first two priorities—technology and the changing nature of work and technology and the customer experience—focus on leveraging technology for service provision and consumption. The next two priorities—resource and capability constraints and customer proactivity for well-being—focus on responding to the changing needs of multiple stakeholders. Further, we identified a set of stakeholder-wants from the literature and include research questions that tie key stakeholder-wants to each of the four priorities. We believe the set of research priorities in the present article offer actionable ideas for service research directions in this challenging environment.","author":[{"dropping-particle":"","family":"Ostrom","given":"Amy L.","non-dropping-particle":"","parse-names":false,"suffix":""},{"dropping-particle":"","family":"Field","given":"Joy M.","non-dropping-particle":"","parse-names":false,"suffix":""},{"dropping-particle":"","family":"Fotheringham","given":"Darima","non-dropping-particle":"","parse-names":false,"suffix":""},{"dropping-particle":"","family":"Subramony","given":"Mahesh","non-dropping-particle":"","parse-names":false,"suffix":""},{"dropping-particle":"","family":"Gustafsson","given":"Anders","non-dropping-particle":"","parse-names":false,"suffix":""},{"dropping-particle":"","family":"Lemon","given":"Katherine N.","non-dropping-particle":"","parse-names":false,"suffix":""},{"dropping-particle":"","family":"Huang","given":"Ming Hui","non-dropping-particle":"","parse-names":false,"suffix":""},{"dropping-particle":"","family":"McColl-Kennedy","given":"Janet R.","non-dropping-particle":"","parse-names":false,"suffix":""}],"container-title":"Journal of Service Research","id":"ITEM-2","issue":"3","issued":{"date-parts":[["2021"]]},"page":"329-353","title":"Service Research Priorities: Managing and Delivering Service in Turbulent Times","type":"article-journal","volume":"24"},"uris":["http://www.mendeley.com/documents/?uuid=69747d6e-268d-4378-b9bf-d191cb6a8d99"]}],"mendeley":{"formattedCitation":"(J. M. Field et al., 2021; Ostrom et al., 2021)","manualFormatting":"(Field et al., 2021; Ostrom et al., 2021)","plainTextFormattedCitation":"(J. M. Field et al., 2021; Ostrom et al., 2021)","previouslyFormattedCitation":"(J. M. Field et al., 2021; Ostrom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et al., 2021; Ostrom et al., 2021)</w:t>
      </w:r>
      <w:r w:rsidRPr="005459E6">
        <w:rPr>
          <w:rFonts w:ascii="Times New Roman" w:hAnsi="Times New Roman" w:cs="Times New Roman"/>
        </w:rPr>
        <w:fldChar w:fldCharType="end"/>
      </w:r>
      <w:r w:rsidRPr="005459E6">
        <w:rPr>
          <w:rFonts w:ascii="Times New Roman" w:hAnsi="Times New Roman" w:cs="Times New Roman"/>
        </w:rPr>
        <w:t xml:space="preserve"> by addressing,</w:t>
      </w:r>
    </w:p>
    <w:p w14:paraId="09107780" w14:textId="77777777" w:rsidR="006D7E9B" w:rsidRDefault="006D7E9B" w:rsidP="00B91E54">
      <w:pPr>
        <w:spacing w:line="360" w:lineRule="auto"/>
        <w:jc w:val="both"/>
        <w:rPr>
          <w:rFonts w:ascii="Times New Roman" w:hAnsi="Times New Roman" w:cs="Times New Roman"/>
          <w:b/>
          <w:bCs/>
        </w:rPr>
      </w:pPr>
    </w:p>
    <w:p w14:paraId="44E8C396" w14:textId="77777777" w:rsidR="001D5F9A" w:rsidRPr="005459E6" w:rsidRDefault="001D5F9A" w:rsidP="00B91E54">
      <w:pPr>
        <w:spacing w:line="360" w:lineRule="auto"/>
        <w:jc w:val="both"/>
        <w:rPr>
          <w:rFonts w:ascii="Times New Roman" w:hAnsi="Times New Roman" w:cs="Times New Roman"/>
          <w:b/>
          <w:bCs/>
        </w:rPr>
      </w:pPr>
    </w:p>
    <w:p w14:paraId="3EC09D3C" w14:textId="15BCDA54" w:rsidR="00B91E5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Objective 1:</w:t>
      </w:r>
    </w:p>
    <w:p w14:paraId="7E5CD744" w14:textId="77777777" w:rsidR="00B91E5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Explore the role of positive emotions on Psychological Well-being using AI</w:t>
      </w:r>
      <w:bookmarkStart w:id="138" w:name="_Hlk89589075"/>
    </w:p>
    <w:p w14:paraId="522A2616" w14:textId="77777777" w:rsidR="00EA36E0" w:rsidRPr="005459E6" w:rsidRDefault="00EA36E0" w:rsidP="00B91E54">
      <w:pPr>
        <w:spacing w:line="360" w:lineRule="auto"/>
        <w:jc w:val="both"/>
        <w:rPr>
          <w:rFonts w:ascii="Times New Roman" w:hAnsi="Times New Roman" w:cs="Times New Roman"/>
          <w:b/>
          <w:bCs/>
        </w:rPr>
      </w:pPr>
    </w:p>
    <w:p w14:paraId="3C7969B6" w14:textId="7B895B2D" w:rsidR="0042757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RQ1: Do Individual Lifestyle, Age and Emotional states significantly predict Stress?</w:t>
      </w:r>
      <w:bookmarkStart w:id="139" w:name="_Hlk89513977"/>
      <w:bookmarkEnd w:id="138"/>
    </w:p>
    <w:p w14:paraId="0ED48F9A" w14:textId="199D23F7" w:rsidR="00B91E54" w:rsidRPr="005459E6" w:rsidRDefault="00B91E54" w:rsidP="00B91E54">
      <w:pPr>
        <w:spacing w:line="360" w:lineRule="auto"/>
        <w:jc w:val="both"/>
        <w:rPr>
          <w:rFonts w:ascii="Times New Roman" w:hAnsi="Times New Roman" w:cs="Times New Roman"/>
          <w:i/>
          <w:iCs/>
        </w:rPr>
      </w:pPr>
      <w:r w:rsidRPr="005459E6">
        <w:rPr>
          <w:rFonts w:ascii="Times New Roman" w:hAnsi="Times New Roman" w:cs="Times New Roman"/>
          <w:i/>
          <w:iCs/>
        </w:rPr>
        <w:t>Ho: Individual Lifestyle, Age and Emotional states do not significantly predict Stress.</w:t>
      </w:r>
    </w:p>
    <w:bookmarkEnd w:id="139"/>
    <w:p w14:paraId="0B95AD50" w14:textId="77777777" w:rsidR="00B91E54" w:rsidRPr="005459E6" w:rsidRDefault="00B91E54" w:rsidP="00B91E54">
      <w:pPr>
        <w:spacing w:line="360" w:lineRule="auto"/>
        <w:jc w:val="both"/>
        <w:rPr>
          <w:rFonts w:ascii="Times New Roman" w:hAnsi="Times New Roman" w:cs="Times New Roman"/>
          <w:i/>
          <w:iCs/>
        </w:rPr>
      </w:pPr>
      <w:r w:rsidRPr="005459E6">
        <w:rPr>
          <w:rFonts w:ascii="Times New Roman" w:hAnsi="Times New Roman" w:cs="Times New Roman"/>
          <w:i/>
          <w:iCs/>
        </w:rPr>
        <w:t>Ha: Individual Lifestyle, Age and Emotional states significantly predict Stress.</w:t>
      </w:r>
    </w:p>
    <w:p w14:paraId="0826898B" w14:textId="77777777" w:rsidR="00B91E54" w:rsidRPr="005459E6" w:rsidRDefault="00B91E54" w:rsidP="00B91E54">
      <w:pPr>
        <w:spacing w:line="360" w:lineRule="auto"/>
        <w:jc w:val="both"/>
        <w:rPr>
          <w:rFonts w:ascii="Times New Roman" w:hAnsi="Times New Roman" w:cs="Times New Roman"/>
        </w:rPr>
      </w:pPr>
    </w:p>
    <w:p w14:paraId="355C6B97" w14:textId="77777777" w:rsidR="00EA36E0" w:rsidRPr="005459E6" w:rsidRDefault="00EA36E0" w:rsidP="00B91E54">
      <w:pPr>
        <w:spacing w:line="360" w:lineRule="auto"/>
        <w:jc w:val="both"/>
        <w:rPr>
          <w:rFonts w:ascii="Times New Roman" w:hAnsi="Times New Roman" w:cs="Times New Roman"/>
        </w:rPr>
      </w:pPr>
    </w:p>
    <w:p w14:paraId="7F976C39" w14:textId="77777777" w:rsidR="00B91E5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Objective 2:</w:t>
      </w:r>
    </w:p>
    <w:p w14:paraId="6F1FBB4B" w14:textId="77777777" w:rsidR="00B91E5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 xml:space="preserve">Reflect on co-created value in an organization through individual’s well-being </w:t>
      </w:r>
    </w:p>
    <w:p w14:paraId="4F2CD561" w14:textId="77777777" w:rsidR="00EA36E0" w:rsidRPr="005459E6" w:rsidRDefault="00EA36E0" w:rsidP="00B91E54">
      <w:pPr>
        <w:spacing w:line="360" w:lineRule="auto"/>
        <w:jc w:val="both"/>
        <w:rPr>
          <w:rFonts w:ascii="Times New Roman" w:hAnsi="Times New Roman" w:cs="Times New Roman"/>
          <w:b/>
          <w:bCs/>
        </w:rPr>
      </w:pPr>
    </w:p>
    <w:p w14:paraId="61E8B206" w14:textId="4FDACB2C" w:rsidR="00427574" w:rsidRPr="005459E6" w:rsidRDefault="00B91E54" w:rsidP="00B91E54">
      <w:pPr>
        <w:spacing w:line="360" w:lineRule="auto"/>
        <w:jc w:val="both"/>
        <w:rPr>
          <w:rFonts w:ascii="Times New Roman" w:hAnsi="Times New Roman" w:cs="Times New Roman"/>
          <w:b/>
          <w:bCs/>
        </w:rPr>
      </w:pPr>
      <w:r w:rsidRPr="005459E6">
        <w:rPr>
          <w:rFonts w:ascii="Times New Roman" w:hAnsi="Times New Roman" w:cs="Times New Roman"/>
          <w:b/>
          <w:bCs/>
        </w:rPr>
        <w:t xml:space="preserve">RQ2: Analyze Actors, Resource Integrators and </w:t>
      </w:r>
      <w:r w:rsidR="00D96BF7" w:rsidRPr="005459E6">
        <w:rPr>
          <w:rFonts w:ascii="Times New Roman" w:hAnsi="Times New Roman" w:cs="Times New Roman"/>
          <w:b/>
          <w:bCs/>
        </w:rPr>
        <w:t>C</w:t>
      </w:r>
      <w:r w:rsidRPr="005459E6">
        <w:rPr>
          <w:rFonts w:ascii="Times New Roman" w:hAnsi="Times New Roman" w:cs="Times New Roman"/>
          <w:b/>
          <w:bCs/>
        </w:rPr>
        <w:t>o-created</w:t>
      </w:r>
      <w:r w:rsidR="00D96BF7" w:rsidRPr="005459E6">
        <w:rPr>
          <w:rFonts w:ascii="Times New Roman" w:hAnsi="Times New Roman" w:cs="Times New Roman"/>
          <w:b/>
          <w:bCs/>
        </w:rPr>
        <w:t xml:space="preserve"> Value</w:t>
      </w:r>
      <w:r w:rsidRPr="005459E6">
        <w:rPr>
          <w:rFonts w:ascii="Times New Roman" w:hAnsi="Times New Roman" w:cs="Times New Roman"/>
          <w:b/>
          <w:bCs/>
        </w:rPr>
        <w:t xml:space="preserve"> using technological convergence. </w:t>
      </w:r>
    </w:p>
    <w:p w14:paraId="340B7698" w14:textId="6BC439C2" w:rsidR="00B91E54" w:rsidRPr="005459E6" w:rsidRDefault="00B91E54" w:rsidP="00B91E54">
      <w:pPr>
        <w:spacing w:line="360" w:lineRule="auto"/>
        <w:jc w:val="both"/>
        <w:rPr>
          <w:rFonts w:ascii="Times New Roman" w:hAnsi="Times New Roman" w:cs="Times New Roman"/>
          <w:i/>
          <w:iCs/>
        </w:rPr>
      </w:pPr>
      <w:r w:rsidRPr="005459E6">
        <w:rPr>
          <w:rFonts w:ascii="Times New Roman" w:hAnsi="Times New Roman" w:cs="Times New Roman"/>
          <w:i/>
          <w:iCs/>
        </w:rPr>
        <w:t>Provide insights on the role of technology (of A.I. &amp; IoMT) on Well-being.</w:t>
      </w:r>
    </w:p>
    <w:p w14:paraId="36D1759E" w14:textId="77777777" w:rsidR="00B91E54" w:rsidRPr="005459E6" w:rsidRDefault="00B91E54" w:rsidP="00B91E54">
      <w:pPr>
        <w:spacing w:line="360" w:lineRule="auto"/>
        <w:jc w:val="both"/>
        <w:rPr>
          <w:rFonts w:ascii="Times New Roman" w:hAnsi="Times New Roman" w:cs="Times New Roman"/>
          <w:i/>
          <w:iCs/>
        </w:rPr>
      </w:pPr>
      <w:r w:rsidRPr="005459E6">
        <w:rPr>
          <w:rFonts w:ascii="Times New Roman" w:hAnsi="Times New Roman" w:cs="Times New Roman"/>
          <w:i/>
          <w:iCs/>
        </w:rPr>
        <w:t>Discuss the impact of Well-being on Workplace Productivity and Organizational performance</w:t>
      </w:r>
    </w:p>
    <w:p w14:paraId="5A8F3FD3" w14:textId="77777777" w:rsidR="00EF5756" w:rsidRPr="005459E6" w:rsidRDefault="00EF5756" w:rsidP="00042CB0">
      <w:pPr>
        <w:spacing w:line="360" w:lineRule="auto"/>
        <w:jc w:val="both"/>
        <w:rPr>
          <w:rFonts w:ascii="Times New Roman" w:hAnsi="Times New Roman" w:cs="Times New Roman"/>
          <w:sz w:val="20"/>
          <w:szCs w:val="20"/>
        </w:rPr>
      </w:pPr>
    </w:p>
    <w:p w14:paraId="6AC77CA5" w14:textId="77777777" w:rsidR="00850F03" w:rsidRPr="005459E6" w:rsidRDefault="00850F03" w:rsidP="00042CB0">
      <w:pPr>
        <w:spacing w:line="360" w:lineRule="auto"/>
        <w:jc w:val="both"/>
        <w:rPr>
          <w:rFonts w:ascii="Times New Roman" w:hAnsi="Times New Roman" w:cs="Times New Roman"/>
        </w:rPr>
      </w:pPr>
    </w:p>
    <w:p w14:paraId="7F0FEC3B" w14:textId="77777777" w:rsidR="00AF722C" w:rsidRPr="005459E6" w:rsidRDefault="00AF722C" w:rsidP="00042CB0">
      <w:pPr>
        <w:spacing w:line="360" w:lineRule="auto"/>
        <w:jc w:val="both"/>
        <w:rPr>
          <w:rFonts w:ascii="Times New Roman" w:hAnsi="Times New Roman" w:cs="Times New Roman"/>
        </w:rPr>
      </w:pPr>
    </w:p>
    <w:p w14:paraId="06963EB4" w14:textId="77777777" w:rsidR="00427574" w:rsidRPr="005459E6" w:rsidRDefault="00427574" w:rsidP="00042CB0">
      <w:pPr>
        <w:spacing w:line="360" w:lineRule="auto"/>
        <w:jc w:val="both"/>
        <w:rPr>
          <w:rFonts w:ascii="Times New Roman" w:hAnsi="Times New Roman" w:cs="Times New Roman"/>
        </w:rPr>
      </w:pPr>
    </w:p>
    <w:p w14:paraId="0DC09470" w14:textId="77777777" w:rsidR="00864DC8" w:rsidRPr="005459E6" w:rsidRDefault="00864DC8" w:rsidP="00042CB0">
      <w:pPr>
        <w:pStyle w:val="Titolo1"/>
        <w:spacing w:line="360" w:lineRule="auto"/>
        <w:jc w:val="both"/>
        <w:rPr>
          <w:rFonts w:ascii="Times New Roman" w:hAnsi="Times New Roman" w:cs="Times New Roman"/>
          <w:b/>
          <w:bCs/>
          <w:color w:val="auto"/>
          <w:sz w:val="22"/>
          <w:szCs w:val="22"/>
        </w:rPr>
      </w:pPr>
      <w:bookmarkStart w:id="140" w:name="_Toc87349498"/>
      <w:bookmarkStart w:id="141" w:name="_Toc87349611"/>
      <w:bookmarkStart w:id="142" w:name="_Toc87349718"/>
      <w:bookmarkStart w:id="143" w:name="_Toc107248292"/>
      <w:r w:rsidRPr="005459E6">
        <w:rPr>
          <w:rFonts w:ascii="Times New Roman" w:hAnsi="Times New Roman" w:cs="Times New Roman"/>
          <w:b/>
          <w:bCs/>
          <w:color w:val="auto"/>
          <w:sz w:val="22"/>
          <w:szCs w:val="22"/>
        </w:rPr>
        <w:lastRenderedPageBreak/>
        <w:t>RESEARCH DESIGN</w:t>
      </w:r>
      <w:bookmarkEnd w:id="140"/>
      <w:bookmarkEnd w:id="141"/>
      <w:bookmarkEnd w:id="142"/>
      <w:bookmarkEnd w:id="143"/>
    </w:p>
    <w:p w14:paraId="1E0DF326"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44" w:name="_Toc73129010"/>
      <w:bookmarkStart w:id="145" w:name="_Toc85542416"/>
      <w:bookmarkStart w:id="146" w:name="_Toc87349499"/>
      <w:bookmarkStart w:id="147" w:name="_Toc87349612"/>
      <w:bookmarkStart w:id="148" w:name="_Toc87349719"/>
      <w:bookmarkStart w:id="149" w:name="_Toc107248293"/>
      <w:r w:rsidRPr="005459E6">
        <w:rPr>
          <w:rFonts w:ascii="Times New Roman" w:hAnsi="Times New Roman" w:cs="Times New Roman"/>
          <w:color w:val="auto"/>
          <w:sz w:val="22"/>
          <w:szCs w:val="22"/>
        </w:rPr>
        <w:t xml:space="preserve">Exploratory </w:t>
      </w:r>
      <w:bookmarkEnd w:id="144"/>
      <w:bookmarkEnd w:id="145"/>
      <w:bookmarkEnd w:id="146"/>
      <w:bookmarkEnd w:id="147"/>
      <w:bookmarkEnd w:id="148"/>
      <w:r w:rsidRPr="005459E6">
        <w:rPr>
          <w:rFonts w:ascii="Times New Roman" w:hAnsi="Times New Roman" w:cs="Times New Roman"/>
          <w:color w:val="auto"/>
          <w:sz w:val="22"/>
          <w:szCs w:val="22"/>
        </w:rPr>
        <w:t>Study</w:t>
      </w:r>
      <w:bookmarkEnd w:id="149"/>
    </w:p>
    <w:p w14:paraId="1650C511" w14:textId="5087B1F7" w:rsidR="006B79B8" w:rsidRPr="005459E6" w:rsidRDefault="00315994" w:rsidP="00042CB0">
      <w:pPr>
        <w:spacing w:line="360" w:lineRule="auto"/>
        <w:jc w:val="both"/>
        <w:rPr>
          <w:rFonts w:ascii="Times New Roman" w:hAnsi="Times New Roman" w:cs="Times New Roman"/>
        </w:rPr>
      </w:pPr>
      <w:r w:rsidRPr="005459E6">
        <w:rPr>
          <w:rFonts w:ascii="Times New Roman" w:hAnsi="Times New Roman" w:cs="Times New Roman"/>
        </w:rPr>
        <w:t xml:space="preserve">The research carried out for the fulfillment of </w:t>
      </w:r>
      <w:r w:rsidR="006475AE" w:rsidRPr="005459E6">
        <w:rPr>
          <w:rFonts w:ascii="Times New Roman" w:hAnsi="Times New Roman" w:cs="Times New Roman"/>
        </w:rPr>
        <w:t xml:space="preserve">the </w:t>
      </w:r>
      <w:r w:rsidR="00F34658" w:rsidRPr="005459E6">
        <w:rPr>
          <w:rFonts w:ascii="Times New Roman" w:hAnsi="Times New Roman" w:cs="Times New Roman"/>
        </w:rPr>
        <w:t>presented study</w:t>
      </w:r>
      <w:r w:rsidRPr="005459E6">
        <w:rPr>
          <w:rFonts w:ascii="Times New Roman" w:hAnsi="Times New Roman" w:cs="Times New Roman"/>
        </w:rPr>
        <w:t xml:space="preserve"> was exploratory by design</w:t>
      </w:r>
      <w:r w:rsidR="00F34658" w:rsidRPr="005459E6">
        <w:rPr>
          <w:rFonts w:ascii="Times New Roman" w:hAnsi="Times New Roman" w:cs="Times New Roman"/>
        </w:rPr>
        <w:t xml:space="preserve"> </w:t>
      </w:r>
      <w:r w:rsidR="00F34658" w:rsidRPr="005459E6">
        <w:rPr>
          <w:rFonts w:ascii="Times New Roman" w:hAnsi="Times New Roman" w:cs="Times New Roman"/>
        </w:rPr>
        <w:fldChar w:fldCharType="begin" w:fldLock="1"/>
      </w:r>
      <w:r w:rsidR="00F34658" w:rsidRPr="005459E6">
        <w:rPr>
          <w:rFonts w:ascii="Times New Roman" w:hAnsi="Times New Roman" w:cs="Times New Roman"/>
        </w:rPr>
        <w:instrText>ADDIN CSL_CITATION {"citationItems":[{"id":"ITEM-1","itemData":{"DOI":"10.46809/jpse.v2i2.20","abstract":"The article positions mixed-method research (MMR) as a principled complementary research method to the traditional quantitative and qualitative research approaches. By situating MMR in an analysis of some of the common research paradigms, the article presents it as a natural choice in order to complement and cater to the increasingly complex needs of contemporary researchers. It proffers MMR as a flexible and adaptive conceptual framework for designing and conducting mixed methods research in a simplified manner. By explaining fundamental principles and major theoretical tenets of a mixed-methods approach, which involves both quantitative and qualitative data collection in response to research questions, it elucidates several benefits of adopting MMR since it integrates post-positivism as well as interpretivism frameworks. There is abundant literature around this research design aiming to provide researchers an understanding of the approach. Yet there is limited literature that provides illustrative guidance to research novices in comprehending mixed methods, understanding reasons for choosing it, and selecting an appropriate mixed methods design. Based on an analysis of some notable works in the field, this article provides an overview of mixed methods designs, discusses its main types, and explains challenges one can potentially encounter when in using them with a view to assisting early career researchers in particular and other researchers in general.","author":[{"dropping-particle":"","family":"Dawadi","given":"Saraswati","non-dropping-particle":"","parse-names":false,"suffix":""},{"dropping-particle":"","family":"Shrestha","given":"Sagun","non-dropping-particle":"","parse-names":false,"suffix":""},{"dropping-particle":"","family":"Giri","given":"Ram A.","non-dropping-particle":"","parse-names":false,"suffix":""}],"container-title":"Journal of Practical Studies in Education","id":"ITEM-1","issue":"2","issued":{"date-parts":[["2021"]]},"page":"25-36","title":"Mixed-Methods Research: A Discussion on its Types, Challenges, and Criticisms","type":"article-journal","volume":"2"},"uris":["http://www.mendeley.com/documents/?uuid=83044bfe-e4dc-481c-9b4d-0d0945175d3b"]}],"mendeley":{"formattedCitation":"(Dawadi et al., 2021)","plainTextFormattedCitation":"(Dawadi et al., 2021)","previouslyFormattedCitation":"(Dawadi et al., 2021)"},"properties":{"noteIndex":0},"schema":"https://github.com/citation-style-language/schema/raw/master/csl-citation.json"}</w:instrText>
      </w:r>
      <w:r w:rsidR="00F34658" w:rsidRPr="005459E6">
        <w:rPr>
          <w:rFonts w:ascii="Times New Roman" w:hAnsi="Times New Roman" w:cs="Times New Roman"/>
        </w:rPr>
        <w:fldChar w:fldCharType="separate"/>
      </w:r>
      <w:r w:rsidR="00F34658" w:rsidRPr="005459E6">
        <w:rPr>
          <w:rFonts w:ascii="Times New Roman" w:hAnsi="Times New Roman" w:cs="Times New Roman"/>
          <w:noProof/>
        </w:rPr>
        <w:t>(Dawadi et al., 2021)</w:t>
      </w:r>
      <w:r w:rsidR="00F34658" w:rsidRPr="005459E6">
        <w:rPr>
          <w:rFonts w:ascii="Times New Roman" w:hAnsi="Times New Roman" w:cs="Times New Roman"/>
        </w:rPr>
        <w:fldChar w:fldCharType="end"/>
      </w:r>
      <w:r w:rsidR="00F34658" w:rsidRPr="005459E6">
        <w:rPr>
          <w:rFonts w:ascii="Times New Roman" w:hAnsi="Times New Roman" w:cs="Times New Roman"/>
        </w:rPr>
        <w:t>.</w:t>
      </w:r>
      <w:r w:rsidR="00C023E2" w:rsidRPr="005459E6">
        <w:rPr>
          <w:rFonts w:ascii="Times New Roman" w:hAnsi="Times New Roman" w:cs="Times New Roman"/>
        </w:rPr>
        <w:t xml:space="preserve"> </w:t>
      </w:r>
      <w:r w:rsidRPr="005459E6">
        <w:rPr>
          <w:rFonts w:ascii="Times New Roman" w:hAnsi="Times New Roman" w:cs="Times New Roman"/>
        </w:rPr>
        <w:t xml:space="preserve">In line with </w:t>
      </w:r>
      <w:r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{"citationItems":[{"id":"ITEM-1","itemData":{"DOI":"10.1007/s11577-017-0454-1","ISSN":"1861891X","abstract":"This article provides researchers with knowledge of how to design a high quality mixed methods research study. To design a mixed study, researchers must understand and carefully consider each of the dimensions of mixed methods design, and always keep an eye on the issue of validity. We explain the seven major design dimensions: purpose, theoretical drive, timing (simultaneity and dependency), point of integration, typological versus interactive design approaches, planned versus emergent design, and design complexity. There also are multiple secondary dimensions that need to be considered during the design process. We explain ten secondary dimensions of design to be considered for each research study. We also provide two case studies showing how the mixed designs were constructed.","author":[{"dropping-particle":"","family":"Schoonenboom","given":"Judith","non-dropping-particle":"","parse-names":false,"suffix":""},{"dropping-particle":"","family":"Johnson","given":"R. Burke","non-dropping-particle":"","parse-names":false,"suffix":""}],"container-title":"Kolner Zeitschrift fur Soziologie und Sozialpsychologie","id":"ITEM-1","issued":{"date-parts":[["2017"]]},"page":"107-131","title":"How to Construct a Mixed Methods Research Design","type":"article-journal","volume":"69"},"uris":["http://www.mendeley.com/documents/?uuid=9c4dbc1f-f166-4f4b-9628-3b9f9b29b73e"]}],"mendeley":{"formattedCitation":"(Schoonenboom &amp; Johnson, 2017)","manualFormatting":"Schoonenboom &amp; Johnson (2017)","plainTextFormattedCitation":"(Schoonenboom &amp; Johnson, 2017)","previouslyFormattedCitation":"(Schoonenboom &amp; Johnson,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Schoonenboom &amp; Johnson </w:t>
      </w:r>
      <w:r w:rsidR="00C023E2" w:rsidRPr="005459E6">
        <w:rPr>
          <w:rFonts w:ascii="Times New Roman" w:hAnsi="Times New Roman" w:cs="Times New Roman"/>
          <w:noProof/>
        </w:rPr>
        <w:t>(</w:t>
      </w:r>
      <w:r w:rsidRPr="005459E6">
        <w:rPr>
          <w:rFonts w:ascii="Times New Roman" w:hAnsi="Times New Roman" w:cs="Times New Roman"/>
          <w:noProof/>
        </w:rPr>
        <w:t>2017)</w:t>
      </w:r>
      <w:r w:rsidRPr="005459E6">
        <w:rPr>
          <w:rFonts w:ascii="Times New Roman" w:hAnsi="Times New Roman" w:cs="Times New Roman"/>
        </w:rPr>
        <w:fldChar w:fldCharType="end"/>
      </w:r>
      <w:r w:rsidRPr="005459E6">
        <w:rPr>
          <w:rFonts w:ascii="Times New Roman" w:hAnsi="Times New Roman" w:cs="Times New Roman"/>
        </w:rPr>
        <w:t xml:space="preserve">, the research was driven by both quantitative and qualitative data, where </w:t>
      </w:r>
      <w:r w:rsidR="00C023E2" w:rsidRPr="005459E6">
        <w:rPr>
          <w:rFonts w:ascii="Times New Roman" w:hAnsi="Times New Roman" w:cs="Times New Roman"/>
        </w:rPr>
        <w:t xml:space="preserve">the </w:t>
      </w:r>
      <w:r w:rsidRPr="005459E6">
        <w:rPr>
          <w:rFonts w:ascii="Times New Roman" w:hAnsi="Times New Roman" w:cs="Times New Roman"/>
        </w:rPr>
        <w:t xml:space="preserve">research design followed a sequence to be able to generate insights. </w:t>
      </w:r>
      <w:r w:rsidR="007C3E91" w:rsidRPr="005459E6">
        <w:rPr>
          <w:rFonts w:ascii="Times New Roman" w:hAnsi="Times New Roman" w:cs="Times New Roman"/>
        </w:rPr>
        <w:t>It included experimentation – with a trial-and-error approach - during the development of this study.</w:t>
      </w:r>
      <w:r w:rsidR="00E654AB" w:rsidRPr="005459E6">
        <w:rPr>
          <w:rFonts w:ascii="Times New Roman" w:hAnsi="Times New Roman" w:cs="Times New Roman"/>
        </w:rPr>
        <w:t xml:space="preserve"> </w:t>
      </w:r>
      <w:r w:rsidRPr="005459E6">
        <w:rPr>
          <w:rFonts w:ascii="Times New Roman" w:hAnsi="Times New Roman" w:cs="Times New Roman"/>
        </w:rPr>
        <w:t xml:space="preserve">It followed ‘Sequential Multiple Methodology’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{"citationItems":[{"id":"ITEM-1","itemData":{"DOI":"10.7191/jeslib.2017.1104","ISSN":"2161-3974","abstract":"This article reports on the integrated findings of an exploratory sequential mixed methods research design aimed to understand data management behaviors and challenges of faculty at the University of Vermont (UVM) in order to develop relevant research data services. The exploratory sequential mixed methods design is characterized by an initial qualitative phase of data collection and analysis, followed by a phase of quantitative data collection and analysis, with a final phase of integration or linking of data from the two separate strands of data. A joint display was used to integrate data focused on the three primary research questions: How do faculty at UVM manage their research data, in particular how do they share and preserve data in the long-term?; What challenges or barriers do UVM faculty face in effectively managing their research data?; and What institutional data management support or services are UVM faculty interested in? As a result of the analysis, this study suggests four major areas of research data services for UVM to address: infrastructure, metadata, data analysis and statistical support, and informational research data services. The implementation of these potential areas of research data services is underscored by the need for cross-campus collaboration and support. Correspondence:","author":[{"dropping-particle":"","family":"Berman","given":"Elizabeth","non-dropping-particle":"","parse-names":false,"suffix":""}],"container-title":"Journal of eScience Librarianship","id":"ITEM-1","issue":"1","issued":{"date-parts":[["2017"]]},"page":"e1104","title":"An Exploratory Sequential Mixed Methods Approach to Understanding Researchers’ Data Management Practices at UVM: Integrated Findings to Develop Research Data Services","type":"article-journal","volume":"6"},"uris":["http://www.mendeley.com/documents/?uuid=17b05fba-342a-4c1e-a857-5ccfe217e63c"]}],"mendeley":{"formattedCitation":"(Berman, 2017)","plainTextFormattedCitation":"(Berman, 2017)","previouslyFormattedCitation":"(Berman,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(Berman, 2017)</w:t>
      </w:r>
      <w:r w:rsidRPr="005459E6">
        <w:rPr>
          <w:rFonts w:ascii="Times New Roman" w:hAnsi="Times New Roman" w:cs="Times New Roman"/>
        </w:rPr>
        <w:fldChar w:fldCharType="end"/>
      </w:r>
      <w:r w:rsidRPr="005459E6">
        <w:rPr>
          <w:rFonts w:ascii="Times New Roman" w:hAnsi="Times New Roman" w:cs="Times New Roman"/>
        </w:rPr>
        <w:t xml:space="preserve">, as shown in </w:t>
      </w:r>
      <w:r w:rsidRPr="005459E6">
        <w:rPr>
          <w:rFonts w:ascii="Times New Roman" w:hAnsi="Times New Roman" w:cs="Times New Roman"/>
          <w:b/>
          <w:bCs/>
        </w:rPr>
        <w:t xml:space="preserve">Figure </w:t>
      </w:r>
      <w:r w:rsidR="00D75B97" w:rsidRPr="005459E6">
        <w:rPr>
          <w:rFonts w:ascii="Times New Roman" w:hAnsi="Times New Roman" w:cs="Times New Roman"/>
          <w:b/>
          <w:bCs/>
        </w:rPr>
        <w:t>6</w:t>
      </w:r>
      <w:r w:rsidR="00717353" w:rsidRPr="005459E6">
        <w:rPr>
          <w:rFonts w:ascii="Times New Roman" w:hAnsi="Times New Roman" w:cs="Times New Roman"/>
          <w:b/>
          <w:bCs/>
        </w:rPr>
        <w:t>,</w:t>
      </w:r>
      <w:r w:rsidRPr="005459E6">
        <w:rPr>
          <w:rFonts w:ascii="Times New Roman" w:hAnsi="Times New Roman" w:cs="Times New Roman"/>
        </w:rPr>
        <w:t xml:space="preserve"> </w:t>
      </w:r>
      <w:r w:rsidR="00717353" w:rsidRPr="005459E6">
        <w:rPr>
          <w:rFonts w:ascii="Times New Roman" w:hAnsi="Times New Roman" w:cs="Times New Roman"/>
        </w:rPr>
        <w:t>which</w:t>
      </w:r>
      <w:r w:rsidRPr="005459E6">
        <w:rPr>
          <w:rFonts w:ascii="Times New Roman" w:hAnsi="Times New Roman" w:cs="Times New Roman"/>
        </w:rPr>
        <w:t xml:space="preserve"> examined relationships across variables. </w:t>
      </w:r>
    </w:p>
    <w:p w14:paraId="73838AD4"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5A2A1B84" wp14:editId="1C6E7990">
            <wp:extent cx="5985737" cy="3084194"/>
            <wp:effectExtent l="0" t="0" r="0" b="2540"/>
            <wp:docPr id="38" name="Picture 38"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creenshot, businesscard&#10;&#10;Description automatically generated"/>
                    <pic:cNvPicPr/>
                  </pic:nvPicPr>
                  <pic:blipFill>
                    <a:blip r:embed="rId15" cstate="print">
                      <a:extLst>
                        <a:ext uri="{28A0092B-C50C-407E-A947-70E740481C1C}">
                          <a14:useLocalDpi xmlns:a14="http://schemas.microsoft.com/office/drawing/2010/main" val="0"/>
                        </a:ext>
                      </a:extLst>
                    </a:blip>
                    <a:srcRect l="622" r="622"/>
                    <a:stretch>
                      <a:fillRect/>
                    </a:stretch>
                  </pic:blipFill>
                  <pic:spPr bwMode="auto">
                    <a:xfrm>
                      <a:off x="0" y="0"/>
                      <a:ext cx="5985737" cy="3084194"/>
                    </a:xfrm>
                    <a:prstGeom prst="rect">
                      <a:avLst/>
                    </a:prstGeom>
                    <a:ln>
                      <a:noFill/>
                    </a:ln>
                    <a:extLst>
                      <a:ext uri="{53640926-AAD7-44D8-BBD7-CCE9431645EC}">
                        <a14:shadowObscured xmlns:a14="http://schemas.microsoft.com/office/drawing/2010/main"/>
                      </a:ext>
                    </a:extLst>
                  </pic:spPr>
                </pic:pic>
              </a:graphicData>
            </a:graphic>
          </wp:inline>
        </w:drawing>
      </w:r>
    </w:p>
    <w:p w14:paraId="04482599" w14:textId="77777777" w:rsidR="00B17426" w:rsidRPr="005459E6" w:rsidRDefault="00B17426" w:rsidP="00042CB0">
      <w:pPr>
        <w:pStyle w:val="Didascalia"/>
        <w:spacing w:line="360" w:lineRule="auto"/>
        <w:jc w:val="both"/>
        <w:rPr>
          <w:rFonts w:ascii="Times New Roman" w:hAnsi="Times New Roman" w:cs="Times New Roman"/>
          <w:i w:val="0"/>
          <w:iCs w:val="0"/>
          <w:color w:val="auto"/>
          <w:sz w:val="22"/>
          <w:szCs w:val="22"/>
        </w:rPr>
      </w:pPr>
    </w:p>
    <w:p w14:paraId="6BC762D2" w14:textId="64F8BF99" w:rsidR="00B17426" w:rsidRPr="005459E6" w:rsidRDefault="00B17426" w:rsidP="00042CB0">
      <w:pPr>
        <w:pStyle w:val="Didascalia"/>
        <w:spacing w:line="360" w:lineRule="auto"/>
        <w:jc w:val="both"/>
        <w:rPr>
          <w:rFonts w:ascii="Times New Roman" w:hAnsi="Times New Roman" w:cs="Times New Roman"/>
          <w:i w:val="0"/>
          <w:iCs w:val="0"/>
          <w:color w:val="auto"/>
          <w:sz w:val="22"/>
          <w:szCs w:val="22"/>
        </w:rPr>
      </w:pPr>
      <w:bookmarkStart w:id="150" w:name="_Toc99915975"/>
      <w:bookmarkStart w:id="151" w:name="_Toc104968792"/>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6</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Representation of Exploratory Research Desig</w:t>
      </w:r>
      <w:bookmarkEnd w:id="150"/>
      <w:r w:rsidR="009134B4" w:rsidRPr="005459E6">
        <w:rPr>
          <w:rFonts w:ascii="Times New Roman" w:hAnsi="Times New Roman" w:cs="Times New Roman"/>
          <w:i w:val="0"/>
          <w:iCs w:val="0"/>
          <w:color w:val="auto"/>
          <w:sz w:val="22"/>
          <w:szCs w:val="22"/>
        </w:rPr>
        <w:t>n</w:t>
      </w:r>
      <w:bookmarkEnd w:id="151"/>
    </w:p>
    <w:p w14:paraId="63B7ACFD" w14:textId="35CBF01D" w:rsidR="004D7E4A" w:rsidRPr="005459E6" w:rsidRDefault="004970FE" w:rsidP="00042CB0">
      <w:pPr>
        <w:spacing w:line="360" w:lineRule="auto"/>
        <w:jc w:val="both"/>
        <w:rPr>
          <w:rFonts w:ascii="Times New Roman" w:hAnsi="Times New Roman" w:cs="Times New Roman"/>
        </w:rPr>
      </w:pPr>
      <w:r w:rsidRPr="005459E6">
        <w:rPr>
          <w:rFonts w:ascii="Times New Roman" w:hAnsi="Times New Roman" w:cs="Times New Roman"/>
        </w:rPr>
        <w:t>The s</w:t>
      </w:r>
      <w:r w:rsidR="004D7E4A" w:rsidRPr="005459E6">
        <w:rPr>
          <w:rFonts w:ascii="Times New Roman" w:hAnsi="Times New Roman" w:cs="Times New Roman"/>
        </w:rPr>
        <w:t xml:space="preserve">tudy dealt with primary data collected using a Survey and from </w:t>
      </w:r>
      <w:r w:rsidR="00717353" w:rsidRPr="005459E6">
        <w:rPr>
          <w:rFonts w:ascii="Times New Roman" w:hAnsi="Times New Roman" w:cs="Times New Roman"/>
        </w:rPr>
        <w:t xml:space="preserve">the </w:t>
      </w:r>
      <w:r w:rsidR="004D7E4A" w:rsidRPr="005459E6">
        <w:rPr>
          <w:rFonts w:ascii="Times New Roman" w:hAnsi="Times New Roman" w:cs="Times New Roman"/>
        </w:rPr>
        <w:t xml:space="preserve">Brain Computer </w:t>
      </w:r>
      <w:r w:rsidR="00717353" w:rsidRPr="005459E6">
        <w:rPr>
          <w:rFonts w:ascii="Times New Roman" w:hAnsi="Times New Roman" w:cs="Times New Roman"/>
        </w:rPr>
        <w:t>I</w:t>
      </w:r>
      <w:r w:rsidR="004D7E4A" w:rsidRPr="005459E6">
        <w:rPr>
          <w:rFonts w:ascii="Times New Roman" w:hAnsi="Times New Roman" w:cs="Times New Roman"/>
        </w:rPr>
        <w:t xml:space="preserve">nterface (BCI). According to </w:t>
      </w:r>
      <w:r w:rsidR="004D7E4A"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{"citationItems":[{"id":"ITEM-1","itemData":{"abstract":"This paper considers the issue of the brain-computer interface (BCI) – the human-machine interface (HMI) based on acquisition, processing and transformation of signals that generated by the central nervous system (CNS) as the aspect of its normal function. Brain-computer interface can be considered as the bridge which is building up direct one-way or two-way communication pathway between the external technical device and the brain. The work presents techniques based on non-invasive imaging of the brain used for acquiring data in non-invasive brain computer interfaces, and is emphasized on the reading neural activity of the brain using multi-channel electroencephalograph (EEG). As the part of this paper our experience with the commercially available equipment Emotiv EPOC Neuroheadset based on this technology is introduced. Copy","author":[{"dropping-particle":"","family":"Fouad","given":"Islam A.","non-dropping-particle":"","parse-names":false,"suffix":""},{"dropping-particle":"","family":"Labib","given":"Fatma El-Zahraa M.","non-dropping-particle":"","parse-names":false,"suffix":""}],"container-title":"International Journal of Advanced Research","id":"ITEM-1","issue":"January","issued":{"date-parts":[["2016"]]},"title":"Using Emotiv EPOC Neuroheadset To Acquire Data In Brain-Computer Interface","type":"article-journal","volume":"3"},"uris":["http://www.mendeley.com/documents/?uuid=2c5ab6c6-445d-4adc-92e2-1246d21415c2"]}],"mendeley":{"formattedCitation":"(Fouad &amp; Labib, 2016)","manualFormatting":"Fouad &amp; Labib (2016)","plainTextFormattedCitation":"(Fouad &amp; Labib, 2016)","previouslyFormattedCitation":"(Fouad &amp; Labib, 2016)"},"properties":{"noteIndex":0},"schema":"https://github.com/citation-style-language/schema/raw/master/csl-citation.json"}</w:instrText>
      </w:r>
      <w:r w:rsidR="004D7E4A" w:rsidRPr="005459E6">
        <w:rPr>
          <w:rFonts w:ascii="Times New Roman" w:hAnsi="Times New Roman" w:cs="Times New Roman"/>
        </w:rPr>
        <w:fldChar w:fldCharType="separate"/>
      </w:r>
      <w:r w:rsidR="004D7E4A" w:rsidRPr="005459E6">
        <w:rPr>
          <w:rFonts w:ascii="Times New Roman" w:hAnsi="Times New Roman" w:cs="Times New Roman"/>
          <w:noProof/>
        </w:rPr>
        <w:t xml:space="preserve">Fouad &amp; Labib </w:t>
      </w:r>
      <w:r w:rsidR="004408E2" w:rsidRPr="005459E6">
        <w:rPr>
          <w:rFonts w:ascii="Times New Roman" w:hAnsi="Times New Roman" w:cs="Times New Roman"/>
          <w:noProof/>
        </w:rPr>
        <w:t>(</w:t>
      </w:r>
      <w:r w:rsidR="004D7E4A" w:rsidRPr="005459E6">
        <w:rPr>
          <w:rFonts w:ascii="Times New Roman" w:hAnsi="Times New Roman" w:cs="Times New Roman"/>
          <w:noProof/>
        </w:rPr>
        <w:t>2016)</w:t>
      </w:r>
      <w:r w:rsidR="004D7E4A" w:rsidRPr="005459E6">
        <w:rPr>
          <w:rFonts w:ascii="Times New Roman" w:hAnsi="Times New Roman" w:cs="Times New Roman"/>
        </w:rPr>
        <w:fldChar w:fldCharType="end"/>
      </w:r>
      <w:r w:rsidRPr="005459E6">
        <w:rPr>
          <w:rFonts w:ascii="Times New Roman" w:hAnsi="Times New Roman" w:cs="Times New Roman"/>
        </w:rPr>
        <w:t>,</w:t>
      </w:r>
      <w:r w:rsidR="004D7E4A" w:rsidRPr="005459E6">
        <w:rPr>
          <w:rFonts w:ascii="Times New Roman" w:hAnsi="Times New Roman" w:cs="Times New Roman"/>
        </w:rPr>
        <w:t xml:space="preserve"> BCI includes non-invasive imaging that reads neural activity using </w:t>
      </w:r>
      <w:r w:rsidRPr="005459E6">
        <w:rPr>
          <w:rFonts w:ascii="Times New Roman" w:hAnsi="Times New Roman" w:cs="Times New Roman"/>
        </w:rPr>
        <w:t xml:space="preserve">a </w:t>
      </w:r>
      <w:r w:rsidR="004D7E4A" w:rsidRPr="005459E6">
        <w:rPr>
          <w:rFonts w:ascii="Times New Roman" w:hAnsi="Times New Roman" w:cs="Times New Roman"/>
        </w:rPr>
        <w:t xml:space="preserve">multi-channel electroencephalograph (EEG). </w:t>
      </w:r>
      <w:r w:rsidRPr="005459E6">
        <w:rPr>
          <w:rFonts w:ascii="Times New Roman" w:hAnsi="Times New Roman" w:cs="Times New Roman"/>
        </w:rPr>
        <w:t>The q</w:t>
      </w:r>
      <w:r w:rsidR="004D7E4A" w:rsidRPr="005459E6">
        <w:rPr>
          <w:rFonts w:ascii="Times New Roman" w:hAnsi="Times New Roman" w:cs="Times New Roman"/>
        </w:rPr>
        <w:t xml:space="preserve">uestionnaire included </w:t>
      </w:r>
      <w:r w:rsidRPr="005459E6">
        <w:rPr>
          <w:rFonts w:ascii="Times New Roman" w:hAnsi="Times New Roman" w:cs="Times New Roman"/>
        </w:rPr>
        <w:t>a mix of close-ended questions with an attitudinal scale in the form of a</w:t>
      </w:r>
      <w:r w:rsidR="004D7E4A" w:rsidRPr="005459E6">
        <w:rPr>
          <w:rFonts w:ascii="Times New Roman" w:hAnsi="Times New Roman" w:cs="Times New Roman"/>
        </w:rPr>
        <w:t xml:space="preserve"> Likert (Ordinal) scale </w:t>
      </w:r>
      <w:r w:rsidRPr="005459E6">
        <w:rPr>
          <w:rFonts w:ascii="Times New Roman" w:hAnsi="Times New Roman" w:cs="Times New Roman"/>
        </w:rPr>
        <w:t xml:space="preserve">(Refer </w:t>
      </w:r>
      <w:r w:rsidR="00717353" w:rsidRPr="005459E6">
        <w:rPr>
          <w:rFonts w:ascii="Times New Roman" w:hAnsi="Times New Roman" w:cs="Times New Roman"/>
        </w:rPr>
        <w:t xml:space="preserve">to </w:t>
      </w:r>
      <w:r w:rsidRPr="005459E6">
        <w:rPr>
          <w:rFonts w:ascii="Times New Roman" w:hAnsi="Times New Roman" w:cs="Times New Roman"/>
          <w:b/>
          <w:bCs/>
        </w:rPr>
        <w:t>APPENDIX A &amp; B</w:t>
      </w:r>
      <w:r w:rsidRPr="005459E6">
        <w:rPr>
          <w:rFonts w:ascii="Times New Roman" w:hAnsi="Times New Roman" w:cs="Times New Roman"/>
        </w:rPr>
        <w:t>).</w:t>
      </w:r>
    </w:p>
    <w:p w14:paraId="67D95169" w14:textId="6C3BE111" w:rsidR="004D7E4A" w:rsidRPr="005459E6" w:rsidRDefault="00533544" w:rsidP="00042CB0">
      <w:pPr>
        <w:spacing w:line="360" w:lineRule="auto"/>
        <w:jc w:val="both"/>
        <w:rPr>
          <w:rFonts w:ascii="Times New Roman" w:hAnsi="Times New Roman" w:cs="Times New Roman"/>
        </w:rPr>
      </w:pPr>
      <w:r w:rsidRPr="005459E6">
        <w:rPr>
          <w:rFonts w:ascii="Times New Roman" w:hAnsi="Times New Roman" w:cs="Times New Roman"/>
        </w:rPr>
        <w:t xml:space="preserve">As the proposed research was focused on getting insights </w:t>
      </w:r>
      <w:r w:rsidR="00717353" w:rsidRPr="005459E6">
        <w:rPr>
          <w:rFonts w:ascii="Times New Roman" w:hAnsi="Times New Roman" w:cs="Times New Roman"/>
        </w:rPr>
        <w:t>into</w:t>
      </w:r>
      <w:r w:rsidRPr="005459E6">
        <w:rPr>
          <w:rFonts w:ascii="Times New Roman" w:hAnsi="Times New Roman" w:cs="Times New Roman"/>
        </w:rPr>
        <w:t xml:space="preserve"> Psychosomatic health</w:t>
      </w:r>
      <w:r w:rsidR="00717353" w:rsidRPr="005459E6">
        <w:rPr>
          <w:rFonts w:ascii="Times New Roman" w:hAnsi="Times New Roman" w:cs="Times New Roman"/>
        </w:rPr>
        <w:t>,</w:t>
      </w:r>
      <w:r w:rsidRPr="005459E6">
        <w:rPr>
          <w:rFonts w:ascii="Times New Roman" w:hAnsi="Times New Roman" w:cs="Times New Roman"/>
        </w:rPr>
        <w:t xml:space="preserve"> it could be a difficult topic for every type of responder to answer.  Hence to maintain </w:t>
      </w:r>
      <w:r w:rsidR="00717353" w:rsidRPr="005459E6">
        <w:rPr>
          <w:rFonts w:ascii="Times New Roman" w:hAnsi="Times New Roman" w:cs="Times New Roman"/>
        </w:rPr>
        <w:t xml:space="preserve">the </w:t>
      </w:r>
      <w:r w:rsidRPr="005459E6">
        <w:rPr>
          <w:rFonts w:ascii="Times New Roman" w:hAnsi="Times New Roman" w:cs="Times New Roman"/>
        </w:rPr>
        <w:t>quality of data</w:t>
      </w:r>
      <w:r w:rsidR="00717353" w:rsidRPr="005459E6">
        <w:rPr>
          <w:rFonts w:ascii="Times New Roman" w:hAnsi="Times New Roman" w:cs="Times New Roman"/>
        </w:rPr>
        <w:t>,</w:t>
      </w:r>
      <w:r w:rsidRPr="005459E6">
        <w:rPr>
          <w:rFonts w:ascii="Times New Roman" w:hAnsi="Times New Roman" w:cs="Times New Roman"/>
        </w:rPr>
        <w:t xml:space="preserve"> research utilized stratified random (probability) sampling that focused on data collected from individuals that belonged to academia and other scientific fields.</w:t>
      </w:r>
    </w:p>
    <w:p w14:paraId="50362CE8" w14:textId="77777777" w:rsidR="00080DB4" w:rsidRPr="005459E6" w:rsidRDefault="00080DB4" w:rsidP="00042CB0">
      <w:pPr>
        <w:spacing w:line="360" w:lineRule="auto"/>
        <w:jc w:val="both"/>
        <w:rPr>
          <w:rFonts w:ascii="Times New Roman" w:hAnsi="Times New Roman" w:cs="Times New Roman"/>
        </w:rPr>
      </w:pPr>
    </w:p>
    <w:p w14:paraId="1715083B"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52" w:name="_Toc73129011"/>
      <w:bookmarkStart w:id="153" w:name="_Toc85542417"/>
      <w:bookmarkStart w:id="154" w:name="_Toc87349500"/>
      <w:bookmarkStart w:id="155" w:name="_Toc87349613"/>
      <w:bookmarkStart w:id="156" w:name="_Toc87349720"/>
      <w:bookmarkStart w:id="157" w:name="_Toc107248294"/>
      <w:r w:rsidRPr="005459E6">
        <w:rPr>
          <w:rFonts w:ascii="Times New Roman" w:hAnsi="Times New Roman" w:cs="Times New Roman"/>
          <w:color w:val="auto"/>
          <w:sz w:val="22"/>
          <w:szCs w:val="22"/>
        </w:rPr>
        <w:t>Research Methodology</w:t>
      </w:r>
      <w:bookmarkEnd w:id="152"/>
      <w:bookmarkEnd w:id="153"/>
      <w:bookmarkEnd w:id="154"/>
      <w:bookmarkEnd w:id="155"/>
      <w:bookmarkEnd w:id="156"/>
      <w:bookmarkEnd w:id="157"/>
    </w:p>
    <w:p w14:paraId="651A4435" w14:textId="4D073F81" w:rsidR="007D53DE" w:rsidRPr="005459E6" w:rsidRDefault="003423BF" w:rsidP="00042CB0">
      <w:pPr>
        <w:spacing w:line="360" w:lineRule="auto"/>
        <w:jc w:val="both"/>
        <w:rPr>
          <w:rFonts w:ascii="Times New Roman" w:hAnsi="Times New Roman" w:cs="Times New Roman"/>
        </w:rPr>
      </w:pPr>
      <w:r w:rsidRPr="005459E6">
        <w:rPr>
          <w:rFonts w:ascii="Times New Roman" w:hAnsi="Times New Roman" w:cs="Times New Roman"/>
        </w:rPr>
        <w:t>The design of an exploratory 'Sequential Mixed Methods' can be carried out by a qualitative data collection</w:t>
      </w:r>
      <w:r w:rsidR="001D1AD4" w:rsidRPr="005459E6">
        <w:rPr>
          <w:rFonts w:ascii="Times New Roman" w:hAnsi="Times New Roman" w:cs="Times New Roman"/>
        </w:rPr>
        <w:t xml:space="preserve"> </w:t>
      </w:r>
      <w:r w:rsidRPr="005459E6">
        <w:rPr>
          <w:rFonts w:ascii="Times New Roman" w:hAnsi="Times New Roman" w:cs="Times New Roman"/>
        </w:rPr>
        <w:t xml:space="preserve">and analysis </w:t>
      </w:r>
      <w:r w:rsidR="000B5040" w:rsidRPr="005459E6">
        <w:rPr>
          <w:rFonts w:ascii="Times New Roman" w:hAnsi="Times New Roman" w:cs="Times New Roman"/>
        </w:rPr>
        <w:t>stage</w:t>
      </w:r>
      <w:r w:rsidRPr="005459E6">
        <w:rPr>
          <w:rFonts w:ascii="Times New Roman" w:hAnsi="Times New Roman" w:cs="Times New Roman"/>
        </w:rPr>
        <w:t xml:space="preserve">, followed by a quantitative data collection and analysis </w:t>
      </w:r>
      <w:r w:rsidR="000B5040" w:rsidRPr="005459E6">
        <w:rPr>
          <w:rFonts w:ascii="Times New Roman" w:hAnsi="Times New Roman" w:cs="Times New Roman"/>
        </w:rPr>
        <w:t>stage</w:t>
      </w:r>
      <w:r w:rsidRPr="005459E6">
        <w:rPr>
          <w:rFonts w:ascii="Times New Roman" w:hAnsi="Times New Roman" w:cs="Times New Roman"/>
        </w:rPr>
        <w:t xml:space="preserve">. </w:t>
      </w:r>
      <w:r w:rsidR="007D53DE" w:rsidRPr="005459E6">
        <w:rPr>
          <w:rFonts w:ascii="Times New Roman" w:hAnsi="Times New Roman" w:cs="Times New Roman"/>
        </w:rPr>
        <w:t xml:space="preserve">According to </w:t>
      </w:r>
      <w:r w:rsidR="007D53DE" w:rsidRPr="005459E6">
        <w:rPr>
          <w:rFonts w:ascii="Times New Roman" w:hAnsi="Times New Roman" w:cs="Times New Roman"/>
        </w:rPr>
        <w:fldChar w:fldCharType="begin" w:fldLock="1"/>
      </w:r>
      <w:r w:rsidR="007D53DE" w:rsidRPr="005459E6">
        <w:rPr>
          <w:rFonts w:ascii="Times New Roman" w:hAnsi="Times New Roman" w:cs="Times New Roman"/>
        </w:rPr>
        <w:instrText>ADDIN CSL_CITATION {"citationItems":[{"id":"ITEM-1","itemData":{"DOI":"10.1177/1077800410364741","ISSN":"10778004","abstract":"Mixed methods, defined as one complete method (as the core project) plus a different simultaneous and sequential supplemental strategy, have been well explicated for combining the most difficult designs-that is, qualitative and quantitative methods. However, experts in qualitative inquiry have relatively ignored the issues that occur while describing qualitative simultaneous and sequential designs in which both components are qualitative. In this article, the author argues that qualitative mixed method designs introduce many of the incompatibility problems of mixed method design that use qualitative and quantitative components. Various qualitatively driven mixed method designs are presented. Then, using an armchair walkthrough, QUAL-qual designs are contextualized within a hypothetical project of breaking bad news, and several examples of QUAL- qual mixed method designs are discussed. © 2010 The Author(s).","author":[{"dropping-particle":"","family":"Morse","given":"Janice M.","non-dropping-particle":"","parse-names":false,"suffix":""}],"container-title":"Qualitative Inquiry","id":"ITEM-1","issue":"6","issued":{"date-parts":[["2010"]]},"page":"483-491","title":"Simultaneous and sequential qualitative mixed method designs","type":"article-journal","volume":"16"},"uris":["http://www.mendeley.com/documents/?uuid=48d5331c-9674-41e7-9f1d-938a1c983975"]}],"mendeley":{"formattedCitation":"(Morse, 2010)","manualFormatting":"Morse (2010)","plainTextFormattedCitation":"(Morse, 2010)","previouslyFormattedCitation":"(Morse, 2010)"},"properties":{"noteIndex":0},"schema":"https://github.com/citation-style-language/schema/raw/master/csl-citation.json"}</w:instrText>
      </w:r>
      <w:r w:rsidR="007D53DE" w:rsidRPr="005459E6">
        <w:rPr>
          <w:rFonts w:ascii="Times New Roman" w:hAnsi="Times New Roman" w:cs="Times New Roman"/>
        </w:rPr>
        <w:fldChar w:fldCharType="separate"/>
      </w:r>
      <w:r w:rsidR="007D53DE" w:rsidRPr="005459E6">
        <w:rPr>
          <w:rFonts w:ascii="Times New Roman" w:hAnsi="Times New Roman" w:cs="Times New Roman"/>
          <w:noProof/>
        </w:rPr>
        <w:t>Morse (2010)</w:t>
      </w:r>
      <w:r w:rsidR="007D53DE" w:rsidRPr="005459E6">
        <w:rPr>
          <w:rFonts w:ascii="Times New Roman" w:hAnsi="Times New Roman" w:cs="Times New Roman"/>
        </w:rPr>
        <w:fldChar w:fldCharType="end"/>
      </w:r>
      <w:r w:rsidR="007D53DE" w:rsidRPr="005459E6">
        <w:rPr>
          <w:rFonts w:ascii="Times New Roman" w:hAnsi="Times New Roman" w:cs="Times New Roman"/>
        </w:rPr>
        <w:t>, ‘Mixed mode’ methods are an approach that has been well established for merging complex designs that combine qualitative and quantitative methods.</w:t>
      </w:r>
    </w:p>
    <w:p w14:paraId="0C19F2B1" w14:textId="10EE82EE" w:rsidR="001F2CC6" w:rsidRPr="005459E6" w:rsidRDefault="003423BF" w:rsidP="00042CB0">
      <w:pPr>
        <w:spacing w:line="360" w:lineRule="auto"/>
        <w:jc w:val="both"/>
        <w:rPr>
          <w:rFonts w:ascii="Times New Roman" w:hAnsi="Times New Roman" w:cs="Times New Roman"/>
        </w:rPr>
      </w:pPr>
      <w:r w:rsidRPr="005459E6">
        <w:rPr>
          <w:rFonts w:ascii="Times New Roman" w:hAnsi="Times New Roman" w:cs="Times New Roman"/>
        </w:rPr>
        <w:t xml:space="preserve">The final </w:t>
      </w:r>
      <w:r w:rsidR="000B5040" w:rsidRPr="005459E6">
        <w:rPr>
          <w:rFonts w:ascii="Times New Roman" w:hAnsi="Times New Roman" w:cs="Times New Roman"/>
        </w:rPr>
        <w:t>stage</w:t>
      </w:r>
      <w:r w:rsidRPr="005459E6">
        <w:rPr>
          <w:rFonts w:ascii="Times New Roman" w:hAnsi="Times New Roman" w:cs="Times New Roman"/>
        </w:rPr>
        <w:t xml:space="preserve"> of data integration </w:t>
      </w:r>
      <w:r w:rsidR="007D53DE" w:rsidRPr="005459E6">
        <w:rPr>
          <w:rFonts w:ascii="Times New Roman" w:hAnsi="Times New Roman" w:cs="Times New Roman"/>
        </w:rPr>
        <w:t>incorporated</w:t>
      </w:r>
      <w:r w:rsidRPr="005459E6">
        <w:rPr>
          <w:rFonts w:ascii="Times New Roman" w:hAnsi="Times New Roman" w:cs="Times New Roman"/>
        </w:rPr>
        <w:t xml:space="preserve"> linking from the two independent strands of data </w:t>
      </w:r>
      <w:r w:rsidR="00CB75DB" w:rsidRPr="005459E6">
        <w:rPr>
          <w:rFonts w:ascii="Times New Roman" w:hAnsi="Times New Roman" w:cs="Times New Roman"/>
        </w:rPr>
        <w:fldChar w:fldCharType="begin" w:fldLock="1"/>
      </w:r>
      <w:r w:rsidR="00EF4641" w:rsidRPr="005459E6">
        <w:rPr>
          <w:rFonts w:ascii="Times New Roman" w:hAnsi="Times New Roman" w:cs="Times New Roman"/>
        </w:rPr>
        <w:instrText>ADDIN CSL_CITATION {"citationItems":[{"id":"ITEM-1","itemData":{"DOI":"10.7191/jeslib.2017.1104","ISSN":"2161-3974","abstract":"This article reports on the integrated findings of an exploratory sequential mixed methods research design aimed to understand data management behaviors and challenges of faculty at the University of Vermont (UVM) in order to develop relevant research data services. The exploratory sequential mixed methods design is characterized by an initial qualitative phase of data collection and analysis, followed by a phase of quantitative data collection and analysis, with a final phase of integration or linking of data from the two separate strands of data. A joint display was used to integrate data focused on the three primary research questions: How do faculty at UVM manage their research data, in particular how do they share and preserve data in the long-term?; What challenges or barriers do UVM faculty face in effectively managing their research data?; and What institutional data management support or services are UVM faculty interested in? As a result of the analysis, this study suggests four major areas of research data services for UVM to address: infrastructure, metadata, data analysis and statistical support, and informational research data services. The implementation of these potential areas of research data services is underscored by the need for cross-campus collaboration and support. Correspondence:","author":[{"dropping-particle":"","family":"Berman","given":"Elizabeth","non-dropping-particle":"","parse-names":false,"suffix":""}],"container-title":"Journal of eScience Librarianship","id":"ITEM-1","issue":"1","issued":{"date-parts":[["2017"]]},"page":"e1104","title":"An Exploratory Sequential Mixed Methods Approach to Understanding Researchers’ Data Management Practices at UVM: Integrated Findings to Develop Research Data Services","type":"article-journal","volume":"6"},"uris":["http://www.mendeley.com/documents/?uuid=17b05fba-342a-4c1e-a857-5ccfe217e63c"]}],"mendeley":{"formattedCitation":"(Berman, 2017)","plainTextFormattedCitation":"(Berman, 2017)","previouslyFormattedCitation":"(Berman, 2017)"},"properties":{"noteIndex":0},"schema":"https://github.com/citation-style-language/schema/raw/master/csl-citation.json"}</w:instrText>
      </w:r>
      <w:r w:rsidR="00CB75DB" w:rsidRPr="005459E6">
        <w:rPr>
          <w:rFonts w:ascii="Times New Roman" w:hAnsi="Times New Roman" w:cs="Times New Roman"/>
        </w:rPr>
        <w:fldChar w:fldCharType="separate"/>
      </w:r>
      <w:r w:rsidR="00CB75DB" w:rsidRPr="005459E6">
        <w:rPr>
          <w:rFonts w:ascii="Times New Roman" w:hAnsi="Times New Roman" w:cs="Times New Roman"/>
          <w:noProof/>
        </w:rPr>
        <w:t>(Berman, 2017)</w:t>
      </w:r>
      <w:r w:rsidR="00CB75DB" w:rsidRPr="005459E6">
        <w:rPr>
          <w:rFonts w:ascii="Times New Roman" w:hAnsi="Times New Roman" w:cs="Times New Roman"/>
        </w:rPr>
        <w:fldChar w:fldCharType="end"/>
      </w:r>
      <w:r w:rsidR="00CC01DC" w:rsidRPr="005459E6">
        <w:rPr>
          <w:rFonts w:ascii="Times New Roman" w:hAnsi="Times New Roman" w:cs="Times New Roman"/>
        </w:rPr>
        <w:t xml:space="preserve">. </w:t>
      </w:r>
      <w:r w:rsidRPr="005459E6">
        <w:rPr>
          <w:rFonts w:ascii="Times New Roman" w:hAnsi="Times New Roman" w:cs="Times New Roman"/>
        </w:rPr>
        <w:t>Based on the outcomes from previous stages can be used to determine the direction and implementation of succeeding stages of research</w:t>
      </w:r>
      <w:r w:rsidR="00B00EF4" w:rsidRPr="005459E6">
        <w:rPr>
          <w:rFonts w:ascii="Times New Roman" w:hAnsi="Times New Roman" w:cs="Times New Roman"/>
        </w:rPr>
        <w:t>.</w:t>
      </w:r>
      <w:r w:rsidRPr="005459E6">
        <w:rPr>
          <w:rFonts w:ascii="Times New Roman" w:hAnsi="Times New Roman" w:cs="Times New Roman"/>
        </w:rPr>
        <w:t xml:space="preserve"> </w:t>
      </w:r>
      <w:r w:rsidR="004D7E4A" w:rsidRPr="005459E6">
        <w:rPr>
          <w:rFonts w:ascii="Times New Roman" w:hAnsi="Times New Roman" w:cs="Times New Roman"/>
        </w:rPr>
        <w:t>With ‘Sequential Multiple Methodology’</w:t>
      </w:r>
      <w:r w:rsidR="004970FE" w:rsidRPr="005459E6">
        <w:rPr>
          <w:rFonts w:ascii="Times New Roman" w:hAnsi="Times New Roman" w:cs="Times New Roman"/>
        </w:rPr>
        <w:t>,</w:t>
      </w:r>
      <w:r w:rsidR="004D7E4A" w:rsidRPr="005459E6">
        <w:rPr>
          <w:rFonts w:ascii="Times New Roman" w:hAnsi="Times New Roman" w:cs="Times New Roman"/>
        </w:rPr>
        <w:t xml:space="preserve"> the secondary data included similar academic studies done in the past along with official data available over the world wide web.</w:t>
      </w:r>
      <w:r w:rsidR="001F2CC6" w:rsidRPr="005459E6">
        <w:rPr>
          <w:rFonts w:ascii="Times New Roman" w:hAnsi="Times New Roman" w:cs="Times New Roman"/>
        </w:rPr>
        <w:t xml:space="preserve"> </w:t>
      </w:r>
    </w:p>
    <w:p w14:paraId="45CCE514" w14:textId="77777777" w:rsidR="004D7E4A" w:rsidRPr="005459E6" w:rsidRDefault="004D7E4A" w:rsidP="00042CB0">
      <w:pPr>
        <w:spacing w:line="360" w:lineRule="auto"/>
        <w:jc w:val="both"/>
        <w:rPr>
          <w:rFonts w:ascii="Times New Roman" w:hAnsi="Times New Roman" w:cs="Times New Roman"/>
        </w:rPr>
      </w:pPr>
    </w:p>
    <w:p w14:paraId="607D18B7" w14:textId="77777777"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158" w:name="_Toc85542418"/>
      <w:bookmarkStart w:id="159" w:name="_Toc87349501"/>
      <w:bookmarkStart w:id="160" w:name="_Toc87349614"/>
      <w:bookmarkStart w:id="161" w:name="_Toc87349721"/>
      <w:bookmarkStart w:id="162" w:name="_Toc107248295"/>
      <w:r w:rsidRPr="005459E6">
        <w:rPr>
          <w:rFonts w:ascii="Times New Roman" w:hAnsi="Times New Roman" w:cs="Times New Roman"/>
          <w:color w:val="auto"/>
          <w:sz w:val="22"/>
          <w:szCs w:val="22"/>
        </w:rPr>
        <w:t>Study Population</w:t>
      </w:r>
      <w:bookmarkEnd w:id="158"/>
      <w:bookmarkEnd w:id="159"/>
      <w:bookmarkEnd w:id="160"/>
      <w:bookmarkEnd w:id="161"/>
      <w:bookmarkEnd w:id="162"/>
    </w:p>
    <w:p w14:paraId="3A2A0643" w14:textId="7EE3F253" w:rsidR="004D7E4A" w:rsidRPr="005459E6" w:rsidRDefault="001D1AD4" w:rsidP="00042CB0">
      <w:pPr>
        <w:spacing w:line="360" w:lineRule="auto"/>
        <w:jc w:val="both"/>
        <w:rPr>
          <w:rFonts w:ascii="Times New Roman" w:hAnsi="Times New Roman" w:cs="Times New Roman"/>
        </w:rPr>
      </w:pPr>
      <w:r w:rsidRPr="005459E6">
        <w:rPr>
          <w:rFonts w:ascii="Times New Roman" w:hAnsi="Times New Roman" w:cs="Times New Roman"/>
        </w:rPr>
        <w:t>The r</w:t>
      </w:r>
      <w:r w:rsidR="004D7E4A" w:rsidRPr="005459E6">
        <w:rPr>
          <w:rFonts w:ascii="Times New Roman" w:hAnsi="Times New Roman" w:cs="Times New Roman"/>
        </w:rPr>
        <w:t xml:space="preserve">esearch </w:t>
      </w:r>
      <w:r w:rsidRPr="005459E6">
        <w:rPr>
          <w:rFonts w:ascii="Times New Roman" w:hAnsi="Times New Roman" w:cs="Times New Roman"/>
        </w:rPr>
        <w:t>d</w:t>
      </w:r>
      <w:r w:rsidR="004D7E4A" w:rsidRPr="005459E6">
        <w:rPr>
          <w:rFonts w:ascii="Times New Roman" w:hAnsi="Times New Roman" w:cs="Times New Roman"/>
        </w:rPr>
        <w:t xml:space="preserve">esign in </w:t>
      </w:r>
      <w:r w:rsidR="00122412" w:rsidRPr="005459E6">
        <w:rPr>
          <w:rFonts w:ascii="Times New Roman" w:hAnsi="Times New Roman" w:cs="Times New Roman"/>
        </w:rPr>
        <w:t>the</w:t>
      </w:r>
      <w:r w:rsidR="004D7E4A" w:rsidRPr="005459E6">
        <w:rPr>
          <w:rFonts w:ascii="Times New Roman" w:hAnsi="Times New Roman" w:cs="Times New Roman"/>
        </w:rPr>
        <w:t xml:space="preserve"> </w:t>
      </w:r>
      <w:r w:rsidR="00122412" w:rsidRPr="005459E6">
        <w:rPr>
          <w:rFonts w:ascii="Times New Roman" w:hAnsi="Times New Roman" w:cs="Times New Roman"/>
        </w:rPr>
        <w:t>s</w:t>
      </w:r>
      <w:r w:rsidR="004D7E4A" w:rsidRPr="005459E6">
        <w:rPr>
          <w:rFonts w:ascii="Times New Roman" w:hAnsi="Times New Roman" w:cs="Times New Roman"/>
        </w:rPr>
        <w:t>tudy was 'cross</w:t>
      </w:r>
      <w:r w:rsidRPr="005459E6">
        <w:rPr>
          <w:rFonts w:ascii="Times New Roman" w:hAnsi="Times New Roman" w:cs="Times New Roman"/>
        </w:rPr>
        <w:t>-</w:t>
      </w:r>
      <w:r w:rsidR="004D7E4A" w:rsidRPr="005459E6">
        <w:rPr>
          <w:rFonts w:ascii="Times New Roman" w:hAnsi="Times New Roman" w:cs="Times New Roman"/>
        </w:rPr>
        <w:t xml:space="preserve">sectional' </w:t>
      </w:r>
      <w:r w:rsidR="00300A9B" w:rsidRPr="005459E6">
        <w:rPr>
          <w:rFonts w:ascii="Times New Roman" w:hAnsi="Times New Roman" w:cs="Times New Roman"/>
        </w:rPr>
        <w:t xml:space="preserve"> </w:t>
      </w:r>
      <w:r w:rsidR="00A06625" w:rsidRPr="005459E6">
        <w:rPr>
          <w:rFonts w:ascii="Times New Roman" w:hAnsi="Times New Roman" w:cs="Times New Roman"/>
        </w:rPr>
        <w:t>single</w:t>
      </w:r>
      <w:r w:rsidR="004D7E4A" w:rsidRPr="005459E6">
        <w:rPr>
          <w:rFonts w:ascii="Times New Roman" w:hAnsi="Times New Roman" w:cs="Times New Roman"/>
        </w:rPr>
        <w:t xml:space="preserve"> contact with </w:t>
      </w:r>
      <w:r w:rsidRPr="005459E6">
        <w:rPr>
          <w:rFonts w:ascii="Times New Roman" w:hAnsi="Times New Roman" w:cs="Times New Roman"/>
        </w:rPr>
        <w:t xml:space="preserve">the </w:t>
      </w:r>
      <w:r w:rsidR="004D7E4A" w:rsidRPr="005459E6">
        <w:rPr>
          <w:rFonts w:ascii="Times New Roman" w:hAnsi="Times New Roman" w:cs="Times New Roman"/>
        </w:rPr>
        <w:t>population</w:t>
      </w:r>
      <w:r w:rsidR="007D53DE" w:rsidRPr="005459E6">
        <w:rPr>
          <w:rFonts w:ascii="Times New Roman" w:hAnsi="Times New Roman" w:cs="Times New Roman"/>
        </w:rPr>
        <w:t xml:space="preserve"> </w:t>
      </w:r>
      <w:r w:rsidR="007D53DE"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{"citationItems":[{"id":"ITEM-1","itemData":{"DOI":"10.1155/2017/7143547","ISSN":"2090133X","abstract":"Objectives. Students of medical sciences are exposed to many emotional and mental problems. In light of the importance of sleep quality in learning and liveliness, this study was conducted to examine the relationship between psychological variables (stress, anxiety, and depression) and sleep quality of students. Design. This research is a cross-sectional analytical study, where all students studying at Fasa University of Medical Sciences in 2012-2013 year were selected. To examine the students' stress, anxiety, and depression values, the standardized 21-item DASS-21 was used, and to examine their sleep quality, Pittsburgh Sleep Quality Index (PSQI) was used. Results. The results of the study demonstrated that 73% of the students have moderate and severe stress, and 46.4% of them have PSQ scores ≥ 5. The students' mean sleep quality score was 4.65±2.37, and their stress score was 8.09±5.14. A statistically significant relationship was found between the students' stress levels and sleep quality (P&lt;0.001). Conclusion. The high stress levels decrease students' sleep quality. High stress levels and also the significant relationship between stress value and decrease in students' sleep quality call for more attention to and care for students' emotional and mental issues and timely proper interference on the part of authorities.","author":[{"dropping-particle":"","family":"Najafi Kalyani","given":"Majid","non-dropping-particle":"","parse-names":false,"suffix":""},{"dropping-particle":"","family":"Jamshidi","given":"Nahid","non-dropping-particle":"","parse-names":false,"suffix":""},{"dropping-particle":"","family":"Salami","given":"Javad","non-dropping-particle":"","parse-names":false,"suffix":""},{"dropping-particle":"","family":"Pourjam","given":"Elahe","non-dropping-particle":"","parse-names":false,"suffix":""}],"container-title":"Depression Research and Treatment","id":"ITEM-1","issued":{"date-parts":[["2017"]]},"title":"Investigation of the Relationship between Psychological Variables and Sleep Quality in Students of Medical Sciences","type":"article-journal","volume":"2017"},"uris":["http://www.mendeley.com/documents/?uuid=16d3dff7-f8b1-4c20-821c-aeadc797de84"]}],"mendeley":{"formattedCitation":"(Najafi Kalyani et al., 2017)","manualFormatting":"(Kalyani et al., 2017)","plainTextFormattedCitation":"(Najafi Kalyani et al., 2017)","previouslyFormattedCitation":"(Najafi Kalyani et al., 2017)"},"properties":{"noteIndex":0},"schema":"https://github.com/citation-style-language/schema/raw/master/csl-citation.json"}</w:instrText>
      </w:r>
      <w:r w:rsidR="007D53DE" w:rsidRPr="005459E6">
        <w:rPr>
          <w:rFonts w:ascii="Times New Roman" w:hAnsi="Times New Roman" w:cs="Times New Roman"/>
        </w:rPr>
        <w:fldChar w:fldCharType="separate"/>
      </w:r>
      <w:r w:rsidR="007D53DE" w:rsidRPr="005459E6">
        <w:rPr>
          <w:rFonts w:ascii="Times New Roman" w:hAnsi="Times New Roman" w:cs="Times New Roman"/>
          <w:noProof/>
        </w:rPr>
        <w:t>(Kalyani et al., 2017)</w:t>
      </w:r>
      <w:r w:rsidR="007D53DE" w:rsidRPr="005459E6">
        <w:rPr>
          <w:rFonts w:ascii="Times New Roman" w:hAnsi="Times New Roman" w:cs="Times New Roman"/>
        </w:rPr>
        <w:fldChar w:fldCharType="end"/>
      </w:r>
      <w:r w:rsidR="004D7E4A" w:rsidRPr="005459E6">
        <w:rPr>
          <w:rFonts w:ascii="Times New Roman" w:hAnsi="Times New Roman" w:cs="Times New Roman"/>
        </w:rPr>
        <w:t xml:space="preserve">. It was utilized to observe </w:t>
      </w:r>
      <w:r w:rsidR="004970FE" w:rsidRPr="005459E6">
        <w:rPr>
          <w:rFonts w:ascii="Times New Roman" w:hAnsi="Times New Roman" w:cs="Times New Roman"/>
        </w:rPr>
        <w:t xml:space="preserve">the </w:t>
      </w:r>
      <w:r w:rsidR="004D7E4A" w:rsidRPr="005459E6">
        <w:rPr>
          <w:rFonts w:ascii="Times New Roman" w:hAnsi="Times New Roman" w:cs="Times New Roman"/>
        </w:rPr>
        <w:t xml:space="preserve">occurrence of a phenomenon to improve psychological well-being. </w:t>
      </w:r>
    </w:p>
    <w:p w14:paraId="63CBFAA0" w14:textId="77777777" w:rsidR="004D7E4A" w:rsidRPr="005459E6" w:rsidRDefault="004D7E4A" w:rsidP="00042CB0">
      <w:pPr>
        <w:spacing w:line="360" w:lineRule="auto"/>
        <w:jc w:val="both"/>
        <w:rPr>
          <w:rFonts w:ascii="Times New Roman" w:hAnsi="Times New Roman" w:cs="Times New Roman"/>
        </w:rPr>
      </w:pPr>
    </w:p>
    <w:p w14:paraId="235ABCE5" w14:textId="77777777"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163" w:name="_Toc85542420"/>
      <w:bookmarkStart w:id="164" w:name="_Toc87349503"/>
      <w:bookmarkStart w:id="165" w:name="_Toc87349616"/>
      <w:bookmarkStart w:id="166" w:name="_Toc87349723"/>
      <w:bookmarkStart w:id="167" w:name="_Toc107248296"/>
      <w:r w:rsidRPr="005459E6">
        <w:rPr>
          <w:rFonts w:ascii="Times New Roman" w:hAnsi="Times New Roman" w:cs="Times New Roman"/>
          <w:color w:val="auto"/>
          <w:sz w:val="22"/>
          <w:szCs w:val="22"/>
        </w:rPr>
        <w:t>Nature of Investigation</w:t>
      </w:r>
      <w:bookmarkEnd w:id="163"/>
      <w:bookmarkEnd w:id="164"/>
      <w:bookmarkEnd w:id="165"/>
      <w:bookmarkEnd w:id="166"/>
      <w:bookmarkEnd w:id="167"/>
    </w:p>
    <w:p w14:paraId="6B0D5ED4" w14:textId="505E99B8" w:rsidR="004D7E4A" w:rsidRPr="005459E6" w:rsidRDefault="004970FE" w:rsidP="00042CB0">
      <w:pPr>
        <w:spacing w:line="360" w:lineRule="auto"/>
        <w:jc w:val="both"/>
        <w:rPr>
          <w:rFonts w:ascii="Times New Roman" w:hAnsi="Times New Roman" w:cs="Times New Roman"/>
        </w:rPr>
      </w:pPr>
      <w:r w:rsidRPr="005459E6">
        <w:rPr>
          <w:rFonts w:ascii="Times New Roman" w:hAnsi="Times New Roman" w:cs="Times New Roman"/>
        </w:rPr>
        <w:t>The s</w:t>
      </w:r>
      <w:r w:rsidR="004D7E4A" w:rsidRPr="005459E6">
        <w:rPr>
          <w:rFonts w:ascii="Times New Roman" w:hAnsi="Times New Roman" w:cs="Times New Roman"/>
        </w:rPr>
        <w:t xml:space="preserve">tudy possessed an experimental nature of investigation where </w:t>
      </w:r>
      <w:r w:rsidRPr="005459E6">
        <w:rPr>
          <w:rFonts w:ascii="Times New Roman" w:hAnsi="Times New Roman" w:cs="Times New Roman"/>
        </w:rPr>
        <w:t xml:space="preserve">a </w:t>
      </w:r>
      <w:r w:rsidR="004D7E4A" w:rsidRPr="005459E6">
        <w:rPr>
          <w:rFonts w:ascii="Times New Roman" w:hAnsi="Times New Roman" w:cs="Times New Roman"/>
        </w:rPr>
        <w:t xml:space="preserve">set of variables </w:t>
      </w:r>
      <w:r w:rsidRPr="005459E6">
        <w:rPr>
          <w:rFonts w:ascii="Times New Roman" w:hAnsi="Times New Roman" w:cs="Times New Roman"/>
        </w:rPr>
        <w:t>we</w:t>
      </w:r>
      <w:r w:rsidR="004D7E4A" w:rsidRPr="005459E6">
        <w:rPr>
          <w:rFonts w:ascii="Times New Roman" w:hAnsi="Times New Roman" w:cs="Times New Roman"/>
        </w:rPr>
        <w:t xml:space="preserve">re manipulated to examine the outcome. </w:t>
      </w:r>
    </w:p>
    <w:p w14:paraId="7AFBC959" w14:textId="77777777" w:rsidR="004D7E4A" w:rsidRPr="005459E6" w:rsidRDefault="004D7E4A" w:rsidP="00042CB0">
      <w:pPr>
        <w:spacing w:line="360" w:lineRule="auto"/>
        <w:jc w:val="both"/>
        <w:rPr>
          <w:rFonts w:ascii="Times New Roman" w:hAnsi="Times New Roman" w:cs="Times New Roman"/>
        </w:rPr>
      </w:pPr>
    </w:p>
    <w:p w14:paraId="1AA67C9C" w14:textId="09C46D4C" w:rsidR="00625363" w:rsidRPr="005459E6" w:rsidRDefault="00625363" w:rsidP="00042CB0">
      <w:pPr>
        <w:spacing w:line="360" w:lineRule="auto"/>
        <w:jc w:val="both"/>
        <w:rPr>
          <w:rFonts w:ascii="Times New Roman" w:hAnsi="Times New Roman" w:cs="Times New Roman"/>
        </w:rPr>
      </w:pPr>
      <w:r w:rsidRPr="005459E6">
        <w:rPr>
          <w:rFonts w:ascii="Times New Roman" w:hAnsi="Times New Roman" w:cs="Times New Roman"/>
        </w:rPr>
        <w:t xml:space="preserve">A statistical analysis tool called ‘Intellectus Statistics’ (with similar capabilities </w:t>
      </w:r>
      <w:r w:rsidR="00717353" w:rsidRPr="005459E6">
        <w:rPr>
          <w:rFonts w:ascii="Times New Roman" w:hAnsi="Times New Roman" w:cs="Times New Roman"/>
        </w:rPr>
        <w:t>to</w:t>
      </w:r>
      <w:r w:rsidRPr="005459E6">
        <w:rPr>
          <w:rFonts w:ascii="Times New Roman" w:hAnsi="Times New Roman" w:cs="Times New Roman"/>
        </w:rPr>
        <w:t xml:space="preserve"> IBM SPSS ) was utilized tool for the multivariate analysis required to fulfill the research objective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{"citationItems":[{"id":"ITEM-1","itemData":{"author":[{"dropping-particle":"","family":"Intellectus Statistics","given":"","non-dropping-particle":"","parse-names":false,"suffix":""}],"id":"ITEM-1","issued":{"date-parts":[["2021"]]},"title":"Intellectus Statistics","type":"article"},"uris":["http://www.mendeley.com/documents/?uuid=9680d20b-83be-485d-8c3e-ea244a6d7ff3"]}],"mendeley":{"formattedCitation":"(Intellectus Statistics, 2021)","plainTextFormattedCitation":"(Intellectus Statistics, 2021)","previouslyFormattedCitation":"(Intellectus Statistics,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(Intellectus Statistics, 2021)</w:t>
      </w:r>
      <w:r w:rsidRPr="005459E6">
        <w:rPr>
          <w:rFonts w:ascii="Times New Roman" w:hAnsi="Times New Roman" w:cs="Times New Roman"/>
        </w:rPr>
        <w:fldChar w:fldCharType="end"/>
      </w:r>
      <w:r w:rsidRPr="005459E6">
        <w:rPr>
          <w:rFonts w:ascii="Times New Roman" w:hAnsi="Times New Roman" w:cs="Times New Roman"/>
        </w:rPr>
        <w:t>. The Machine Learning modelling using ‘BigML’ supported developing illustrations on essential trends and variations presented in the given study.</w:t>
      </w:r>
    </w:p>
    <w:p w14:paraId="272CA740" w14:textId="77777777" w:rsidR="00CC01DC" w:rsidRPr="005459E6" w:rsidRDefault="00CC01DC" w:rsidP="00042CB0">
      <w:pPr>
        <w:spacing w:line="360" w:lineRule="auto"/>
        <w:jc w:val="both"/>
        <w:rPr>
          <w:rFonts w:ascii="Times New Roman" w:hAnsi="Times New Roman" w:cs="Times New Roman"/>
        </w:rPr>
      </w:pPr>
    </w:p>
    <w:p w14:paraId="2CAE2060" w14:textId="77777777" w:rsidR="00625363" w:rsidRPr="005459E6" w:rsidRDefault="00625363" w:rsidP="00042CB0">
      <w:pPr>
        <w:spacing w:line="360" w:lineRule="auto"/>
        <w:jc w:val="both"/>
        <w:rPr>
          <w:rFonts w:ascii="Times New Roman" w:hAnsi="Times New Roman" w:cs="Times New Roman"/>
        </w:rPr>
      </w:pPr>
    </w:p>
    <w:p w14:paraId="7DE81ED8" w14:textId="3E90035E" w:rsidR="00625363" w:rsidRPr="005459E6" w:rsidRDefault="00625363" w:rsidP="00042CB0">
      <w:pPr>
        <w:spacing w:line="360" w:lineRule="auto"/>
        <w:jc w:val="both"/>
        <w:rPr>
          <w:rFonts w:ascii="Times New Roman" w:hAnsi="Times New Roman" w:cs="Times New Roman"/>
        </w:rPr>
      </w:pPr>
    </w:p>
    <w:p w14:paraId="1634B549" w14:textId="77777777" w:rsidR="00625363" w:rsidRPr="005459E6" w:rsidRDefault="00625363" w:rsidP="00042CB0">
      <w:pPr>
        <w:spacing w:line="360" w:lineRule="auto"/>
        <w:jc w:val="both"/>
        <w:rPr>
          <w:rFonts w:ascii="Times New Roman" w:hAnsi="Times New Roman" w:cs="Times New Roman"/>
        </w:rPr>
      </w:pPr>
    </w:p>
    <w:p w14:paraId="3006552D"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68" w:name="_Toc73129015"/>
      <w:bookmarkStart w:id="169" w:name="_Toc85542421"/>
      <w:bookmarkStart w:id="170" w:name="_Toc87349504"/>
      <w:bookmarkStart w:id="171" w:name="_Toc87349617"/>
      <w:bookmarkStart w:id="172" w:name="_Toc87349724"/>
      <w:bookmarkStart w:id="173" w:name="_Toc107248297"/>
      <w:r w:rsidRPr="005459E6">
        <w:rPr>
          <w:rFonts w:ascii="Times New Roman" w:hAnsi="Times New Roman" w:cs="Times New Roman"/>
          <w:color w:val="auto"/>
          <w:sz w:val="22"/>
          <w:szCs w:val="22"/>
        </w:rPr>
        <w:lastRenderedPageBreak/>
        <w:t>Sequential Multiple Method</w:t>
      </w:r>
      <w:bookmarkEnd w:id="168"/>
      <w:bookmarkEnd w:id="169"/>
      <w:bookmarkEnd w:id="170"/>
      <w:bookmarkEnd w:id="171"/>
      <w:bookmarkEnd w:id="172"/>
      <w:bookmarkEnd w:id="173"/>
    </w:p>
    <w:p w14:paraId="686D8EFC" w14:textId="063F2209" w:rsidR="00D47864" w:rsidRPr="005459E6" w:rsidRDefault="004576A9" w:rsidP="00042CB0">
      <w:pPr>
        <w:spacing w:line="360" w:lineRule="auto"/>
        <w:jc w:val="both"/>
        <w:rPr>
          <w:rFonts w:ascii="Times New Roman" w:hAnsi="Times New Roman" w:cs="Times New Roman"/>
        </w:rPr>
      </w:pPr>
      <w:r w:rsidRPr="005459E6">
        <w:rPr>
          <w:rFonts w:ascii="Times New Roman" w:hAnsi="Times New Roman" w:cs="Times New Roman"/>
        </w:rPr>
        <w:t>In this study, it was important to establish whether psychological health affect</w:t>
      </w:r>
      <w:r w:rsidR="00717353" w:rsidRPr="005459E6">
        <w:rPr>
          <w:rFonts w:ascii="Times New Roman" w:hAnsi="Times New Roman" w:cs="Times New Roman"/>
        </w:rPr>
        <w:t>s</w:t>
      </w:r>
      <w:r w:rsidRPr="005459E6">
        <w:rPr>
          <w:rFonts w:ascii="Times New Roman" w:hAnsi="Times New Roman" w:cs="Times New Roman"/>
        </w:rPr>
        <w:t xml:space="preserve"> physical health. Upon confirmation</w:t>
      </w:r>
      <w:r w:rsidR="00717353" w:rsidRPr="005459E6">
        <w:rPr>
          <w:rFonts w:ascii="Times New Roman" w:hAnsi="Times New Roman" w:cs="Times New Roman"/>
        </w:rPr>
        <w:t>,</w:t>
      </w:r>
      <w:r w:rsidRPr="005459E6">
        <w:rPr>
          <w:rFonts w:ascii="Times New Roman" w:hAnsi="Times New Roman" w:cs="Times New Roman"/>
        </w:rPr>
        <w:t xml:space="preserve"> it needed to identify if</w:t>
      </w:r>
      <w:r w:rsidR="00A652D0" w:rsidRPr="005459E6">
        <w:rPr>
          <w:rFonts w:ascii="Times New Roman" w:hAnsi="Times New Roman" w:cs="Times New Roman"/>
        </w:rPr>
        <w:t xml:space="preserve"> the involvement of</w:t>
      </w:r>
      <w:r w:rsidRPr="005459E6">
        <w:rPr>
          <w:rFonts w:ascii="Times New Roman" w:hAnsi="Times New Roman" w:cs="Times New Roman"/>
        </w:rPr>
        <w:t xml:space="preserve"> technology can enhance well-being. When </w:t>
      </w:r>
      <w:r w:rsidR="00717353" w:rsidRPr="005459E6">
        <w:rPr>
          <w:rFonts w:ascii="Times New Roman" w:hAnsi="Times New Roman" w:cs="Times New Roman"/>
        </w:rPr>
        <w:t xml:space="preserve">the </w:t>
      </w:r>
      <w:r w:rsidRPr="005459E6">
        <w:rPr>
          <w:rFonts w:ascii="Times New Roman" w:hAnsi="Times New Roman" w:cs="Times New Roman"/>
        </w:rPr>
        <w:t>previous query was confirmed</w:t>
      </w:r>
      <w:r w:rsidR="00717353" w:rsidRPr="005459E6">
        <w:rPr>
          <w:rFonts w:ascii="Times New Roman" w:hAnsi="Times New Roman" w:cs="Times New Roman"/>
        </w:rPr>
        <w:t>,</w:t>
      </w:r>
      <w:r w:rsidRPr="005459E6">
        <w:rPr>
          <w:rFonts w:ascii="Times New Roman" w:hAnsi="Times New Roman" w:cs="Times New Roman"/>
        </w:rPr>
        <w:t xml:space="preserve"> A.I.</w:t>
      </w:r>
      <w:r w:rsidR="00A11AEF">
        <w:rPr>
          <w:rFonts w:ascii="Times New Roman" w:hAnsi="Times New Roman" w:cs="Times New Roman"/>
        </w:rPr>
        <w:t xml:space="preserve"> </w:t>
      </w:r>
      <w:r w:rsidRPr="005459E6">
        <w:rPr>
          <w:rFonts w:ascii="Times New Roman" w:hAnsi="Times New Roman" w:cs="Times New Roman"/>
        </w:rPr>
        <w:t xml:space="preserve">driven analysis (using ML modeling) was done to observe how emotions get impacted and understand the impact of psychological well-being. Finally, the last </w:t>
      </w:r>
      <w:r w:rsidR="000B5040" w:rsidRPr="005459E6">
        <w:rPr>
          <w:rFonts w:ascii="Times New Roman" w:hAnsi="Times New Roman" w:cs="Times New Roman"/>
        </w:rPr>
        <w:t>stage</w:t>
      </w:r>
      <w:r w:rsidRPr="005459E6">
        <w:rPr>
          <w:rFonts w:ascii="Times New Roman" w:hAnsi="Times New Roman" w:cs="Times New Roman"/>
        </w:rPr>
        <w:t xml:space="preserve"> looked at emotional states and energy levels on workplace productivity.</w:t>
      </w:r>
      <w:r w:rsidR="00D47864" w:rsidRPr="005459E6">
        <w:rPr>
          <w:rFonts w:ascii="Times New Roman" w:hAnsi="Times New Roman" w:cs="Times New Roman"/>
        </w:rPr>
        <w:t xml:space="preserve"> Hence the research methodology adopted 'Sequential Multiple Methodology’ that had been divided into four (4) stages as per the recommendations made by </w:t>
      </w:r>
      <w:r w:rsidR="00D47864" w:rsidRPr="005459E6">
        <w:rPr>
          <w:rFonts w:ascii="Times New Roman" w:hAnsi="Times New Roman" w:cs="Times New Roman"/>
        </w:rPr>
        <w:fldChar w:fldCharType="begin" w:fldLock="1"/>
      </w:r>
      <w:r w:rsidR="00D47864" w:rsidRPr="005459E6">
        <w:rPr>
          <w:rFonts w:ascii="Times New Roman" w:hAnsi="Times New Roman" w:cs="Times New Roman"/>
        </w:rPr>
        <w:instrText>ADDIN CSL_CITATION {"citationItems":[{"id":"ITEM-1","itemData":{"DOI":"10.1177/1744629512462178","ISSN":"17446295","PMID":"23042807","abstract":"This paper explores and advocates the use of sequential multiple methods as a contemporary strategy for undertaking research. Sequential multiple methods involve the use of results obtained through one data collection method to determine the direction and implementation of subsequent stages of a research project (Morse, 1991; Morgan, 1998). This paper will also explore the significance of how triangulating research at the epistemological, theoretical and methodological levels could enhance research. Finally the paper evaluates the significance of sequential multiple method in learning disability nursing research practice. © The Author(s) 2012.","author":[{"dropping-particle":"","family":"Mafuba","given":"Kay","non-dropping-particle":"","parse-names":false,"suffix":""},{"dropping-particle":"","family":"Gates","given":"Bob","non-dropping-particle":"","parse-names":false,"suffix":""}],"container-title":"Journal of Intellectual Disabilities","id":"ITEM-1","issue":"4","issued":{"date-parts":[["2012"]]},"page":"287-296","title":"Sequential multiple methods as a contemporary method in learning disability nursing practice research","type":"article-journal","volume":"16"},"uris":["http://www.mendeley.com/documents/?uuid=69536889-0c54-4a3f-990e-a6f16dc190b0"]}],"mendeley":{"formattedCitation":"(Mafuba &amp; Gates, 2012)","manualFormatting":"Mafuba &amp; Gates (2012)","plainTextFormattedCitation":"(Mafuba &amp; Gates, 2012)","previouslyFormattedCitation":"(Mafuba &amp; Gates, 2012)"},"properties":{"noteIndex":0},"schema":"https://github.com/citation-style-language/schema/raw/master/csl-citation.json"}</w:instrText>
      </w:r>
      <w:r w:rsidR="00D47864" w:rsidRPr="005459E6">
        <w:rPr>
          <w:rFonts w:ascii="Times New Roman" w:hAnsi="Times New Roman" w:cs="Times New Roman"/>
        </w:rPr>
        <w:fldChar w:fldCharType="separate"/>
      </w:r>
      <w:r w:rsidR="00D47864" w:rsidRPr="005459E6">
        <w:rPr>
          <w:rFonts w:ascii="Times New Roman" w:hAnsi="Times New Roman" w:cs="Times New Roman"/>
          <w:noProof/>
        </w:rPr>
        <w:t>Mafuba &amp; Gates (2012)</w:t>
      </w:r>
      <w:r w:rsidR="00D47864" w:rsidRPr="005459E6">
        <w:rPr>
          <w:rFonts w:ascii="Times New Roman" w:hAnsi="Times New Roman" w:cs="Times New Roman"/>
        </w:rPr>
        <w:fldChar w:fldCharType="end"/>
      </w:r>
      <w:r w:rsidR="00D47864" w:rsidRPr="005459E6">
        <w:rPr>
          <w:rFonts w:ascii="Times New Roman" w:hAnsi="Times New Roman" w:cs="Times New Roman"/>
        </w:rPr>
        <w:t>.</w:t>
      </w:r>
    </w:p>
    <w:p w14:paraId="5F88FAEE" w14:textId="4343C119"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 xml:space="preserve">Stage 1 </w:t>
      </w:r>
      <w:r w:rsidRPr="005459E6">
        <w:rPr>
          <w:rFonts w:ascii="Times New Roman" w:hAnsi="Times New Roman" w:cs="Times New Roman"/>
        </w:rPr>
        <w:t xml:space="preserve">(Pilot study) consisted of the exploratory </w:t>
      </w:r>
      <w:r w:rsidR="000B5040" w:rsidRPr="005459E6">
        <w:rPr>
          <w:rFonts w:ascii="Times New Roman" w:hAnsi="Times New Roman" w:cs="Times New Roman"/>
        </w:rPr>
        <w:t>stage</w:t>
      </w:r>
      <w:r w:rsidR="00717353" w:rsidRPr="005459E6">
        <w:rPr>
          <w:rFonts w:ascii="Times New Roman" w:hAnsi="Times New Roman" w:cs="Times New Roman"/>
        </w:rPr>
        <w:t>,</w:t>
      </w:r>
      <w:r w:rsidRPr="005459E6">
        <w:rPr>
          <w:rFonts w:ascii="Times New Roman" w:hAnsi="Times New Roman" w:cs="Times New Roman"/>
        </w:rPr>
        <w:t xml:space="preserve"> where a survey was administered only to the healthcare professional using quota sampling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{"citationItems":[{"id":"ITEM-1","itemData":{"DOI":"10.22037/emergency.v5i1.15215","ISSN":"2345-4563","PMID":"28286859","abstract":"Clinical research usually involves patients with a certain disease or a condition. The generalizability of clinical research findings is based on multiple factors related to the internal and external validity of the research methods. The main methodological issue that influences the generalizability of clinical research findings is the sampling method. In this educational article, we are explaining the different sampling methods in clinical research.","author":[{"dropping-particle":"","family":"Elfil","given":"Mohamed","non-dropping-particle":"","parse-names":false,"suffix":""},{"dropping-particle":"","family":"Negida","given":"Ahmed","non-dropping-particle":"","parse-names":false,"suffix":""}],"container-title":"Emergency (Tehran, Iran)","id":"ITEM-1","issue":"1","issued":{"date-parts":[["2017"]]},"page":"e52","title":"Sampling methods in Clinical Research; an Educational Review.","type":"article-journal","volume":"5"},"uris":["http://www.mendeley.com/documents/?uuid=4b832540-ada8-4232-8c3c-0caba1a7822a"]}],"mendeley":{"formattedCitation":"(Elfil &amp; Negida, 2017)","plainTextFormattedCitation":"(Elfil &amp; Negida, 2017)","previouslyFormattedCitation":"(Elfil &amp; Negida,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(Elfil &amp; Negida, 2017)</w:t>
      </w:r>
      <w:r w:rsidRPr="005459E6">
        <w:rPr>
          <w:rFonts w:ascii="Times New Roman" w:hAnsi="Times New Roman" w:cs="Times New Roman"/>
        </w:rPr>
        <w:fldChar w:fldCharType="end"/>
      </w:r>
      <w:r w:rsidRPr="005459E6">
        <w:rPr>
          <w:rFonts w:ascii="Times New Roman" w:hAnsi="Times New Roman" w:cs="Times New Roman"/>
        </w:rPr>
        <w:t>. The sample size included 40 healthcare professionals and individuals where quantitative data was collected.</w:t>
      </w:r>
    </w:p>
    <w:p w14:paraId="404B2137" w14:textId="2E2AB5A4" w:rsidR="00CD6A5E" w:rsidRPr="005459E6" w:rsidRDefault="004D7E4A" w:rsidP="00042CB0">
      <w:pPr>
        <w:spacing w:line="360" w:lineRule="auto"/>
        <w:jc w:val="both"/>
        <w:rPr>
          <w:rFonts w:ascii="Times New Roman" w:hAnsi="Times New Roman" w:cs="Times New Roman"/>
          <w:i/>
          <w:iCs/>
        </w:rPr>
      </w:pPr>
      <w:r w:rsidRPr="005459E6">
        <w:rPr>
          <w:rFonts w:ascii="Times New Roman" w:hAnsi="Times New Roman" w:cs="Times New Roman"/>
          <w:b/>
          <w:bCs/>
          <w:i/>
          <w:iCs/>
        </w:rPr>
        <w:t>Pearson Correlation</w:t>
      </w:r>
      <w:r w:rsidRPr="005459E6">
        <w:rPr>
          <w:rFonts w:ascii="Times New Roman" w:hAnsi="Times New Roman" w:cs="Times New Roman"/>
          <w:i/>
          <w:iCs/>
        </w:rPr>
        <w:t xml:space="preserve"> was used to explore the relationship between variables to ascertain the existence of psychosomatic effect on health.</w:t>
      </w:r>
    </w:p>
    <w:p w14:paraId="58B67669" w14:textId="35B2F9A8"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 xml:space="preserve">Stage 2 </w:t>
      </w:r>
      <w:r w:rsidRPr="005459E6">
        <w:rPr>
          <w:rFonts w:ascii="Times New Roman" w:hAnsi="Times New Roman" w:cs="Times New Roman"/>
        </w:rPr>
        <w:t xml:space="preserve">(Confirmatory study) included qualitative content analysis (QCA) based on </w:t>
      </w:r>
      <w:r w:rsidR="00CD6A5E" w:rsidRPr="005459E6">
        <w:rPr>
          <w:rFonts w:ascii="Times New Roman" w:hAnsi="Times New Roman" w:cs="Times New Roman"/>
        </w:rPr>
        <w:t>seven</w:t>
      </w:r>
      <w:r w:rsidRPr="005459E6">
        <w:rPr>
          <w:rFonts w:ascii="Times New Roman" w:hAnsi="Times New Roman" w:cs="Times New Roman"/>
        </w:rPr>
        <w:t xml:space="preserve"> relevant </w:t>
      </w:r>
      <w:r w:rsidR="00CD6A5E" w:rsidRPr="005459E6">
        <w:rPr>
          <w:rFonts w:ascii="Times New Roman" w:hAnsi="Times New Roman" w:cs="Times New Roman"/>
        </w:rPr>
        <w:t>case studies</w:t>
      </w:r>
      <w:r w:rsidRPr="005459E6">
        <w:rPr>
          <w:rFonts w:ascii="Times New Roman" w:hAnsi="Times New Roman" w:cs="Times New Roman"/>
        </w:rPr>
        <w:t xml:space="preserve"> with the help of illustrations (such as </w:t>
      </w:r>
      <w:r w:rsidR="00717353" w:rsidRPr="005459E6">
        <w:rPr>
          <w:rFonts w:ascii="Times New Roman" w:hAnsi="Times New Roman" w:cs="Times New Roman"/>
        </w:rPr>
        <w:t xml:space="preserve">a </w:t>
      </w:r>
      <w:r w:rsidRPr="005459E6">
        <w:rPr>
          <w:rFonts w:ascii="Times New Roman" w:hAnsi="Times New Roman" w:cs="Times New Roman"/>
        </w:rPr>
        <w:t xml:space="preserve">co-occurrence </w:t>
      </w:r>
      <w:r w:rsidR="00135FB1" w:rsidRPr="005459E6">
        <w:rPr>
          <w:rFonts w:ascii="Times New Roman" w:hAnsi="Times New Roman" w:cs="Times New Roman"/>
          <w:bCs/>
        </w:rPr>
        <w:t>Table</w:t>
      </w:r>
      <w:r w:rsidRPr="005459E6">
        <w:rPr>
          <w:rFonts w:ascii="Times New Roman" w:hAnsi="Times New Roman" w:cs="Times New Roman"/>
        </w:rPr>
        <w:t xml:space="preserve"> and thematic analysis). This stage further triangulated data from the pilot study (as well as from comments, interview</w:t>
      </w:r>
      <w:r w:rsidR="004970FE" w:rsidRPr="005459E6">
        <w:rPr>
          <w:rFonts w:ascii="Times New Roman" w:hAnsi="Times New Roman" w:cs="Times New Roman"/>
        </w:rPr>
        <w:t>s</w:t>
      </w:r>
      <w:r w:rsidRPr="005459E6">
        <w:rPr>
          <w:rFonts w:ascii="Times New Roman" w:hAnsi="Times New Roman" w:cs="Times New Roman"/>
        </w:rPr>
        <w:t>, and literature).</w:t>
      </w:r>
    </w:p>
    <w:p w14:paraId="21A2B5B2" w14:textId="2C5D0CCB" w:rsidR="00F26554" w:rsidRPr="005459E6" w:rsidRDefault="004D7E4A" w:rsidP="00042CB0">
      <w:pPr>
        <w:spacing w:line="360" w:lineRule="auto"/>
        <w:jc w:val="both"/>
        <w:rPr>
          <w:rFonts w:ascii="Times New Roman" w:hAnsi="Times New Roman" w:cs="Times New Roman"/>
          <w:i/>
          <w:iCs/>
        </w:rPr>
      </w:pPr>
      <w:r w:rsidRPr="005459E6">
        <w:rPr>
          <w:rFonts w:ascii="Times New Roman" w:hAnsi="Times New Roman" w:cs="Times New Roman"/>
          <w:b/>
          <w:bCs/>
          <w:i/>
          <w:iCs/>
        </w:rPr>
        <w:t xml:space="preserve">Qualitative Content Analysis </w:t>
      </w:r>
      <w:r w:rsidRPr="005459E6">
        <w:rPr>
          <w:rFonts w:ascii="Times New Roman" w:hAnsi="Times New Roman" w:cs="Times New Roman"/>
          <w:i/>
          <w:iCs/>
        </w:rPr>
        <w:t xml:space="preserve">was also used to develop illustrations (that could reconfirm the insights drawn from the pilot study) to confirm the role of technology </w:t>
      </w:r>
      <w:r w:rsidR="00717353" w:rsidRPr="005459E6">
        <w:rPr>
          <w:rFonts w:ascii="Times New Roman" w:hAnsi="Times New Roman" w:cs="Times New Roman"/>
          <w:i/>
          <w:iCs/>
        </w:rPr>
        <w:t>in</w:t>
      </w:r>
      <w:r w:rsidRPr="005459E6">
        <w:rPr>
          <w:rFonts w:ascii="Times New Roman" w:hAnsi="Times New Roman" w:cs="Times New Roman"/>
          <w:i/>
          <w:iCs/>
        </w:rPr>
        <w:t xml:space="preserve"> the betterment of psychological well-being.</w:t>
      </w:r>
    </w:p>
    <w:p w14:paraId="1AD0E82D" w14:textId="1E4D96E6"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Stage 3</w:t>
      </w:r>
      <w:r w:rsidRPr="005459E6">
        <w:rPr>
          <w:rFonts w:ascii="Times New Roman" w:hAnsi="Times New Roman" w:cs="Times New Roman"/>
        </w:rPr>
        <w:t xml:space="preserve"> included an experimental study that was conducted using an EEG monitoring tool (</w:t>
      </w:r>
      <w:r w:rsidRPr="005459E6">
        <w:rPr>
          <w:rFonts w:ascii="Times New Roman" w:hAnsi="Times New Roman" w:cs="Times New Roman"/>
          <w:i/>
          <w:iCs/>
        </w:rPr>
        <w:t>called Emotiv brainwear</w:t>
      </w:r>
      <w:r w:rsidRPr="005459E6">
        <w:rPr>
          <w:rFonts w:ascii="Times New Roman" w:hAnsi="Times New Roman" w:cs="Times New Roman"/>
        </w:rPr>
        <w:t xml:space="preserve">). The sample included 1522 unique instances drawn from five cortices of the human brain (named AF3, T7, Pz, T8, AF4). </w:t>
      </w:r>
    </w:p>
    <w:p w14:paraId="66CA13AD" w14:textId="187C9F2F" w:rsidR="00F26554" w:rsidRPr="005459E6" w:rsidRDefault="004D7E4A" w:rsidP="00042CB0">
      <w:pPr>
        <w:spacing w:line="360" w:lineRule="auto"/>
        <w:jc w:val="both"/>
        <w:rPr>
          <w:rFonts w:ascii="Times New Roman" w:hAnsi="Times New Roman" w:cs="Times New Roman"/>
          <w:i/>
          <w:iCs/>
        </w:rPr>
      </w:pPr>
      <w:r w:rsidRPr="005459E6">
        <w:rPr>
          <w:rFonts w:ascii="Times New Roman" w:hAnsi="Times New Roman" w:cs="Times New Roman"/>
          <w:b/>
          <w:bCs/>
          <w:i/>
          <w:iCs/>
        </w:rPr>
        <w:t>Multiple Linear Regression</w:t>
      </w:r>
      <w:r w:rsidRPr="005459E6">
        <w:rPr>
          <w:rFonts w:ascii="Times New Roman" w:hAnsi="Times New Roman" w:cs="Times New Roman"/>
          <w:i/>
          <w:iCs/>
        </w:rPr>
        <w:t xml:space="preserve"> was used to identify the role of emotional states on the stress levels to achieve Objective 1.</w:t>
      </w:r>
    </w:p>
    <w:p w14:paraId="6CD3C2EC" w14:textId="39632855" w:rsidR="00F26554" w:rsidRPr="005459E6" w:rsidRDefault="00F26554" w:rsidP="00042CB0">
      <w:pPr>
        <w:spacing w:line="360" w:lineRule="auto"/>
        <w:jc w:val="both"/>
        <w:rPr>
          <w:rFonts w:ascii="Times New Roman" w:hAnsi="Times New Roman" w:cs="Times New Roman"/>
        </w:rPr>
      </w:pPr>
      <w:r w:rsidRPr="005459E6">
        <w:rPr>
          <w:rFonts w:ascii="Times New Roman" w:hAnsi="Times New Roman" w:cs="Times New Roman"/>
          <w:b/>
          <w:bCs/>
        </w:rPr>
        <w:t>Stage 4</w:t>
      </w:r>
      <w:r w:rsidRPr="005459E6">
        <w:rPr>
          <w:rFonts w:ascii="Times New Roman" w:hAnsi="Times New Roman" w:cs="Times New Roman"/>
        </w:rPr>
        <w:t xml:space="preserve"> was an analytical </w:t>
      </w:r>
      <w:r w:rsidR="000B5040" w:rsidRPr="005459E6">
        <w:rPr>
          <w:rFonts w:ascii="Times New Roman" w:hAnsi="Times New Roman" w:cs="Times New Roman"/>
        </w:rPr>
        <w:t>stage</w:t>
      </w:r>
      <w:r w:rsidRPr="005459E6">
        <w:rPr>
          <w:rFonts w:ascii="Times New Roman" w:hAnsi="Times New Roman" w:cs="Times New Roman"/>
        </w:rPr>
        <w:t xml:space="preserve"> that relied on a questionnaire collected from a pool of 26 therapists, academicians, and scientists that responded to </w:t>
      </w:r>
      <w:r w:rsidR="00717353" w:rsidRPr="005459E6">
        <w:rPr>
          <w:rFonts w:ascii="Times New Roman" w:hAnsi="Times New Roman" w:cs="Times New Roman"/>
        </w:rPr>
        <w:t xml:space="preserve">a </w:t>
      </w:r>
      <w:r w:rsidRPr="005459E6">
        <w:rPr>
          <w:rFonts w:ascii="Times New Roman" w:hAnsi="Times New Roman" w:cs="Times New Roman"/>
        </w:rPr>
        <w:t>set of survey question</w:t>
      </w:r>
      <w:r w:rsidR="00717353" w:rsidRPr="005459E6">
        <w:rPr>
          <w:rFonts w:ascii="Times New Roman" w:hAnsi="Times New Roman" w:cs="Times New Roman"/>
        </w:rPr>
        <w:t>s</w:t>
      </w:r>
      <w:r w:rsidRPr="005459E6">
        <w:rPr>
          <w:rFonts w:ascii="Times New Roman" w:hAnsi="Times New Roman" w:cs="Times New Roman"/>
        </w:rPr>
        <w:t xml:space="preserve">. Their responses captured </w:t>
      </w:r>
      <w:r w:rsidR="00717353" w:rsidRPr="005459E6">
        <w:rPr>
          <w:rFonts w:ascii="Times New Roman" w:hAnsi="Times New Roman" w:cs="Times New Roman"/>
        </w:rPr>
        <w:t>a</w:t>
      </w:r>
      <w:r w:rsidRPr="005459E6">
        <w:rPr>
          <w:rFonts w:ascii="Times New Roman" w:hAnsi="Times New Roman" w:cs="Times New Roman"/>
        </w:rPr>
        <w:t xml:space="preserve"> contextual sense of the role of well-being and its impact on workplace productivity.</w:t>
      </w:r>
    </w:p>
    <w:p w14:paraId="36AC1899" w14:textId="6F285A0E" w:rsidR="004D7E4A" w:rsidRPr="005459E6" w:rsidRDefault="006E7B75" w:rsidP="00042CB0">
      <w:pPr>
        <w:spacing w:line="360" w:lineRule="auto"/>
        <w:jc w:val="both"/>
        <w:rPr>
          <w:rFonts w:ascii="Times New Roman" w:hAnsi="Times New Roman" w:cs="Times New Roman"/>
          <w:i/>
          <w:iCs/>
        </w:rPr>
      </w:pPr>
      <w:r w:rsidRPr="005459E6">
        <w:rPr>
          <w:rFonts w:ascii="Times New Roman" w:hAnsi="Times New Roman" w:cs="Times New Roman"/>
          <w:b/>
          <w:bCs/>
          <w:i/>
          <w:iCs/>
        </w:rPr>
        <w:t xml:space="preserve">Spearman </w:t>
      </w:r>
      <w:r w:rsidR="004970FE" w:rsidRPr="005459E6">
        <w:rPr>
          <w:rFonts w:ascii="Times New Roman" w:hAnsi="Times New Roman" w:cs="Times New Roman"/>
          <w:b/>
          <w:bCs/>
          <w:i/>
          <w:iCs/>
        </w:rPr>
        <w:t>c</w:t>
      </w:r>
      <w:r w:rsidRPr="005459E6">
        <w:rPr>
          <w:rFonts w:ascii="Times New Roman" w:hAnsi="Times New Roman" w:cs="Times New Roman"/>
          <w:b/>
          <w:bCs/>
          <w:i/>
          <w:iCs/>
        </w:rPr>
        <w:t>orrelation</w:t>
      </w:r>
      <w:r w:rsidRPr="005459E6">
        <w:rPr>
          <w:rFonts w:ascii="Times New Roman" w:hAnsi="Times New Roman" w:cs="Times New Roman"/>
          <w:i/>
          <w:iCs/>
        </w:rPr>
        <w:t xml:space="preserve"> </w:t>
      </w:r>
      <w:r w:rsidR="004D7E4A" w:rsidRPr="005459E6">
        <w:rPr>
          <w:rFonts w:ascii="Times New Roman" w:hAnsi="Times New Roman" w:cs="Times New Roman"/>
          <w:i/>
          <w:iCs/>
        </w:rPr>
        <w:t xml:space="preserve">was used to explore the relationship across variables to observe </w:t>
      </w:r>
      <w:r w:rsidR="004970FE" w:rsidRPr="005459E6">
        <w:rPr>
          <w:rFonts w:ascii="Times New Roman" w:hAnsi="Times New Roman" w:cs="Times New Roman"/>
          <w:i/>
          <w:iCs/>
        </w:rPr>
        <w:t xml:space="preserve">the </w:t>
      </w:r>
      <w:r w:rsidR="004D7E4A" w:rsidRPr="005459E6">
        <w:rPr>
          <w:rFonts w:ascii="Times New Roman" w:hAnsi="Times New Roman" w:cs="Times New Roman"/>
          <w:i/>
          <w:iCs/>
        </w:rPr>
        <w:t>impact of Well-being on Workplace productivity fulfilling Objective 2.</w:t>
      </w:r>
      <w:r w:rsidR="006B79B8" w:rsidRPr="005459E6">
        <w:rPr>
          <w:rFonts w:ascii="Times New Roman" w:hAnsi="Times New Roman" w:cs="Times New Roman"/>
          <w:i/>
          <w:iCs/>
        </w:rPr>
        <w:t xml:space="preserve"> </w:t>
      </w:r>
      <w:r w:rsidR="001648CD" w:rsidRPr="005459E6">
        <w:rPr>
          <w:rFonts w:ascii="Times New Roman" w:hAnsi="Times New Roman" w:cs="Times New Roman"/>
        </w:rPr>
        <w:t>The study's first data linkage occurred at the design level, using a sequential design in which the outcomes from each stage of the research were used to construct the next stage of the research design</w:t>
      </w:r>
      <w:r w:rsidR="00EF4641" w:rsidRPr="005459E6">
        <w:rPr>
          <w:rFonts w:ascii="Times New Roman" w:hAnsi="Times New Roman" w:cs="Times New Roman"/>
        </w:rPr>
        <w:t xml:space="preserve"> </w:t>
      </w:r>
      <w:r w:rsidR="00EF4641" w:rsidRPr="005459E6">
        <w:rPr>
          <w:rFonts w:ascii="Times New Roman" w:hAnsi="Times New Roman" w:cs="Times New Roman"/>
        </w:rPr>
        <w:fldChar w:fldCharType="begin" w:fldLock="1"/>
      </w:r>
      <w:r w:rsidR="00EF4641" w:rsidRPr="005459E6">
        <w:rPr>
          <w:rFonts w:ascii="Times New Roman" w:hAnsi="Times New Roman" w:cs="Times New Roman"/>
        </w:rPr>
        <w:instrText>ADDIN CSL_CITATION {"citationItems":[{"id":"ITEM-1","itemData":{"DOI":"10.1177/1558689818762576","ISBN":"1558689818762","ISSN":"15586901","abstract":"Integration in mixed methods involves bringing together quantitative and qualitative approaches. There is a need for practical examples of how to integrate the two approaches in an explanatory sequential design at the methods level and at the interpretation and reporting level. This article reports an explanatory sequential mixed methods study of adolescents’ quantitative judgments about belief-related scientific arguments and qualitative reasons behind those judgements via interviews. This context is used to illustrate how integration can be achieved in an explanatory sequential design at the methods level, through the sampling frame and through the development of the interview protocol with a methodological joint display, and at the interpretation and reporting level through narrative and the use of a results joint display.","author":[{"dropping-particle":"","family":"McCrudden","given":"Matthew T.","non-dropping-particle":"","parse-names":false,"suffix":""},{"dropping-particle":"","family":"McTigue","given":"Erin M.","non-dropping-particle":"","parse-names":false,"suffix":""}],"container-title":"Journal of Mixed Methods Research","id":"ITEM-1","issue":"3","issued":{"date-parts":[["2019"]]},"page":"381-400","title":"Implementing Integration in an Explanatory Sequential Mixed Methods Study of Belief Bias About Climate Change With High School Students","type":"article-journal","volume":"13"},"uris":["http://www.mendeley.com/documents/?uuid=f3c14ba4-4c9d-4566-bccc-6e5363beb42d"]}],"mendeley":{"formattedCitation":"(McCrudden &amp; McTigue, 2019)","plainTextFormattedCitation":"(McCrudden &amp; McTigue, 2019)","previouslyFormattedCitation":"(McCrudden &amp; McTigue, 2019)"},"properties":{"noteIndex":0},"schema":"https://github.com/citation-style-language/schema/raw/master/csl-citation.json"}</w:instrText>
      </w:r>
      <w:r w:rsidR="00EF4641" w:rsidRPr="005459E6">
        <w:rPr>
          <w:rFonts w:ascii="Times New Roman" w:hAnsi="Times New Roman" w:cs="Times New Roman"/>
        </w:rPr>
        <w:fldChar w:fldCharType="separate"/>
      </w:r>
      <w:r w:rsidR="00EF4641" w:rsidRPr="005459E6">
        <w:rPr>
          <w:rFonts w:ascii="Times New Roman" w:hAnsi="Times New Roman" w:cs="Times New Roman"/>
          <w:noProof/>
        </w:rPr>
        <w:t>(McCrudden &amp; McTigue, 2019)</w:t>
      </w:r>
      <w:r w:rsidR="00EF4641" w:rsidRPr="005459E6">
        <w:rPr>
          <w:rFonts w:ascii="Times New Roman" w:hAnsi="Times New Roman" w:cs="Times New Roman"/>
        </w:rPr>
        <w:fldChar w:fldCharType="end"/>
      </w:r>
      <w:r w:rsidR="00EF4641" w:rsidRPr="005459E6">
        <w:rPr>
          <w:rFonts w:ascii="Times New Roman" w:hAnsi="Times New Roman" w:cs="Times New Roman"/>
        </w:rPr>
        <w:t>.</w:t>
      </w:r>
    </w:p>
    <w:p w14:paraId="03387B3B" w14:textId="3A97D47C"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74" w:name="_Toc73129016"/>
      <w:bookmarkStart w:id="175" w:name="_Toc85542422"/>
      <w:bookmarkStart w:id="176" w:name="_Toc87349505"/>
      <w:bookmarkStart w:id="177" w:name="_Toc87349618"/>
      <w:bookmarkStart w:id="178" w:name="_Toc87349725"/>
      <w:bookmarkStart w:id="179" w:name="_Toc107248298"/>
      <w:r w:rsidRPr="005459E6">
        <w:rPr>
          <w:rFonts w:ascii="Times New Roman" w:hAnsi="Times New Roman" w:cs="Times New Roman"/>
          <w:color w:val="auto"/>
          <w:sz w:val="22"/>
          <w:szCs w:val="22"/>
        </w:rPr>
        <w:lastRenderedPageBreak/>
        <w:t>Multivariate Analysis</w:t>
      </w:r>
      <w:bookmarkEnd w:id="174"/>
      <w:bookmarkEnd w:id="175"/>
      <w:bookmarkEnd w:id="176"/>
      <w:bookmarkEnd w:id="177"/>
      <w:bookmarkEnd w:id="178"/>
      <w:bookmarkEnd w:id="179"/>
    </w:p>
    <w:p w14:paraId="423A4A80" w14:textId="77777777" w:rsidR="00A61C1F" w:rsidRPr="005459E6" w:rsidRDefault="00A61C1F" w:rsidP="00042CB0">
      <w:pPr>
        <w:spacing w:line="360" w:lineRule="auto"/>
        <w:jc w:val="both"/>
        <w:rPr>
          <w:rFonts w:ascii="Times New Roman" w:hAnsi="Times New Roman" w:cs="Times New Roman"/>
        </w:rPr>
      </w:pPr>
      <w:r w:rsidRPr="005459E6">
        <w:rPr>
          <w:rFonts w:ascii="Times New Roman" w:hAnsi="Times New Roman" w:cs="Times New Roman"/>
        </w:rPr>
        <w:t>The Brain-Computer Interface (BCI) is a fascinating field of study. BCI systems employ electroencephalographic (EEG) technology to process brain impulses using computer algorithms. EEG (recorded via BCI) has become an important technique for real-time investigation of brain activity, thanks to recent advances in neuroscience.</w:t>
      </w:r>
    </w:p>
    <w:p w14:paraId="5BBA0396" w14:textId="3F5711E7" w:rsidR="00EF4641" w:rsidRPr="005459E6" w:rsidRDefault="00A61C1F" w:rsidP="00042CB0">
      <w:pPr>
        <w:spacing w:line="360" w:lineRule="auto"/>
        <w:jc w:val="both"/>
        <w:rPr>
          <w:rFonts w:ascii="Times New Roman" w:hAnsi="Times New Roman" w:cs="Times New Roman"/>
        </w:rPr>
      </w:pPr>
      <w:r w:rsidRPr="005459E6">
        <w:rPr>
          <w:rFonts w:ascii="Times New Roman" w:hAnsi="Times New Roman" w:cs="Times New Roman"/>
        </w:rPr>
        <w:t>The usability and quality of the signals recorded with the Emotiv device</w:t>
      </w:r>
      <w:r w:rsidR="007D53DE" w:rsidRPr="005459E6">
        <w:rPr>
          <w:rFonts w:ascii="Times New Roman" w:hAnsi="Times New Roman" w:cs="Times New Roman"/>
        </w:rPr>
        <w:t xml:space="preserve"> (model name: I</w:t>
      </w:r>
      <w:r w:rsidR="003F2143">
        <w:rPr>
          <w:rFonts w:ascii="Times New Roman" w:hAnsi="Times New Roman" w:cs="Times New Roman"/>
        </w:rPr>
        <w:t>NSIGHT</w:t>
      </w:r>
      <w:r w:rsidR="007D53DE" w:rsidRPr="005459E6">
        <w:rPr>
          <w:rFonts w:ascii="Times New Roman" w:hAnsi="Times New Roman" w:cs="Times New Roman"/>
        </w:rPr>
        <w:t>)</w:t>
      </w:r>
      <w:r w:rsidRPr="005459E6">
        <w:rPr>
          <w:rFonts w:ascii="Times New Roman" w:hAnsi="Times New Roman" w:cs="Times New Roman"/>
        </w:rPr>
        <w:t xml:space="preserve"> are investigated in this study. </w:t>
      </w:r>
      <w:r w:rsidR="007D53DE" w:rsidRPr="005459E6">
        <w:rPr>
          <w:rFonts w:ascii="Times New Roman" w:hAnsi="Times New Roman" w:cs="Times New Roman"/>
        </w:rPr>
        <w:t xml:space="preserve">With the help of </w:t>
      </w:r>
      <w:r w:rsidR="00717353" w:rsidRPr="005459E6">
        <w:rPr>
          <w:rFonts w:ascii="Times New Roman" w:hAnsi="Times New Roman" w:cs="Times New Roman"/>
        </w:rPr>
        <w:t xml:space="preserve">a </w:t>
      </w:r>
      <w:r w:rsidR="007D53DE" w:rsidRPr="005459E6">
        <w:rPr>
          <w:rFonts w:ascii="Times New Roman" w:hAnsi="Times New Roman" w:cs="Times New Roman"/>
        </w:rPr>
        <w:t>questionnaire, v</w:t>
      </w:r>
      <w:r w:rsidRPr="005459E6">
        <w:rPr>
          <w:rFonts w:ascii="Times New Roman" w:hAnsi="Times New Roman" w:cs="Times New Roman"/>
        </w:rPr>
        <w:t>isual stimuli were presented to the subjects, and responses were recorded using the Emotiv Insight wireless non</w:t>
      </w:r>
      <w:r w:rsidR="007D53DE" w:rsidRPr="005459E6">
        <w:rPr>
          <w:rFonts w:ascii="Times New Roman" w:hAnsi="Times New Roman" w:cs="Times New Roman"/>
        </w:rPr>
        <w:t>-</w:t>
      </w:r>
      <w:r w:rsidRPr="005459E6">
        <w:rPr>
          <w:rFonts w:ascii="Times New Roman" w:hAnsi="Times New Roman" w:cs="Times New Roman"/>
        </w:rPr>
        <w:t xml:space="preserve">invasive EEG equipment </w:t>
      </w:r>
      <w:r w:rsidR="00EF4641"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{"citationItems":[{"id":"ITEM-1","itemData":{"DOI":"10.1051/matecconf/201929201024","abstract":"Brain-Computer Interface (BCI) is a very attractive area and common trend worldwide. The electroencephalographic (EEG) technology is being used by BCI systems that process brain signals through computer algorithms. EEG-based BCI has become an important tool for real-time analysis of brain activity. This article examines the usability and quality of the signals recorded using the Emotiv device. To examine brain activity, visual and auditory stimuli were presented to the subjects and responses was observed using wireless noninvasive EEG device Emotiv Insight. To measure signals the free version of software Emotiv Xavier ControlPanel was used. The results demonstrated that the Emotiv Insight device is suitable for entertainment.","author":[{"dropping-particle":"","family":"Zabcikova","given":"Martina","non-dropping-particle":"","parse-names":false,"suffix":""}],"container-title":"MATEC Web of Conferences","id":"ITEM-1","issued":{"date-parts":[["2019"]]},"page":"01024","title":"Visual and Auditory Stimuli Response, Measured by Emotiv Insight Headset","type":"article-journal","volume":"292"},"uris":["http://www.mendeley.com/documents/?uuid=e4a16c7b-f490-4a54-92c8-21829418c1f9"]}],"mendeley":{"formattedCitation":"(Zabcikova, 2019)","plainTextFormattedCitation":"(Zabcikova, 2019)","previouslyFormattedCitation":"(Zabcikova, 2019)"},"properties":{"noteIndex":0},"schema":"https://github.com/citation-style-language/schema/raw/master/csl-citation.json"}</w:instrText>
      </w:r>
      <w:r w:rsidR="00EF4641" w:rsidRPr="005459E6">
        <w:rPr>
          <w:rFonts w:ascii="Times New Roman" w:hAnsi="Times New Roman" w:cs="Times New Roman"/>
        </w:rPr>
        <w:fldChar w:fldCharType="separate"/>
      </w:r>
      <w:r w:rsidR="00EF4641" w:rsidRPr="005459E6">
        <w:rPr>
          <w:rFonts w:ascii="Times New Roman" w:hAnsi="Times New Roman" w:cs="Times New Roman"/>
          <w:noProof/>
        </w:rPr>
        <w:t>(Zabcikova, 2019)</w:t>
      </w:r>
      <w:r w:rsidR="00EF4641" w:rsidRPr="005459E6">
        <w:rPr>
          <w:rFonts w:ascii="Times New Roman" w:hAnsi="Times New Roman" w:cs="Times New Roman"/>
        </w:rPr>
        <w:fldChar w:fldCharType="end"/>
      </w:r>
      <w:r w:rsidR="00EF4641" w:rsidRPr="005459E6">
        <w:rPr>
          <w:rFonts w:ascii="Times New Roman" w:hAnsi="Times New Roman" w:cs="Times New Roman"/>
        </w:rPr>
        <w:t>.</w:t>
      </w:r>
    </w:p>
    <w:p w14:paraId="45B795A9" w14:textId="0D00A29F" w:rsidR="004D7E4A" w:rsidRPr="005459E6" w:rsidRDefault="00656ECD" w:rsidP="00042CB0">
      <w:pPr>
        <w:spacing w:line="360" w:lineRule="auto"/>
        <w:jc w:val="both"/>
        <w:rPr>
          <w:rFonts w:ascii="Times New Roman" w:hAnsi="Times New Roman" w:cs="Times New Roman"/>
        </w:rPr>
      </w:pPr>
      <w:bookmarkStart w:id="180" w:name="_Toc66470421"/>
      <w:r w:rsidRPr="005459E6">
        <w:rPr>
          <w:rFonts w:ascii="Times New Roman" w:hAnsi="Times New Roman" w:cs="Times New Roman"/>
          <w:noProof/>
        </w:rPr>
        <w:drawing>
          <wp:inline distT="0" distB="0" distL="0" distR="0" wp14:anchorId="6C6B6C79" wp14:editId="67FB2513">
            <wp:extent cx="6276442" cy="33528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b="7970"/>
                    <a:stretch/>
                  </pic:blipFill>
                  <pic:spPr bwMode="auto">
                    <a:xfrm>
                      <a:off x="0" y="0"/>
                      <a:ext cx="6286762" cy="3358313"/>
                    </a:xfrm>
                    <a:prstGeom prst="rect">
                      <a:avLst/>
                    </a:prstGeom>
                    <a:ln>
                      <a:noFill/>
                    </a:ln>
                    <a:extLst>
                      <a:ext uri="{53640926-AAD7-44D8-BBD7-CCE9431645EC}">
                        <a14:shadowObscured xmlns:a14="http://schemas.microsoft.com/office/drawing/2010/main"/>
                      </a:ext>
                    </a:extLst>
                  </pic:spPr>
                </pic:pic>
              </a:graphicData>
            </a:graphic>
          </wp:inline>
        </w:drawing>
      </w:r>
    </w:p>
    <w:bookmarkEnd w:id="180"/>
    <w:p w14:paraId="165967DB" w14:textId="347C94F7" w:rsidR="004D7E4A" w:rsidRPr="005459E6" w:rsidRDefault="00E654AB" w:rsidP="00042CB0">
      <w:pPr>
        <w:pStyle w:val="Sommario1"/>
        <w:rPr>
          <w:rFonts w:ascii="Times New Roman" w:hAnsi="Times New Roman" w:cs="Times New Roman"/>
        </w:rPr>
      </w:pPr>
      <w:r w:rsidRPr="005459E6">
        <w:rPr>
          <w:rFonts w:ascii="Times New Roman" w:hAnsi="Times New Roman" w:cs="Times New Roman"/>
        </w:rPr>
        <w:t xml:space="preserve"> </w:t>
      </w:r>
    </w:p>
    <w:p w14:paraId="28093C1A" w14:textId="6D805FF8" w:rsidR="000B7FB5" w:rsidRPr="005459E6" w:rsidRDefault="00E654AB" w:rsidP="00042CB0">
      <w:pPr>
        <w:pStyle w:val="Didascalia"/>
        <w:spacing w:line="360" w:lineRule="auto"/>
        <w:jc w:val="both"/>
        <w:rPr>
          <w:rFonts w:ascii="Times New Roman" w:hAnsi="Times New Roman" w:cs="Times New Roman"/>
          <w:i w:val="0"/>
          <w:iCs w:val="0"/>
          <w:color w:val="auto"/>
        </w:rPr>
      </w:pPr>
      <w:bookmarkStart w:id="181" w:name="_Toc96343301"/>
      <w:bookmarkStart w:id="182" w:name="_Toc99915976"/>
      <w:bookmarkStart w:id="183" w:name="_Toc104968793"/>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7</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Overview of Research Design</w:t>
      </w:r>
      <w:bookmarkEnd w:id="181"/>
      <w:bookmarkEnd w:id="182"/>
      <w:bookmarkEnd w:id="183"/>
    </w:p>
    <w:p w14:paraId="38E9FF3B" w14:textId="0DEDECDA"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The very first objective of the study that explored the role of positive emotions towards Well-being</w:t>
      </w:r>
      <w:r w:rsidR="00B16366" w:rsidRPr="005459E6">
        <w:rPr>
          <w:rFonts w:ascii="Times New Roman" w:hAnsi="Times New Roman" w:cs="Times New Roman"/>
        </w:rPr>
        <w:t>;</w:t>
      </w:r>
      <w:r w:rsidRPr="005459E6">
        <w:rPr>
          <w:rFonts w:ascii="Times New Roman" w:hAnsi="Times New Roman" w:cs="Times New Roman"/>
        </w:rPr>
        <w:t xml:space="preserve"> was achieved using Regression analysis. Considering the complex nature of neuroscience A.I. based predictive analysis was carried out </w:t>
      </w:r>
      <w:r w:rsidR="001517A8" w:rsidRPr="005459E6">
        <w:rPr>
          <w:rFonts w:ascii="Times New Roman" w:hAnsi="Times New Roman" w:cs="Times New Roman"/>
        </w:rPr>
        <w:fldChar w:fldCharType="begin" w:fldLock="1"/>
      </w:r>
      <w:r w:rsidR="001517A8" w:rsidRPr="005459E6">
        <w:rPr>
          <w:rFonts w:ascii="Times New Roman" w:hAnsi="Times New Roman" w:cs="Times New Roman"/>
        </w:rPr>
        <w:instrText>ADDIN CSL_CITATION {"citationItems":[{"id":"ITEM-1","itemData":{"DOI":"10.1016/j.neuron.2017.06.011","ISSN":"10974199","PMID":"28728020","abstract":"The fields of neuroscience and artificial intelligence (AI) have a long and intertwined history. In more recent times, however, communication and collaboration between the two fields has become less commonplace. In this article, we argue that better understanding biological brains could play a vital role in building intelligent machines. We survey historical interactions between the AI and neuroscience fields and emphasize current advances in AI that have been inspired by the study of neural computation in humans and other animals. We conclude by highlighting shared themes that may be key for advancing future research in both fields. Hassabis et al. review how neuroscience has informed research in artificial intelligence. They argue that a better understanding of biological brains will play a vital role in building intelligent machines.","author":[{"dropping-particle":"","family":"Hassabis","given":"Demis","non-dropping-particle":"","parse-names":false,"suffix":""},{"dropping-particle":"","family":"Kumaran","given":"Dharshan","non-dropping-particle":"","parse-names":false,"suffix":""},{"dropping-particle":"","family":"Summerfield","given":"Christopher","non-dropping-particle":"","parse-names":false,"suffix":""},{"dropping-particle":"","family":"Botvinick","given":"Matthew","non-dropping-particle":"","parse-names":false,"suffix":""}],"container-title":"Neuron","id":"ITEM-1","issue":"2","issued":{"date-parts":[["2017"]]},"page":"245-258","publisher":"Elsevier Inc.","title":"Neuroscience-Inspired Artificial Intelligence","type":"article-journal","volume":"95"},"uris":["http://www.mendeley.com/documents/?uuid=8883b3e7-9a9b-4107-b3f5-0f7ef04f71e5"]}],"mendeley":{"formattedCitation":"(Hassabis et al., 2017)","plainTextFormattedCitation":"(Hassabis et al., 2017)","previouslyFormattedCitation":"(Hassabis et al., 2017)"},"properties":{"noteIndex":0},"schema":"https://github.com/citation-style-language/schema/raw/master/csl-citation.json"}</w:instrText>
      </w:r>
      <w:r w:rsidR="001517A8" w:rsidRPr="005459E6">
        <w:rPr>
          <w:rFonts w:ascii="Times New Roman" w:hAnsi="Times New Roman" w:cs="Times New Roman"/>
        </w:rPr>
        <w:fldChar w:fldCharType="separate"/>
      </w:r>
      <w:r w:rsidR="001517A8" w:rsidRPr="005459E6">
        <w:rPr>
          <w:rFonts w:ascii="Times New Roman" w:hAnsi="Times New Roman" w:cs="Times New Roman"/>
          <w:noProof/>
        </w:rPr>
        <w:t>(Hassabis et al., 2017)</w:t>
      </w:r>
      <w:r w:rsidR="001517A8" w:rsidRPr="005459E6">
        <w:rPr>
          <w:rFonts w:ascii="Times New Roman" w:hAnsi="Times New Roman" w:cs="Times New Roman"/>
        </w:rPr>
        <w:fldChar w:fldCharType="end"/>
      </w:r>
      <w:r w:rsidR="000B7FB5" w:rsidRPr="005459E6">
        <w:rPr>
          <w:rFonts w:ascii="Times New Roman" w:hAnsi="Times New Roman" w:cs="Times New Roman"/>
        </w:rPr>
        <w:t xml:space="preserve">. </w:t>
      </w:r>
      <w:r w:rsidR="006B79B8" w:rsidRPr="005459E6">
        <w:rPr>
          <w:rFonts w:ascii="Times New Roman" w:hAnsi="Times New Roman" w:cs="Times New Roman"/>
        </w:rPr>
        <w:t xml:space="preserve"> </w:t>
      </w:r>
      <w:r w:rsidRPr="005459E6">
        <w:rPr>
          <w:rFonts w:ascii="Times New Roman" w:hAnsi="Times New Roman" w:cs="Times New Roman"/>
        </w:rPr>
        <w:t xml:space="preserve">The second objective that reflected co-created value via well-being was based upon Descriptive statistics. It also infused insights from secondary data </w:t>
      </w:r>
      <w:r w:rsidR="009E1F67" w:rsidRPr="005459E6">
        <w:rPr>
          <w:rFonts w:ascii="Times New Roman" w:hAnsi="Times New Roman" w:cs="Times New Roman"/>
        </w:rPr>
        <w:t>-</w:t>
      </w:r>
      <w:r w:rsidRPr="005459E6">
        <w:rPr>
          <w:rFonts w:ascii="Times New Roman" w:hAnsi="Times New Roman" w:cs="Times New Roman"/>
        </w:rPr>
        <w:t xml:space="preserve"> in the form of </w:t>
      </w:r>
      <w:r w:rsidR="009E388D" w:rsidRPr="005459E6">
        <w:rPr>
          <w:rFonts w:ascii="Times New Roman" w:hAnsi="Times New Roman" w:cs="Times New Roman"/>
        </w:rPr>
        <w:t>prior studies</w:t>
      </w:r>
      <w:r w:rsidRPr="005459E6">
        <w:rPr>
          <w:rFonts w:ascii="Times New Roman" w:hAnsi="Times New Roman" w:cs="Times New Roman"/>
        </w:rPr>
        <w:t xml:space="preserve"> – to reinforce the findings </w:t>
      </w:r>
      <w:r w:rsidR="001517A8" w:rsidRPr="005459E6">
        <w:rPr>
          <w:rFonts w:ascii="Times New Roman" w:hAnsi="Times New Roman" w:cs="Times New Roman"/>
        </w:rPr>
        <w:fldChar w:fldCharType="begin" w:fldLock="1"/>
      </w:r>
      <w:r w:rsidR="00E23A2A" w:rsidRPr="005459E6">
        <w:rPr>
          <w:rFonts w:ascii="Times New Roman" w:hAnsi="Times New Roman" w:cs="Times New Roman"/>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Research","id":"ITEM-1","issue":"August","issued":{"date-parts":[["2019"]]},"page":"333-339","publisher":"Elsevier","title":"Literature review as a research methodology: An overview and guidelines","type":"article-journal","volume":"104"},"uris":["http://www.mendeley.com/documents/?uuid=a5d7c926-8375-4a7d-88ed-79a2eb49fa28"]}],"mendeley":{"formattedCitation":"(Snyder, 2019)","plainTextFormattedCitation":"(Snyder, 2019)","previouslyFormattedCitation":"(Snyder, 2019)"},"properties":{"noteIndex":0},"schema":"https://github.com/citation-style-language/schema/raw/master/csl-citation.json"}</w:instrText>
      </w:r>
      <w:r w:rsidR="001517A8" w:rsidRPr="005459E6">
        <w:rPr>
          <w:rFonts w:ascii="Times New Roman" w:hAnsi="Times New Roman" w:cs="Times New Roman"/>
        </w:rPr>
        <w:fldChar w:fldCharType="separate"/>
      </w:r>
      <w:r w:rsidR="001517A8" w:rsidRPr="005459E6">
        <w:rPr>
          <w:rFonts w:ascii="Times New Roman" w:hAnsi="Times New Roman" w:cs="Times New Roman"/>
          <w:noProof/>
        </w:rPr>
        <w:t>(Snyder, 2019)</w:t>
      </w:r>
      <w:r w:rsidR="001517A8" w:rsidRPr="005459E6">
        <w:rPr>
          <w:rFonts w:ascii="Times New Roman" w:hAnsi="Times New Roman" w:cs="Times New Roman"/>
        </w:rPr>
        <w:fldChar w:fldCharType="end"/>
      </w:r>
      <w:r w:rsidR="000B7FB5" w:rsidRPr="005459E6">
        <w:rPr>
          <w:rFonts w:ascii="Times New Roman" w:hAnsi="Times New Roman" w:cs="Times New Roman"/>
        </w:rPr>
        <w:t>.</w:t>
      </w:r>
      <w:r w:rsidR="00E654AB" w:rsidRPr="005459E6">
        <w:rPr>
          <w:rFonts w:ascii="Times New Roman" w:hAnsi="Times New Roman" w:cs="Times New Roman"/>
        </w:rPr>
        <w:t xml:space="preserve"> </w:t>
      </w:r>
      <w:r w:rsidR="0004433D" w:rsidRPr="005459E6">
        <w:rPr>
          <w:rFonts w:ascii="Times New Roman" w:hAnsi="Times New Roman" w:cs="Times New Roman"/>
        </w:rPr>
        <w:t xml:space="preserve">The same can be observed from the overview of </w:t>
      </w:r>
      <w:r w:rsidR="004970FE" w:rsidRPr="005459E6">
        <w:rPr>
          <w:rFonts w:ascii="Times New Roman" w:hAnsi="Times New Roman" w:cs="Times New Roman"/>
        </w:rPr>
        <w:t xml:space="preserve">the </w:t>
      </w:r>
      <w:r w:rsidR="0004433D" w:rsidRPr="005459E6">
        <w:rPr>
          <w:rFonts w:ascii="Times New Roman" w:hAnsi="Times New Roman" w:cs="Times New Roman"/>
        </w:rPr>
        <w:t xml:space="preserve">research design shown in </w:t>
      </w:r>
      <w:r w:rsidR="0004433D" w:rsidRPr="005459E6">
        <w:rPr>
          <w:rFonts w:ascii="Times New Roman" w:hAnsi="Times New Roman" w:cs="Times New Roman"/>
          <w:b/>
          <w:bCs/>
        </w:rPr>
        <w:t xml:space="preserve">Figure </w:t>
      </w:r>
      <w:r w:rsidR="003777A4" w:rsidRPr="005459E6">
        <w:rPr>
          <w:rFonts w:ascii="Times New Roman" w:hAnsi="Times New Roman" w:cs="Times New Roman"/>
          <w:b/>
          <w:bCs/>
        </w:rPr>
        <w:t>7</w:t>
      </w:r>
      <w:r w:rsidR="0004433D" w:rsidRPr="005459E6">
        <w:rPr>
          <w:rFonts w:ascii="Times New Roman" w:hAnsi="Times New Roman" w:cs="Times New Roman"/>
          <w:b/>
          <w:bCs/>
        </w:rPr>
        <w:t>.</w:t>
      </w:r>
      <w:r w:rsidR="00475EE4" w:rsidRPr="005459E6">
        <w:rPr>
          <w:rFonts w:ascii="Times New Roman" w:hAnsi="Times New Roman" w:cs="Times New Roman"/>
        </w:rPr>
        <w:t xml:space="preserve"> </w:t>
      </w:r>
    </w:p>
    <w:p w14:paraId="03F153C1" w14:textId="66080F3E" w:rsidR="004D7E4A" w:rsidRPr="005459E6" w:rsidRDefault="004D7E4A" w:rsidP="00042CB0">
      <w:pPr>
        <w:pStyle w:val="Titolo1"/>
        <w:spacing w:line="360" w:lineRule="auto"/>
        <w:jc w:val="both"/>
        <w:rPr>
          <w:rFonts w:ascii="Times New Roman" w:hAnsi="Times New Roman" w:cs="Times New Roman"/>
          <w:b/>
          <w:bCs/>
          <w:color w:val="auto"/>
          <w:sz w:val="22"/>
          <w:szCs w:val="22"/>
        </w:rPr>
      </w:pPr>
      <w:bookmarkStart w:id="184" w:name="_Toc87349507"/>
      <w:bookmarkStart w:id="185" w:name="_Toc87349620"/>
      <w:bookmarkStart w:id="186" w:name="_Toc87349727"/>
      <w:bookmarkStart w:id="187" w:name="_Toc107248299"/>
      <w:r w:rsidRPr="005459E6">
        <w:rPr>
          <w:rFonts w:ascii="Times New Roman" w:hAnsi="Times New Roman" w:cs="Times New Roman"/>
          <w:b/>
          <w:bCs/>
          <w:color w:val="auto"/>
          <w:sz w:val="22"/>
          <w:szCs w:val="22"/>
        </w:rPr>
        <w:lastRenderedPageBreak/>
        <w:t>DATA SAMPLING</w:t>
      </w:r>
      <w:bookmarkEnd w:id="184"/>
      <w:bookmarkEnd w:id="185"/>
      <w:bookmarkEnd w:id="186"/>
      <w:bookmarkEnd w:id="187"/>
    </w:p>
    <w:p w14:paraId="5E3DA872" w14:textId="77777777" w:rsidR="00B16366" w:rsidRPr="005459E6" w:rsidRDefault="00B16366" w:rsidP="00042CB0">
      <w:pPr>
        <w:spacing w:line="360" w:lineRule="auto"/>
        <w:jc w:val="both"/>
        <w:rPr>
          <w:rFonts w:ascii="Times New Roman" w:hAnsi="Times New Roman" w:cs="Times New Roman"/>
        </w:rPr>
      </w:pPr>
    </w:p>
    <w:p w14:paraId="5C26B401"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88" w:name="_Toc87349508"/>
      <w:bookmarkStart w:id="189" w:name="_Toc87349621"/>
      <w:bookmarkStart w:id="190" w:name="_Toc87349728"/>
      <w:bookmarkStart w:id="191" w:name="_Toc107248300"/>
      <w:r w:rsidRPr="005459E6">
        <w:rPr>
          <w:rFonts w:ascii="Times New Roman" w:hAnsi="Times New Roman" w:cs="Times New Roman"/>
          <w:color w:val="auto"/>
          <w:sz w:val="22"/>
          <w:szCs w:val="22"/>
        </w:rPr>
        <w:t>Data Type</w:t>
      </w:r>
      <w:bookmarkEnd w:id="188"/>
      <w:bookmarkEnd w:id="189"/>
      <w:bookmarkEnd w:id="190"/>
      <w:bookmarkEnd w:id="191"/>
      <w:r w:rsidRPr="005459E6">
        <w:rPr>
          <w:rFonts w:ascii="Times New Roman" w:hAnsi="Times New Roman" w:cs="Times New Roman"/>
          <w:color w:val="auto"/>
          <w:sz w:val="22"/>
          <w:szCs w:val="22"/>
        </w:rPr>
        <w:tab/>
      </w:r>
    </w:p>
    <w:p w14:paraId="53D48099"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As the study was driven largely by primary data, it was collected in both Quantitative and Qualitative forms.</w:t>
      </w:r>
    </w:p>
    <w:p w14:paraId="1A565F8D" w14:textId="38175FC5"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The secondary data used official documentation as well as academic articles on Electroencephalography (EEG) and relevant </w:t>
      </w:r>
      <w:r w:rsidR="001225C6" w:rsidRPr="005459E6">
        <w:rPr>
          <w:rFonts w:ascii="Times New Roman" w:hAnsi="Times New Roman" w:cs="Times New Roman"/>
        </w:rPr>
        <w:t>studies</w:t>
      </w:r>
      <w:r w:rsidRPr="005459E6">
        <w:rPr>
          <w:rFonts w:ascii="Times New Roman" w:hAnsi="Times New Roman" w:cs="Times New Roman"/>
        </w:rPr>
        <w:t>. It reflected upon the emotional stress experienced by the subjects</w:t>
      </w:r>
      <w:r w:rsidR="004970FE" w:rsidRPr="005459E6">
        <w:rPr>
          <w:rFonts w:ascii="Times New Roman" w:hAnsi="Times New Roman" w:cs="Times New Roman"/>
        </w:rPr>
        <w:t>.</w:t>
      </w:r>
      <w:r w:rsidRPr="005459E6">
        <w:rPr>
          <w:rFonts w:ascii="Times New Roman" w:hAnsi="Times New Roman" w:cs="Times New Roman"/>
        </w:rPr>
        <w:t xml:space="preserve"> The questionnaire included both quantitative and qualitative questions. </w:t>
      </w:r>
    </w:p>
    <w:p w14:paraId="7E9C6243" w14:textId="4983E796"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Simultaneously, quantitative data metrics were collected from the subjects (Refer </w:t>
      </w:r>
      <w:r w:rsidR="00717353" w:rsidRPr="005459E6">
        <w:rPr>
          <w:rFonts w:ascii="Times New Roman" w:hAnsi="Times New Roman" w:cs="Times New Roman"/>
        </w:rPr>
        <w:t xml:space="preserve">to </w:t>
      </w:r>
      <w:r w:rsidR="00135FB1" w:rsidRPr="005459E6">
        <w:rPr>
          <w:rFonts w:ascii="Times New Roman" w:hAnsi="Times New Roman" w:cs="Times New Roman"/>
          <w:b/>
        </w:rPr>
        <w:t>Appendix</w:t>
      </w:r>
      <w:r w:rsidRPr="005459E6">
        <w:rPr>
          <w:rFonts w:ascii="Times New Roman" w:hAnsi="Times New Roman" w:cs="Times New Roman"/>
          <w:b/>
        </w:rPr>
        <w:t xml:space="preserve"> A</w:t>
      </w:r>
      <w:r w:rsidR="00B36159" w:rsidRPr="005459E6">
        <w:rPr>
          <w:rFonts w:ascii="Times New Roman" w:hAnsi="Times New Roman" w:cs="Times New Roman"/>
          <w:b/>
        </w:rPr>
        <w:t xml:space="preserve"> &amp; B</w:t>
      </w:r>
      <w:r w:rsidRPr="005459E6">
        <w:rPr>
          <w:rFonts w:ascii="Times New Roman" w:hAnsi="Times New Roman" w:cs="Times New Roman"/>
        </w:rPr>
        <w:t>). The questionnaire was collected using an Online portal (Typeform) and had several close-ended questions. It reflected the emotions of the subjects during which the experiment was carried</w:t>
      </w:r>
      <w:r w:rsidR="00F42435" w:rsidRPr="005459E6">
        <w:rPr>
          <w:rFonts w:ascii="Times New Roman" w:hAnsi="Times New Roman" w:cs="Times New Roman"/>
        </w:rPr>
        <w:t xml:space="preserve"> out</w:t>
      </w:r>
      <w:r w:rsidRPr="005459E6">
        <w:rPr>
          <w:rFonts w:ascii="Times New Roman" w:hAnsi="Times New Roman" w:cs="Times New Roman"/>
        </w:rPr>
        <w:t>.</w:t>
      </w:r>
    </w:p>
    <w:p w14:paraId="50728D77" w14:textId="77777777" w:rsidR="004D7E4A" w:rsidRPr="005459E6" w:rsidRDefault="004D7E4A" w:rsidP="00042CB0">
      <w:pPr>
        <w:spacing w:line="360" w:lineRule="auto"/>
        <w:jc w:val="both"/>
        <w:rPr>
          <w:rFonts w:ascii="Times New Roman" w:hAnsi="Times New Roman" w:cs="Times New Roman"/>
        </w:rPr>
      </w:pPr>
    </w:p>
    <w:p w14:paraId="55A9E213"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92" w:name="_Toc87349509"/>
      <w:bookmarkStart w:id="193" w:name="_Toc87349622"/>
      <w:bookmarkStart w:id="194" w:name="_Toc87349729"/>
      <w:bookmarkStart w:id="195" w:name="_Toc107248301"/>
      <w:r w:rsidRPr="005459E6">
        <w:rPr>
          <w:rFonts w:ascii="Times New Roman" w:hAnsi="Times New Roman" w:cs="Times New Roman"/>
          <w:color w:val="auto"/>
          <w:sz w:val="22"/>
          <w:szCs w:val="22"/>
        </w:rPr>
        <w:t>Data Measurement</w:t>
      </w:r>
      <w:bookmarkEnd w:id="192"/>
      <w:bookmarkEnd w:id="193"/>
      <w:bookmarkEnd w:id="194"/>
      <w:bookmarkEnd w:id="195"/>
      <w:r w:rsidRPr="005459E6">
        <w:rPr>
          <w:rFonts w:ascii="Times New Roman" w:hAnsi="Times New Roman" w:cs="Times New Roman"/>
          <w:color w:val="auto"/>
          <w:sz w:val="22"/>
          <w:szCs w:val="22"/>
        </w:rPr>
        <w:tab/>
      </w:r>
    </w:p>
    <w:p w14:paraId="727FF5D3" w14:textId="1C32AF35" w:rsidR="00B16366"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Collected data followed </w:t>
      </w:r>
      <w:r w:rsidR="001D1AD4" w:rsidRPr="005459E6">
        <w:rPr>
          <w:rFonts w:ascii="Times New Roman" w:hAnsi="Times New Roman" w:cs="Times New Roman"/>
        </w:rPr>
        <w:t xml:space="preserve">the </w:t>
      </w:r>
      <w:r w:rsidRPr="005459E6">
        <w:rPr>
          <w:rFonts w:ascii="Times New Roman" w:hAnsi="Times New Roman" w:cs="Times New Roman"/>
        </w:rPr>
        <w:t xml:space="preserve">‘Likert scale’ in the form of ordinal data as a most widely used technique where it also included questions with an equal attitudinal scale based on the importance of the question. </w:t>
      </w:r>
      <w:r w:rsidR="00B16366" w:rsidRPr="005459E6">
        <w:rPr>
          <w:rFonts w:ascii="Times New Roman" w:hAnsi="Times New Roman" w:cs="Times New Roman"/>
        </w:rPr>
        <w:t xml:space="preserve"> </w:t>
      </w:r>
    </w:p>
    <w:p w14:paraId="11FDF5C2" w14:textId="7591B955"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It helped reflect on data for further co-relations where the strength of relationships was established using </w:t>
      </w:r>
      <w:r w:rsidR="004970FE" w:rsidRPr="005459E6">
        <w:rPr>
          <w:rFonts w:ascii="Times New Roman" w:hAnsi="Times New Roman" w:cs="Times New Roman"/>
        </w:rPr>
        <w:t xml:space="preserve">an </w:t>
      </w:r>
      <w:r w:rsidRPr="005459E6">
        <w:rPr>
          <w:rFonts w:ascii="Times New Roman" w:hAnsi="Times New Roman" w:cs="Times New Roman"/>
        </w:rPr>
        <w:t xml:space="preserve">appropriate correlation test. </w:t>
      </w:r>
    </w:p>
    <w:p w14:paraId="56C9C3CE" w14:textId="4ED47ED5"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The predictions were made using regression analysis.  </w:t>
      </w:r>
      <w:r w:rsidR="003867F6" w:rsidRPr="005459E6">
        <w:rPr>
          <w:rFonts w:ascii="Times New Roman" w:hAnsi="Times New Roman" w:cs="Times New Roman"/>
        </w:rPr>
        <w:t xml:space="preserve"> </w:t>
      </w:r>
    </w:p>
    <w:p w14:paraId="156995BF" w14:textId="77777777" w:rsidR="004D7E4A" w:rsidRPr="005459E6" w:rsidRDefault="004D7E4A" w:rsidP="00042CB0">
      <w:pPr>
        <w:spacing w:line="360" w:lineRule="auto"/>
        <w:jc w:val="both"/>
        <w:rPr>
          <w:rFonts w:ascii="Times New Roman" w:hAnsi="Times New Roman" w:cs="Times New Roman"/>
        </w:rPr>
      </w:pPr>
    </w:p>
    <w:p w14:paraId="0EA2870C"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196" w:name="_Toc87349510"/>
      <w:bookmarkStart w:id="197" w:name="_Toc87349623"/>
      <w:bookmarkStart w:id="198" w:name="_Toc87349730"/>
      <w:bookmarkStart w:id="199" w:name="_Toc107248302"/>
      <w:r w:rsidRPr="005459E6">
        <w:rPr>
          <w:rFonts w:ascii="Times New Roman" w:hAnsi="Times New Roman" w:cs="Times New Roman"/>
          <w:color w:val="auto"/>
          <w:sz w:val="22"/>
          <w:szCs w:val="22"/>
        </w:rPr>
        <w:t>Data Sampling</w:t>
      </w:r>
      <w:bookmarkEnd w:id="196"/>
      <w:bookmarkEnd w:id="197"/>
      <w:bookmarkEnd w:id="198"/>
      <w:bookmarkEnd w:id="199"/>
      <w:r w:rsidRPr="005459E6">
        <w:rPr>
          <w:rFonts w:ascii="Times New Roman" w:hAnsi="Times New Roman" w:cs="Times New Roman"/>
          <w:color w:val="auto"/>
          <w:sz w:val="22"/>
          <w:szCs w:val="22"/>
        </w:rPr>
        <w:tab/>
      </w:r>
    </w:p>
    <w:p w14:paraId="5B623EE6" w14:textId="77777777" w:rsidR="005151B5" w:rsidRPr="005459E6" w:rsidRDefault="004D7E4A" w:rsidP="005151B5">
      <w:pPr>
        <w:spacing w:line="360" w:lineRule="auto"/>
        <w:jc w:val="both"/>
        <w:rPr>
          <w:rFonts w:ascii="Times New Roman" w:hAnsi="Times New Roman" w:cs="Times New Roman"/>
        </w:rPr>
      </w:pPr>
      <w:r w:rsidRPr="005459E6">
        <w:rPr>
          <w:rFonts w:ascii="Times New Roman" w:hAnsi="Times New Roman" w:cs="Times New Roman"/>
        </w:rPr>
        <w:t xml:space="preserve">The study population, Sample size &amp; Sampling Design revolved around the nature of </w:t>
      </w:r>
      <w:r w:rsidR="004970FE" w:rsidRPr="005459E6">
        <w:rPr>
          <w:rFonts w:ascii="Times New Roman" w:hAnsi="Times New Roman" w:cs="Times New Roman"/>
        </w:rPr>
        <w:t xml:space="preserve">the </w:t>
      </w:r>
      <w:r w:rsidRPr="005459E6">
        <w:rPr>
          <w:rFonts w:ascii="Times New Roman" w:hAnsi="Times New Roman" w:cs="Times New Roman"/>
        </w:rPr>
        <w:t xml:space="preserve">study. Given study deployed ‘stratified sampling’ that has put </w:t>
      </w:r>
      <w:r w:rsidR="00717353" w:rsidRPr="005459E6">
        <w:rPr>
          <w:rFonts w:ascii="Times New Roman" w:hAnsi="Times New Roman" w:cs="Times New Roman"/>
        </w:rPr>
        <w:t xml:space="preserve">a </w:t>
      </w:r>
      <w:r w:rsidRPr="005459E6">
        <w:rPr>
          <w:rFonts w:ascii="Times New Roman" w:hAnsi="Times New Roman" w:cs="Times New Roman"/>
        </w:rPr>
        <w:t xml:space="preserve">narrow focus </w:t>
      </w:r>
      <w:r w:rsidR="003C6752" w:rsidRPr="005459E6">
        <w:rPr>
          <w:rFonts w:ascii="Times New Roman" w:hAnsi="Times New Roman" w:cs="Times New Roman"/>
        </w:rPr>
        <w:t>on</w:t>
      </w:r>
      <w:r w:rsidRPr="005459E6">
        <w:rPr>
          <w:rFonts w:ascii="Times New Roman" w:hAnsi="Times New Roman" w:cs="Times New Roman"/>
        </w:rPr>
        <w:t xml:space="preserve"> similar characteristics of </w:t>
      </w:r>
      <w:r w:rsidR="004970FE" w:rsidRPr="005459E6">
        <w:rPr>
          <w:rFonts w:ascii="Times New Roman" w:hAnsi="Times New Roman" w:cs="Times New Roman"/>
        </w:rPr>
        <w:t xml:space="preserve">the </w:t>
      </w:r>
      <w:r w:rsidRPr="005459E6">
        <w:rPr>
          <w:rFonts w:ascii="Times New Roman" w:hAnsi="Times New Roman" w:cs="Times New Roman"/>
        </w:rPr>
        <w:t>research population.</w:t>
      </w:r>
      <w:r w:rsidR="000D06CE" w:rsidRPr="005459E6">
        <w:rPr>
          <w:rFonts w:ascii="Times New Roman" w:hAnsi="Times New Roman" w:cs="Times New Roman"/>
        </w:rPr>
        <w:t xml:space="preserve"> </w:t>
      </w:r>
      <w:r w:rsidR="005151B5" w:rsidRPr="005459E6">
        <w:rPr>
          <w:rFonts w:ascii="Times New Roman" w:hAnsi="Times New Roman" w:cs="Times New Roman"/>
        </w:rPr>
        <w:t xml:space="preserve">The study relied on a stratified random sampling of either therapists or scientists. The inclusion of these individuals with knowledge of psychosomatic health (educational attainment) could provide more reliable data via questionnaires. Given the complex nature and interactions of brain signals </w:t>
      </w:r>
      <w:r w:rsidR="005151B5" w:rsidRPr="005459E6">
        <w:rPr>
          <w:rFonts w:ascii="Times New Roman" w:hAnsi="Times New Roman" w:cs="Times New Roman"/>
        </w:rPr>
        <w:fldChar w:fldCharType="begin" w:fldLock="1"/>
      </w:r>
      <w:r w:rsidR="005151B5" w:rsidRPr="005459E6">
        <w:rPr>
          <w:rFonts w:ascii="Times New Roman" w:hAnsi="Times New Roman" w:cs="Times New Roman"/>
        </w:rPr>
        <w:instrText>ADDIN CSL_CITATION {"citationItems":[{"id":"ITEM-1","itemData":{"DOI":"10.1016/j.mayocp.2011.12.008","abstract":"Brain-computer interfaces (BCIs) acquire brain signals, analyze them, and translate them into commands that are relayed to output devices that carry out desired actions. BCIs do not use normal neuromuscular output pathways. The main goal of BCI is to replace or restore useful function to people disabled by neuromuscular disorders such as amyotrophic lateral sclerosis, cerebral palsy, stroke, or spinal cord injury. From initial demonstrations of electroencephalography-based spelling and single-neuron-based device control, researchers have gone on to use electroencephalographic, intracortical, electrocorticographic, and other brain signals for increasingly complex control of cursors, robotic arms, prostheses, wheelchairs, and other devices. Brain-computer interfaces may also prove useful for rehabilitation after stroke and for other disorders. In the future, they might augment the performance of surgeons or other medical professionals. Brain-computer interface technology is the focus of a rapidly growing research and development enterprise that is greatly exciting scientists, engineers, clinicians, and the public in general. Its future achievements will depend on advances in 3 crucial areas. Brain-computer interfaces need signal-acquisition hardware that is convenient, portable, safe, and able to function in all environments. Brain-computer interface systems need to be validated in long-term studies of real-world use by people with severe disabilities, and effective and viable models for their widespread dissemination must be implemented. Finally, the day-to-day and moment-to-moment reliability of BCI performance must be improved so that it approaches the reliability of natural muscle-based function.","author":[{"dropping-particle":"","family":"Shih","given":"Jean","non-dropping-particle":"","parse-names":false,"suffix":""},{"dropping-particle":"","family":"Krusienski","given":"Dean","non-dropping-particle":"","parse-names":false,"suffix":""},{"dropping-particle":"","family":"Wolpaw","given":"Jonathan","non-dropping-particle":"","parse-names":false,"suffix":""}],"container-title":"Mayo Clinic proceedings. Mayo Clinic","id":"ITEM-1","issued":{"date-parts":[["2012","3","1"]]},"page":"268-279","title":"Brain-Computer Interfaces in Medicine","type":"article-journal","volume":"87"},"uris":["http://www.mendeley.com/documents/?uuid=b08be5a2-a76d-4e86-9423-551606884e4e"]}],"mendeley":{"formattedCitation":"(Shih et al., 2012)","plainTextFormattedCitation":"(Shih et al., 2012)","previouslyFormattedCitation":"(Shih et al., 2012)"},"properties":{"noteIndex":0},"schema":"https://github.com/citation-style-language/schema/raw/master/csl-citation.json"}</w:instrText>
      </w:r>
      <w:r w:rsidR="005151B5" w:rsidRPr="005459E6">
        <w:rPr>
          <w:rFonts w:ascii="Times New Roman" w:hAnsi="Times New Roman" w:cs="Times New Roman"/>
        </w:rPr>
        <w:fldChar w:fldCharType="separate"/>
      </w:r>
      <w:r w:rsidR="005151B5" w:rsidRPr="005459E6">
        <w:rPr>
          <w:rFonts w:ascii="Times New Roman" w:hAnsi="Times New Roman" w:cs="Times New Roman"/>
          <w:noProof/>
        </w:rPr>
        <w:t>(Shih et al., 2012)</w:t>
      </w:r>
      <w:r w:rsidR="005151B5" w:rsidRPr="005459E6">
        <w:rPr>
          <w:rFonts w:ascii="Times New Roman" w:hAnsi="Times New Roman" w:cs="Times New Roman"/>
        </w:rPr>
        <w:fldChar w:fldCharType="end"/>
      </w:r>
      <w:r w:rsidR="005151B5" w:rsidRPr="005459E6">
        <w:rPr>
          <w:rFonts w:ascii="Times New Roman" w:hAnsi="Times New Roman" w:cs="Times New Roman"/>
        </w:rPr>
        <w:t xml:space="preserve"> and the limitations of data processing, only unique records were considered as samples and used in data modelling.</w:t>
      </w:r>
    </w:p>
    <w:p w14:paraId="31555AD3" w14:textId="2465A6B4"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The sample size was calculated for Large, Medium</w:t>
      </w:r>
      <w:r w:rsidR="00C023E2" w:rsidRPr="005459E6">
        <w:rPr>
          <w:rFonts w:ascii="Times New Roman" w:hAnsi="Times New Roman" w:cs="Times New Roman"/>
        </w:rPr>
        <w:t>,</w:t>
      </w:r>
      <w:r w:rsidRPr="005459E6">
        <w:rPr>
          <w:rFonts w:ascii="Times New Roman" w:hAnsi="Times New Roman" w:cs="Times New Roman"/>
        </w:rPr>
        <w:t xml:space="preserve"> and Small effect sizes</w:t>
      </w:r>
      <w:r w:rsidR="00717353" w:rsidRPr="005459E6">
        <w:rPr>
          <w:rFonts w:ascii="Times New Roman" w:hAnsi="Times New Roman" w:cs="Times New Roman"/>
        </w:rPr>
        <w:t>,</w:t>
      </w:r>
      <w:r w:rsidRPr="005459E6">
        <w:rPr>
          <w:rFonts w:ascii="Times New Roman" w:hAnsi="Times New Roman" w:cs="Times New Roman"/>
        </w:rPr>
        <w:t xml:space="preserve"> considering the approach offered by </w:t>
      </w:r>
      <w:r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{"citationItems":[{"id":"ITEM-1","itemData":{"author":[{"dropping-particle":"","family":"Intellectus Statistics","given":"","non-dropping-particle":"","parse-names":false,"suffix":""}],"id":"ITEM-1","issued":{"date-parts":[["2021"]]},"title":"Intellectus Statistics","type":"article"},"uris":["http://www.mendeley.com/documents/?uuid=9680d20b-83be-485d-8c3e-ea244a6d7ff3"]}],"mendeley":{"formattedCitation":"(Intellectus Statistics, 2021)","manualFormatting":"Intellectus Statistics (2021)","plainTextFormattedCitation":"(Intellectus Statistics, 2021)","previouslyFormattedCitation":"(Intellectus Statistics,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Intellectus Statistics (2021)</w:t>
      </w:r>
      <w:r w:rsidRPr="005459E6">
        <w:rPr>
          <w:rFonts w:ascii="Times New Roman" w:hAnsi="Times New Roman" w:cs="Times New Roman"/>
        </w:rPr>
        <w:fldChar w:fldCharType="end"/>
      </w:r>
      <w:r w:rsidRPr="005459E6">
        <w:rPr>
          <w:rFonts w:ascii="Times New Roman" w:hAnsi="Times New Roman" w:cs="Times New Roman"/>
        </w:rPr>
        <w:t>.</w:t>
      </w:r>
      <w:r w:rsidR="005151B5" w:rsidRPr="005459E6">
        <w:rPr>
          <w:rFonts w:ascii="Times New Roman" w:hAnsi="Times New Roman" w:cs="Times New Roman"/>
        </w:rPr>
        <w:t xml:space="preserve"> </w:t>
      </w:r>
      <w:r w:rsidRPr="005459E6">
        <w:rPr>
          <w:rFonts w:ascii="Times New Roman" w:hAnsi="Times New Roman" w:cs="Times New Roman"/>
        </w:rPr>
        <w:t xml:space="preserve">As this research was carried </w:t>
      </w:r>
      <w:r w:rsidR="004970FE" w:rsidRPr="005459E6">
        <w:rPr>
          <w:rFonts w:ascii="Times New Roman" w:hAnsi="Times New Roman" w:cs="Times New Roman"/>
        </w:rPr>
        <w:t xml:space="preserve">out </w:t>
      </w:r>
      <w:r w:rsidRPr="005459E6">
        <w:rPr>
          <w:rFonts w:ascii="Times New Roman" w:hAnsi="Times New Roman" w:cs="Times New Roman"/>
        </w:rPr>
        <w:t xml:space="preserve">during </w:t>
      </w:r>
      <w:r w:rsidR="00717353" w:rsidRPr="005459E6">
        <w:rPr>
          <w:rFonts w:ascii="Times New Roman" w:hAnsi="Times New Roman" w:cs="Times New Roman"/>
        </w:rPr>
        <w:t xml:space="preserve">the </w:t>
      </w:r>
      <w:r w:rsidRPr="005459E6">
        <w:rPr>
          <w:rFonts w:ascii="Times New Roman" w:hAnsi="Times New Roman" w:cs="Times New Roman"/>
        </w:rPr>
        <w:t>Covid-19 pandemic research, in consideration of social distancing</w:t>
      </w:r>
      <w:r w:rsidR="004970FE" w:rsidRPr="005459E6">
        <w:rPr>
          <w:rFonts w:ascii="Times New Roman" w:hAnsi="Times New Roman" w:cs="Times New Roman"/>
        </w:rPr>
        <w:t>,</w:t>
      </w:r>
      <w:r w:rsidRPr="005459E6">
        <w:rPr>
          <w:rFonts w:ascii="Times New Roman" w:hAnsi="Times New Roman" w:cs="Times New Roman"/>
        </w:rPr>
        <w:t xml:space="preserve"> it </w:t>
      </w:r>
      <w:r w:rsidR="00B16366" w:rsidRPr="005459E6">
        <w:rPr>
          <w:rFonts w:ascii="Times New Roman" w:hAnsi="Times New Roman" w:cs="Times New Roman"/>
        </w:rPr>
        <w:t xml:space="preserve">used </w:t>
      </w:r>
      <w:r w:rsidR="00717353" w:rsidRPr="005459E6">
        <w:rPr>
          <w:rFonts w:ascii="Times New Roman" w:hAnsi="Times New Roman" w:cs="Times New Roman"/>
        </w:rPr>
        <w:t xml:space="preserve">a </w:t>
      </w:r>
      <w:r w:rsidRPr="005459E6">
        <w:rPr>
          <w:rFonts w:ascii="Times New Roman" w:hAnsi="Times New Roman" w:cs="Times New Roman"/>
        </w:rPr>
        <w:t>‘Large effect size’ for this study.</w:t>
      </w:r>
    </w:p>
    <w:p w14:paraId="7A506CA6" w14:textId="77777777" w:rsidR="004D7E4A" w:rsidRPr="005459E6" w:rsidRDefault="004D7E4A" w:rsidP="00042CB0">
      <w:pPr>
        <w:spacing w:line="360" w:lineRule="auto"/>
        <w:jc w:val="both"/>
        <w:rPr>
          <w:rFonts w:ascii="Times New Roman" w:hAnsi="Times New Roman" w:cs="Times New Roman"/>
        </w:rPr>
      </w:pPr>
    </w:p>
    <w:p w14:paraId="1231CDED" w14:textId="296D3B3C"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200" w:name="_Toc87349511"/>
      <w:bookmarkStart w:id="201" w:name="_Toc87349624"/>
      <w:bookmarkStart w:id="202" w:name="_Toc87349731"/>
      <w:bookmarkStart w:id="203" w:name="_Toc107248303"/>
      <w:r w:rsidRPr="005459E6">
        <w:rPr>
          <w:rFonts w:ascii="Times New Roman" w:hAnsi="Times New Roman" w:cs="Times New Roman"/>
          <w:color w:val="auto"/>
          <w:sz w:val="22"/>
          <w:szCs w:val="22"/>
        </w:rPr>
        <w:t xml:space="preserve">Sample </w:t>
      </w:r>
      <w:bookmarkEnd w:id="200"/>
      <w:bookmarkEnd w:id="201"/>
      <w:bookmarkEnd w:id="202"/>
      <w:r w:rsidRPr="005459E6">
        <w:rPr>
          <w:rFonts w:ascii="Times New Roman" w:hAnsi="Times New Roman" w:cs="Times New Roman"/>
          <w:color w:val="auto"/>
          <w:sz w:val="22"/>
          <w:szCs w:val="22"/>
        </w:rPr>
        <w:t>Size</w:t>
      </w:r>
      <w:bookmarkEnd w:id="203"/>
      <w:r w:rsidRPr="005459E6">
        <w:rPr>
          <w:rFonts w:ascii="Times New Roman" w:hAnsi="Times New Roman" w:cs="Times New Roman"/>
          <w:color w:val="auto"/>
          <w:sz w:val="22"/>
          <w:szCs w:val="22"/>
        </w:rPr>
        <w:tab/>
      </w:r>
    </w:p>
    <w:p w14:paraId="1BB5C69B" w14:textId="77777777" w:rsidR="004D7E4A" w:rsidRPr="005459E6" w:rsidRDefault="004D7E4A"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Sample for Pearson Correlation</w:t>
      </w:r>
    </w:p>
    <w:p w14:paraId="101D2456" w14:textId="77777777" w:rsidR="002A0E41" w:rsidRPr="005459E6" w:rsidRDefault="002A0E41" w:rsidP="00042CB0">
      <w:pPr>
        <w:spacing w:before="240" w:after="240" w:line="360" w:lineRule="auto"/>
        <w:jc w:val="both"/>
        <w:rPr>
          <w:rFonts w:ascii="Times New Roman" w:hAnsi="Times New Roman" w:cs="Times New Roman"/>
          <w:b/>
          <w:bCs/>
          <w:i/>
          <w:iCs/>
        </w:rPr>
      </w:pPr>
    </w:p>
    <w:p w14:paraId="2790E30E" w14:textId="48340E80" w:rsidR="004D7E4A" w:rsidRPr="005459E6" w:rsidRDefault="004D7E4A" w:rsidP="00042CB0">
      <w:pPr>
        <w:spacing w:before="240" w:after="240" w:line="360" w:lineRule="auto"/>
        <w:jc w:val="both"/>
        <w:rPr>
          <w:rFonts w:ascii="Times New Roman" w:hAnsi="Times New Roman" w:cs="Times New Roman"/>
        </w:rPr>
      </w:pPr>
      <w:r w:rsidRPr="005459E6">
        <w:rPr>
          <w:rFonts w:ascii="Times New Roman" w:hAnsi="Times New Roman" w:cs="Times New Roman"/>
          <w:b/>
          <w:bCs/>
          <w:i/>
          <w:iCs/>
        </w:rPr>
        <w:t>Large Effect Size</w:t>
      </w:r>
    </w:p>
    <w:p w14:paraId="0979A217" w14:textId="0CA5B271" w:rsidR="004D7E4A" w:rsidRPr="005459E6" w:rsidRDefault="00A17151" w:rsidP="00042CB0">
      <w:pPr>
        <w:spacing w:before="240" w:after="240" w:line="360" w:lineRule="auto"/>
        <w:jc w:val="both"/>
        <w:rPr>
          <w:rFonts w:ascii="Times New Roman" w:hAnsi="Times New Roman" w:cs="Times New Roman"/>
        </w:rPr>
      </w:pPr>
      <w:r w:rsidRPr="005459E6">
        <w:rPr>
          <w:rFonts w:ascii="Times New Roman" w:hAnsi="Times New Roman" w:cs="Times New Roman"/>
        </w:rPr>
        <w:t xml:space="preserve">With an alpha of 0.05, a power of 0.80, a big effect size (p =.5), and two tails, a power analysis for a Pearson correlation </w:t>
      </w:r>
      <w:r w:rsidR="00C06770" w:rsidRPr="005459E6">
        <w:rPr>
          <w:rFonts w:ascii="Times New Roman" w:hAnsi="Times New Roman" w:cs="Times New Roman"/>
        </w:rPr>
        <w:t>w</w:t>
      </w:r>
      <w:r w:rsidR="00E91E1A">
        <w:rPr>
          <w:rFonts w:ascii="Times New Roman" w:hAnsi="Times New Roman" w:cs="Times New Roman"/>
        </w:rPr>
        <w:t>as</w:t>
      </w:r>
      <w:r w:rsidRPr="005459E6">
        <w:rPr>
          <w:rFonts w:ascii="Times New Roman" w:hAnsi="Times New Roman" w:cs="Times New Roman"/>
        </w:rPr>
        <w:t xml:space="preserve"> conducted in G*Power to establish a sufficient sample size</w:t>
      </w:r>
      <w:r w:rsidR="003867F6" w:rsidRPr="005459E6">
        <w:rPr>
          <w:rFonts w:ascii="Times New Roman" w:hAnsi="Times New Roman" w:cs="Times New Roman"/>
        </w:rPr>
        <w:t xml:space="preserve"> </w:t>
      </w:r>
      <w:r w:rsidR="003867F6"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(Faul et al., 2009)</w:t>
      </w:r>
      <w:r w:rsidR="003867F6" w:rsidRPr="005459E6">
        <w:rPr>
          <w:rFonts w:ascii="Times New Roman" w:hAnsi="Times New Roman" w:cs="Times New Roman"/>
        </w:rPr>
        <w:fldChar w:fldCharType="end"/>
      </w:r>
      <w:r w:rsidR="003867F6" w:rsidRPr="005459E6">
        <w:rPr>
          <w:rFonts w:ascii="Times New Roman" w:hAnsi="Times New Roman" w:cs="Times New Roman"/>
        </w:rPr>
        <w:t xml:space="preserve">. </w:t>
      </w:r>
      <w:r w:rsidRPr="005459E6">
        <w:rPr>
          <w:rFonts w:ascii="Times New Roman" w:hAnsi="Times New Roman" w:cs="Times New Roman"/>
        </w:rPr>
        <w:t>The desired sample size is 26 based on the aforementioned assumptions.</w:t>
      </w:r>
    </w:p>
    <w:p w14:paraId="02C35BE5" w14:textId="77777777" w:rsidR="00A17151" w:rsidRPr="005459E6" w:rsidRDefault="00A17151" w:rsidP="00042CB0">
      <w:pPr>
        <w:spacing w:before="240" w:after="240" w:line="360" w:lineRule="auto"/>
        <w:jc w:val="both"/>
        <w:rPr>
          <w:rFonts w:ascii="Times New Roman" w:hAnsi="Times New Roman" w:cs="Times New Roman"/>
        </w:rPr>
      </w:pPr>
    </w:p>
    <w:p w14:paraId="1A4BF259" w14:textId="77777777" w:rsidR="004D7E4A" w:rsidRPr="005459E6" w:rsidRDefault="004D7E4A" w:rsidP="00042CB0">
      <w:pPr>
        <w:spacing w:before="240" w:after="240" w:line="360" w:lineRule="auto"/>
        <w:jc w:val="both"/>
        <w:rPr>
          <w:rFonts w:ascii="Times New Roman" w:hAnsi="Times New Roman" w:cs="Times New Roman"/>
        </w:rPr>
      </w:pPr>
      <w:r w:rsidRPr="005459E6">
        <w:rPr>
          <w:rFonts w:ascii="Times New Roman" w:hAnsi="Times New Roman" w:cs="Times New Roman"/>
          <w:b/>
          <w:bCs/>
          <w:i/>
          <w:iCs/>
        </w:rPr>
        <w:t>Medium Effect Size</w:t>
      </w:r>
    </w:p>
    <w:p w14:paraId="16C937CC" w14:textId="06F52B22" w:rsidR="004D7E4A" w:rsidRPr="005459E6" w:rsidRDefault="002A0E41" w:rsidP="00042CB0">
      <w:pPr>
        <w:spacing w:before="240" w:after="240" w:line="360" w:lineRule="auto"/>
        <w:jc w:val="both"/>
        <w:rPr>
          <w:rFonts w:ascii="Times New Roman" w:hAnsi="Times New Roman" w:cs="Times New Roman"/>
        </w:rPr>
      </w:pPr>
      <w:r w:rsidRPr="005459E6">
        <w:rPr>
          <w:rFonts w:ascii="Times New Roman" w:hAnsi="Times New Roman" w:cs="Times New Roman"/>
        </w:rPr>
        <w:t xml:space="preserve">Power analysis for a Pearson correlation </w:t>
      </w:r>
      <w:r w:rsidR="00A5649E" w:rsidRPr="005459E6">
        <w:rPr>
          <w:rFonts w:ascii="Times New Roman" w:hAnsi="Times New Roman" w:cs="Times New Roman"/>
        </w:rPr>
        <w:t>can be</w:t>
      </w:r>
      <w:r w:rsidRPr="005459E6">
        <w:rPr>
          <w:rFonts w:ascii="Times New Roman" w:hAnsi="Times New Roman" w:cs="Times New Roman"/>
        </w:rPr>
        <w:t xml:space="preserve"> carried out considering the G*Power to determine a sufficient sample size with an alpha of 0.05, a power of 0.80, a medium effect size (p = .3), and two tails </w:t>
      </w:r>
      <w:r w:rsidR="003867F6"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(Faul et al., 2009)</w:t>
      </w:r>
      <w:r w:rsidR="003867F6" w:rsidRPr="005459E6">
        <w:rPr>
          <w:rFonts w:ascii="Times New Roman" w:hAnsi="Times New Roman" w:cs="Times New Roman"/>
        </w:rPr>
        <w:fldChar w:fldCharType="end"/>
      </w:r>
      <w:r w:rsidR="003867F6" w:rsidRPr="005459E6">
        <w:rPr>
          <w:rFonts w:ascii="Times New Roman" w:hAnsi="Times New Roman" w:cs="Times New Roman"/>
        </w:rPr>
        <w:t xml:space="preserve">. </w:t>
      </w:r>
      <w:r w:rsidRPr="005459E6">
        <w:rPr>
          <w:rFonts w:ascii="Times New Roman" w:hAnsi="Times New Roman" w:cs="Times New Roman"/>
        </w:rPr>
        <w:t>Based on the aforementioned assumptions, the desired sample size is 82.</w:t>
      </w:r>
    </w:p>
    <w:p w14:paraId="4B218E8F" w14:textId="77777777" w:rsidR="002A0E41" w:rsidRPr="005459E6" w:rsidRDefault="002A0E41" w:rsidP="00042CB0">
      <w:pPr>
        <w:spacing w:before="240" w:after="240" w:line="360" w:lineRule="auto"/>
        <w:rPr>
          <w:rFonts w:ascii="Times New Roman" w:hAnsi="Times New Roman" w:cs="Times New Roman"/>
          <w:b/>
          <w:bCs/>
          <w:i/>
          <w:iCs/>
        </w:rPr>
      </w:pPr>
    </w:p>
    <w:p w14:paraId="406E3E56" w14:textId="4A001BFE" w:rsidR="004D7E4A" w:rsidRPr="005459E6" w:rsidRDefault="004D7E4A" w:rsidP="00042CB0">
      <w:pPr>
        <w:spacing w:before="240" w:after="240" w:line="360" w:lineRule="auto"/>
        <w:rPr>
          <w:rFonts w:ascii="Times New Roman" w:hAnsi="Times New Roman" w:cs="Times New Roman"/>
        </w:rPr>
      </w:pPr>
      <w:r w:rsidRPr="005459E6">
        <w:rPr>
          <w:rFonts w:ascii="Times New Roman" w:hAnsi="Times New Roman" w:cs="Times New Roman"/>
          <w:b/>
          <w:bCs/>
          <w:i/>
          <w:iCs/>
        </w:rPr>
        <w:t>Small Effect Size</w:t>
      </w:r>
      <w:r w:rsidRPr="005459E6">
        <w:rPr>
          <w:rFonts w:ascii="Times New Roman" w:hAnsi="Times New Roman" w:cs="Times New Roman"/>
        </w:rPr>
        <w:br/>
      </w:r>
      <w:r w:rsidR="002A0E41" w:rsidRPr="005459E6">
        <w:rPr>
          <w:rFonts w:ascii="Times New Roman" w:hAnsi="Times New Roman" w:cs="Times New Roman"/>
        </w:rPr>
        <w:t xml:space="preserve">With an alpha of 0.05, a power of 0.80, a small effect size (p =.1), and two tails, a power analysis for a Pearson correlation </w:t>
      </w:r>
      <w:r w:rsidR="00E27AB9" w:rsidRPr="005459E6">
        <w:rPr>
          <w:rFonts w:ascii="Times New Roman" w:hAnsi="Times New Roman" w:cs="Times New Roman"/>
        </w:rPr>
        <w:t xml:space="preserve">can also be </w:t>
      </w:r>
      <w:r w:rsidR="002A0E41" w:rsidRPr="005459E6">
        <w:rPr>
          <w:rFonts w:ascii="Times New Roman" w:hAnsi="Times New Roman" w:cs="Times New Roman"/>
        </w:rPr>
        <w:t xml:space="preserve">conducted in G*Power to establish a sufficient sample size </w:t>
      </w:r>
      <w:r w:rsidR="003867F6"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(Faul et al., 2009)</w:t>
      </w:r>
      <w:r w:rsidR="003867F6" w:rsidRPr="005459E6">
        <w:rPr>
          <w:rFonts w:ascii="Times New Roman" w:hAnsi="Times New Roman" w:cs="Times New Roman"/>
        </w:rPr>
        <w:fldChar w:fldCharType="end"/>
      </w:r>
      <w:r w:rsidR="003867F6" w:rsidRPr="005459E6">
        <w:rPr>
          <w:rFonts w:ascii="Times New Roman" w:hAnsi="Times New Roman" w:cs="Times New Roman"/>
        </w:rPr>
        <w:t xml:space="preserve">. </w:t>
      </w:r>
      <w:r w:rsidR="002A0E41" w:rsidRPr="005459E6">
        <w:rPr>
          <w:rFonts w:ascii="Times New Roman" w:hAnsi="Times New Roman" w:cs="Times New Roman"/>
        </w:rPr>
        <w:t>The desired sample size is 779, based on the aforementioned assumptions.</w:t>
      </w:r>
    </w:p>
    <w:p w14:paraId="605A500B" w14:textId="77777777" w:rsidR="004D7E4A" w:rsidRPr="005459E6" w:rsidRDefault="004D7E4A" w:rsidP="00042CB0">
      <w:pPr>
        <w:spacing w:line="360" w:lineRule="auto"/>
        <w:jc w:val="both"/>
        <w:rPr>
          <w:rFonts w:ascii="Times New Roman" w:hAnsi="Times New Roman" w:cs="Times New Roman"/>
          <w:i/>
          <w:iCs/>
        </w:rPr>
      </w:pPr>
    </w:p>
    <w:p w14:paraId="03BD97EE" w14:textId="4BBB4E66" w:rsidR="004D7E4A" w:rsidRPr="005459E6" w:rsidRDefault="004D7E4A" w:rsidP="00042CB0">
      <w:pPr>
        <w:spacing w:line="360" w:lineRule="auto"/>
        <w:jc w:val="both"/>
        <w:rPr>
          <w:rFonts w:ascii="Times New Roman" w:hAnsi="Times New Roman" w:cs="Times New Roman"/>
          <w:i/>
          <w:iCs/>
        </w:rPr>
      </w:pPr>
      <w:r w:rsidRPr="005459E6">
        <w:rPr>
          <w:rFonts w:ascii="Times New Roman" w:hAnsi="Times New Roman" w:cs="Times New Roman"/>
          <w:i/>
          <w:iCs/>
        </w:rPr>
        <w:t xml:space="preserve">Considering this study was carried </w:t>
      </w:r>
      <w:r w:rsidR="004970FE" w:rsidRPr="005459E6">
        <w:rPr>
          <w:rFonts w:ascii="Times New Roman" w:hAnsi="Times New Roman" w:cs="Times New Roman"/>
          <w:i/>
          <w:iCs/>
        </w:rPr>
        <w:t xml:space="preserve">out </w:t>
      </w:r>
      <w:r w:rsidRPr="005459E6">
        <w:rPr>
          <w:rFonts w:ascii="Times New Roman" w:hAnsi="Times New Roman" w:cs="Times New Roman"/>
          <w:i/>
          <w:iCs/>
        </w:rPr>
        <w:t xml:space="preserve">during the Covid-19 times, the practical difficulty of data collection with social distancing allowed data collection possible only for </w:t>
      </w:r>
      <w:r w:rsidR="00E91E1A">
        <w:rPr>
          <w:rFonts w:ascii="Times New Roman" w:hAnsi="Times New Roman" w:cs="Times New Roman"/>
          <w:i/>
          <w:iCs/>
        </w:rPr>
        <w:t xml:space="preserve">a </w:t>
      </w:r>
      <w:r w:rsidRPr="005459E6">
        <w:rPr>
          <w:rFonts w:ascii="Times New Roman" w:hAnsi="Times New Roman" w:cs="Times New Roman"/>
          <w:i/>
          <w:iCs/>
        </w:rPr>
        <w:t>large effect size.</w:t>
      </w:r>
    </w:p>
    <w:p w14:paraId="1B7A4873" w14:textId="77777777" w:rsidR="004D7E4A" w:rsidRPr="005459E6" w:rsidRDefault="004D7E4A" w:rsidP="00042CB0">
      <w:pPr>
        <w:spacing w:line="360" w:lineRule="auto"/>
        <w:jc w:val="both"/>
        <w:rPr>
          <w:rFonts w:ascii="Times New Roman" w:hAnsi="Times New Roman" w:cs="Times New Roman"/>
        </w:rPr>
      </w:pPr>
    </w:p>
    <w:p w14:paraId="3D3A2617" w14:textId="77777777" w:rsidR="004D7E4A" w:rsidRPr="005459E6" w:rsidRDefault="004D7E4A" w:rsidP="00042CB0">
      <w:pPr>
        <w:spacing w:line="360" w:lineRule="auto"/>
        <w:jc w:val="both"/>
        <w:rPr>
          <w:rFonts w:ascii="Times New Roman" w:hAnsi="Times New Roman" w:cs="Times New Roman"/>
        </w:rPr>
      </w:pPr>
    </w:p>
    <w:p w14:paraId="7AD410AD" w14:textId="77777777" w:rsidR="004D7E4A" w:rsidRPr="005459E6" w:rsidRDefault="004D7E4A" w:rsidP="00042CB0">
      <w:pPr>
        <w:spacing w:line="360" w:lineRule="auto"/>
        <w:jc w:val="both"/>
        <w:rPr>
          <w:rFonts w:ascii="Times New Roman" w:hAnsi="Times New Roman" w:cs="Times New Roman"/>
        </w:rPr>
      </w:pPr>
    </w:p>
    <w:p w14:paraId="3490B243" w14:textId="77777777" w:rsidR="004D7E4A" w:rsidRPr="005459E6" w:rsidRDefault="004D7E4A" w:rsidP="00042CB0">
      <w:pPr>
        <w:spacing w:line="360" w:lineRule="auto"/>
        <w:jc w:val="both"/>
        <w:rPr>
          <w:rFonts w:ascii="Times New Roman" w:hAnsi="Times New Roman" w:cs="Times New Roman"/>
        </w:rPr>
      </w:pPr>
    </w:p>
    <w:p w14:paraId="3D25E4B2" w14:textId="77777777" w:rsidR="004D7E4A" w:rsidRPr="005459E6" w:rsidRDefault="004D7E4A" w:rsidP="00042CB0">
      <w:pPr>
        <w:spacing w:line="360" w:lineRule="auto"/>
        <w:jc w:val="both"/>
        <w:rPr>
          <w:rFonts w:ascii="Times New Roman" w:hAnsi="Times New Roman" w:cs="Times New Roman"/>
        </w:rPr>
      </w:pPr>
    </w:p>
    <w:p w14:paraId="71C3618B" w14:textId="77777777" w:rsidR="004D7E4A" w:rsidRPr="005459E6" w:rsidRDefault="004D7E4A"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Sample for Qualitative Content Analysis</w:t>
      </w:r>
    </w:p>
    <w:p w14:paraId="6F820C60" w14:textId="686A79C5" w:rsidR="004D7E4A" w:rsidRPr="005459E6" w:rsidRDefault="004D7E4A"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 xml:space="preserve">This study analyzed multiple case studies to understand the nature of healthcare practices and reflected on their dynamics </w:t>
      </w:r>
      <w:r w:rsidRPr="005459E6">
        <w:rPr>
          <w:rFonts w:ascii="Times New Roman" w:hAnsi="Times New Roman" w:cs="Times New Roman"/>
        </w:rPr>
        <w:fldChar w:fldCharType="begin" w:fldLock="1"/>
      </w:r>
      <w:r w:rsidR="001517A8" w:rsidRPr="005459E6">
        <w:rPr>
          <w:rFonts w:ascii="Times New Roman" w:hAnsi="Times New Roman" w:cs="Times New Roman"/>
        </w:rPr>
        <w:instrText>ADDIN CSL_CITATION {"citationItems":[{"id":"ITEM-1","itemData":{"DOI":"10.1115/DETC2008-49980","ISBN":"978-0-7918-4328-4","abstract":"Case studies are used in design research to analyze a phenomenon, to generate hypotheses, and to validate a method. Though they are used extensively, there appears to be no accepted systematic case study method used by design researchers. Considering its nature and objectives, the case study method could be considered as a suitable method for conducting design research. Many times, design researchers have to confront questions about the validity of using case studies and their results. The objective of this paper is to present a brief overview of case study method, compare it with other qualitative and quantitative research methods, and study the merits and limitations of using the same in design research. Requirements are derived from the general characteristics of design research. Four popular research strategies are evaluated with respect to the requirements. A preliminary benchmark study suggests that case study method is a suitable method for conducting design research.","author":[{"dropping-particle":"","family":"Teegavarapu","given":"Sudhakar","non-dropping-particle":"","parse-names":false,"suffix":""},{"dropping-particle":"","family":"Summers","given":"Joshua D","non-dropping-particle":"","parse-names":false,"suffix":""},{"dropping-particle":"","family":"Mocko","given":"Gregory M","non-dropping-particle":"","parse-names":false,"suffix":""}],"container-title":"International design engineering technical conferences and computers and information in engineering conference","id":"ITEM-1","issued":{"date-parts":[["2008","8","3"]]},"page":"495-503","title":"Case Study Method for Design Research: A Justification","type":"paper-conference","volume":"43284"},"uris":["http://www.mendeley.com/documents/?uuid=a996d48c-824f-49d5-9ce7-ed9bb752d761"]}],"mendeley":{"formattedCitation":"(Teegavarapu et al., 2008)","plainTextFormattedCitation":"(Teegavarapu et al., 2008)","previouslyFormattedCitation":"(Teegavarapu et al.,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(Teegavarapu et al., 2008)</w:t>
      </w:r>
      <w:r w:rsidRPr="005459E6">
        <w:rPr>
          <w:rFonts w:ascii="Times New Roman" w:hAnsi="Times New Roman" w:cs="Times New Roman"/>
        </w:rPr>
        <w:fldChar w:fldCharType="end"/>
      </w:r>
      <w:r w:rsidRPr="005459E6">
        <w:rPr>
          <w:rFonts w:ascii="Times New Roman" w:hAnsi="Times New Roman" w:cs="Times New Roman"/>
        </w:rPr>
        <w:t xml:space="preserve">. The case study approach is well established in the social sciences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{"citationItems":[{"id":"ITEM-1","itemData":{"author":[{"dropping-particle":"","family":"Yin","given":"Robert K","non-dropping-particle":"","parse-names":false,"suffix":""}],"container-title":"Case study research","id":"ITEM-1","issue":"9.2","issued":{"date-parts":[["2003"]]},"title":"Design and methods","type":"article-journal","volume":"3"},"uris":["http://www.mendeley.com/documents/?uuid=e8633c8c-1b2a-4701-a4f4-16cabd439cf5"]}],"mendeley":{"formattedCitation":"(Yin, 2003)","plainTextFormattedCitation":"(Yin, 2003)","previouslyFormattedCitation":"(Yin, 2003)"},"properties":{"noteIndex":0},"schema":"https://github.com/citation-style-language/schema/raw/master/csl-citation.json"}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(Yin, 2003)</w:t>
      </w:r>
      <w:r w:rsidRPr="005459E6">
        <w:rPr>
          <w:rFonts w:ascii="Times New Roman" w:hAnsi="Times New Roman" w:cs="Times New Roman"/>
        </w:rPr>
        <w:fldChar w:fldCharType="end"/>
      </w:r>
      <w:r w:rsidRPr="005459E6">
        <w:rPr>
          <w:rFonts w:ascii="Times New Roman" w:hAnsi="Times New Roman" w:cs="Times New Roman"/>
        </w:rPr>
        <w:t xml:space="preserve"> and capable of covering contextual conditions which might be relevant to the phenomenon being studied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0155-9982","author":[{"dropping-particle":"","family":"Herzig","given":"Christian","non-dropping-particle":"","parse-names":false,"suffix":""},{"dropping-particle":"","family":"Viere","given":"Tobias","non-dropping-particle":"","parse-names":false,"suffix":""},{"dropping-particle":"","family":"Schaltegger","given":"Stefan","non-dropping-particle":"","parse-names":false,"suffix":""},{"dropping-particle":"","family":"Burritt","given":"Roger L","non-dropping-particle":"","parse-names":false,"suffix":""},{"dropping-particle":"","family":"Lee","given":"Ki-Hoon","non-dropping-particle":"","parse-names":false,"suffix":""}],"container-title":"Accounting Forum","id":"ITEM-1","issue":"4","issued":{"date-parts":[["2012"]]},"page":"310-312","publisher":"Taylor &amp; Francis","title":"Environmental management accounting: case studies of South-East Asian companies","type":"paper-conference","volume":"36"},"uris":["http://www.mendeley.com/documents/?uuid=c4991f9f-e2af-4fbc-b7b3-c9c674a32eaf"]}],"mendeley":{"formattedCitation":"(Herzig et al., 2012)","plainTextFormattedCitation":"(Herzig et al., 2012)","previouslyFormattedCitation":"(Herzig et al.,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(Herzig et al., 2012)</w:t>
      </w:r>
      <w:r w:rsidRPr="005459E6">
        <w:rPr>
          <w:rFonts w:ascii="Times New Roman" w:hAnsi="Times New Roman" w:cs="Times New Roman"/>
        </w:rPr>
        <w:fldChar w:fldCharType="end"/>
      </w:r>
      <w:r w:rsidRPr="005459E6">
        <w:rPr>
          <w:rFonts w:ascii="Times New Roman" w:hAnsi="Times New Roman" w:cs="Times New Roman"/>
        </w:rPr>
        <w:t xml:space="preserve">. Such qualitative research reflected on the information drawn from the relevant case studies to understand the influence of technologies in healthcare. As per </w:t>
      </w:r>
      <w:r w:rsidRPr="005459E6">
        <w:rPr>
          <w:rFonts w:ascii="Times New Roman" w:hAnsi="Times New Roman" w:cs="Times New Roman"/>
        </w:rPr>
        <w:fldChar w:fldCharType="begin" w:fldLock="1"/>
      </w:r>
      <w:r w:rsidR="001517A8" w:rsidRPr="005459E6">
        <w:rPr>
          <w:rFonts w:ascii="Times New Roman" w:hAnsi="Times New Roman" w:cs="Times New Roman"/>
        </w:rPr>
        <w:instrText>ADDIN CSL_CITATION {"citationItems":[{"id":"ITEM-1","itemData":{"ISSN":"0887-6045","author":[{"dropping-particle":"","family":"Gummesson","given":"Evert","non-dropping-particle":"","parse-names":false,"suffix":""}],"container-title":"Journal of services marketing","id":"ITEM-1","issued":{"date-parts":[["2017"]]},"publisher":"Emerald Publishing Limited","title":"From relationship marketing to total relationship marketing and beyond","type":"article-journal"},"uris":["http://www.mendeley.com/documents/?uuid=e6f11916-2420-435c-8dcc-b2315123cfc6"]}],"mendeley":{"formattedCitation":"(Gummesson, 2017)","manualFormatting":"Gummesson (2017)","plainTextFormattedCitation":"(Gummesson, 2017)","previouslyFormattedCitation":"(Gummesson,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Gummesson (2017)</w:t>
      </w:r>
      <w:r w:rsidRPr="005459E6">
        <w:rPr>
          <w:rFonts w:ascii="Times New Roman" w:hAnsi="Times New Roman" w:cs="Times New Roman"/>
        </w:rPr>
        <w:fldChar w:fldCharType="end"/>
      </w:r>
      <w:r w:rsidRPr="005459E6">
        <w:rPr>
          <w:rFonts w:ascii="Times New Roman" w:hAnsi="Times New Roman" w:cs="Times New Roman"/>
        </w:rPr>
        <w:t xml:space="preserve">, such a method can support researchers in understanding individual and socio-cultural contexts. The sampling process adopted purposive sampling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{"citationItems":[{"id":"ITEM-1","itemData":{"ISSN":"1473-3250","author":[{"dropping-particle":"","family":"Patton","given":"Michael Quinn","non-dropping-particle":"","parse-names":false,"suffix":""}],"container-title":"Qualitative social work","id":"ITEM-1","issue":"3","issued":{"date-parts":[["2002"]]},"page":"261-283","publisher":"Sage Publications Sage CA: Thousand Oaks, CA","title":"Two decades of developments in qualitative inquiry: A personal, experiential perspective","type":"article-journal","volume":"1"},"uris":["http://www.mendeley.com/documents/?uuid=5e6dacb0-2693-4518-bd5a-a2eca0b492fd"]}],"mendeley":{"formattedCitation":"(Patton, 2002)","plainTextFormattedCitation":"(Patton, 2002)","previouslyFormattedCitation":"(Patton, 2002)"},"properties":{"noteIndex":0},"schema":"https://github.com/citation-style-language/schema/raw/master/csl-citation.json"}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(Patton, 2002)</w:t>
      </w:r>
      <w:r w:rsidRPr="005459E6">
        <w:rPr>
          <w:rFonts w:ascii="Times New Roman" w:hAnsi="Times New Roman" w:cs="Times New Roman"/>
        </w:rPr>
        <w:fldChar w:fldCharType="end"/>
      </w:r>
      <w:r w:rsidRPr="005459E6">
        <w:rPr>
          <w:rFonts w:ascii="Times New Roman" w:hAnsi="Times New Roman" w:cs="Times New Roman"/>
        </w:rPr>
        <w:t>, where cases were identified based on the</w:t>
      </w:r>
      <w:r w:rsidR="004970FE" w:rsidRPr="005459E6">
        <w:rPr>
          <w:rFonts w:ascii="Times New Roman" w:hAnsi="Times New Roman" w:cs="Times New Roman"/>
        </w:rPr>
        <w:t>ir</w:t>
      </w:r>
      <w:r w:rsidRPr="005459E6">
        <w:rPr>
          <w:rFonts w:ascii="Times New Roman" w:hAnsi="Times New Roman" w:cs="Times New Roman"/>
        </w:rPr>
        <w:t xml:space="preserve"> relevance to the healthcare sector. </w:t>
      </w:r>
    </w:p>
    <w:p w14:paraId="6B21BAE1" w14:textId="27465F84" w:rsidR="004D7E4A" w:rsidRPr="005459E6" w:rsidRDefault="00B16366"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 xml:space="preserve">Academic </w:t>
      </w:r>
      <w:r w:rsidR="00674FEA" w:rsidRPr="005459E6">
        <w:rPr>
          <w:rFonts w:ascii="Times New Roman" w:hAnsi="Times New Roman" w:cs="Times New Roman"/>
        </w:rPr>
        <w:t xml:space="preserve">articles </w:t>
      </w:r>
      <w:r w:rsidR="00B668F2" w:rsidRPr="005459E6">
        <w:rPr>
          <w:rFonts w:ascii="Times New Roman" w:hAnsi="Times New Roman" w:cs="Times New Roman"/>
        </w:rPr>
        <w:t>for the</w:t>
      </w:r>
      <w:r w:rsidR="00B77541" w:rsidRPr="005459E6">
        <w:rPr>
          <w:rFonts w:ascii="Times New Roman" w:hAnsi="Times New Roman" w:cs="Times New Roman"/>
        </w:rPr>
        <w:t xml:space="preserve"> given study</w:t>
      </w:r>
      <w:r w:rsidR="004D7E4A" w:rsidRPr="005459E6">
        <w:rPr>
          <w:rFonts w:ascii="Times New Roman" w:hAnsi="Times New Roman" w:cs="Times New Roman"/>
        </w:rPr>
        <w:t xml:space="preserve"> included a wide range of areas associated with healthcare (such as </w:t>
      </w:r>
      <w:r w:rsidR="004828DE" w:rsidRPr="005459E6">
        <w:rPr>
          <w:rFonts w:ascii="Times New Roman" w:hAnsi="Times New Roman" w:cs="Times New Roman"/>
        </w:rPr>
        <w:t>mental health</w:t>
      </w:r>
      <w:r w:rsidR="004D7E4A" w:rsidRPr="005459E6">
        <w:rPr>
          <w:rFonts w:ascii="Times New Roman" w:hAnsi="Times New Roman" w:cs="Times New Roman"/>
        </w:rPr>
        <w:t xml:space="preserve">), </w:t>
      </w:r>
      <w:r w:rsidR="00DE5422" w:rsidRPr="005459E6">
        <w:rPr>
          <w:rFonts w:ascii="Times New Roman" w:hAnsi="Times New Roman" w:cs="Times New Roman"/>
        </w:rPr>
        <w:t>psychosomatic conditions</w:t>
      </w:r>
      <w:r w:rsidR="004D7E4A" w:rsidRPr="005459E6">
        <w:rPr>
          <w:rFonts w:ascii="Times New Roman" w:hAnsi="Times New Roman" w:cs="Times New Roman"/>
        </w:rPr>
        <w:t xml:space="preserve"> (such as </w:t>
      </w:r>
      <w:r w:rsidR="00DE5422" w:rsidRPr="005459E6">
        <w:rPr>
          <w:rFonts w:ascii="Times New Roman" w:hAnsi="Times New Roman" w:cs="Times New Roman"/>
        </w:rPr>
        <w:t>stress/anxiety/depression</w:t>
      </w:r>
      <w:r w:rsidR="004D7E4A" w:rsidRPr="005459E6">
        <w:rPr>
          <w:rFonts w:ascii="Times New Roman" w:hAnsi="Times New Roman" w:cs="Times New Roman"/>
        </w:rPr>
        <w:t>)</w:t>
      </w:r>
      <w:r w:rsidR="004970FE" w:rsidRPr="005459E6">
        <w:rPr>
          <w:rFonts w:ascii="Times New Roman" w:hAnsi="Times New Roman" w:cs="Times New Roman"/>
        </w:rPr>
        <w:t>,</w:t>
      </w:r>
      <w:r w:rsidR="00DE5422" w:rsidRPr="005459E6">
        <w:rPr>
          <w:rFonts w:ascii="Times New Roman" w:hAnsi="Times New Roman" w:cs="Times New Roman"/>
        </w:rPr>
        <w:t xml:space="preserve"> and the role of technology </w:t>
      </w:r>
      <w:r w:rsidR="004D7E4A" w:rsidRPr="005459E6">
        <w:rPr>
          <w:rFonts w:ascii="Times New Roman" w:hAnsi="Times New Roman" w:cs="Times New Roman"/>
        </w:rPr>
        <w:t xml:space="preserve">(such as </w:t>
      </w:r>
      <w:r w:rsidR="00B77541" w:rsidRPr="005459E6">
        <w:rPr>
          <w:rFonts w:ascii="Times New Roman" w:hAnsi="Times New Roman" w:cs="Times New Roman"/>
        </w:rPr>
        <w:t xml:space="preserve">Healthcare IoT &amp; </w:t>
      </w:r>
      <w:r w:rsidR="00DE5422" w:rsidRPr="005459E6">
        <w:rPr>
          <w:rFonts w:ascii="Times New Roman" w:hAnsi="Times New Roman" w:cs="Times New Roman"/>
        </w:rPr>
        <w:t>A.I.</w:t>
      </w:r>
      <w:r w:rsidR="004D7E4A" w:rsidRPr="005459E6">
        <w:rPr>
          <w:rFonts w:ascii="Times New Roman" w:hAnsi="Times New Roman" w:cs="Times New Roman"/>
        </w:rPr>
        <w:t xml:space="preserve">). </w:t>
      </w:r>
    </w:p>
    <w:p w14:paraId="0F33B2F0" w14:textId="27068C37" w:rsidR="00B16366" w:rsidRPr="005459E6" w:rsidRDefault="003C6752"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The c</w:t>
      </w:r>
      <w:r w:rsidR="004D7E4A" w:rsidRPr="005459E6">
        <w:rPr>
          <w:rFonts w:ascii="Times New Roman" w:hAnsi="Times New Roman" w:cs="Times New Roman"/>
        </w:rPr>
        <w:t xml:space="preserve">ollection of case studies involved </w:t>
      </w:r>
      <w:r w:rsidR="004970FE" w:rsidRPr="005459E6">
        <w:rPr>
          <w:rFonts w:ascii="Times New Roman" w:hAnsi="Times New Roman" w:cs="Times New Roman"/>
        </w:rPr>
        <w:t xml:space="preserve">the </w:t>
      </w:r>
      <w:r w:rsidR="004D7E4A" w:rsidRPr="005459E6">
        <w:rPr>
          <w:rFonts w:ascii="Times New Roman" w:hAnsi="Times New Roman" w:cs="Times New Roman"/>
        </w:rPr>
        <w:t xml:space="preserve">role of technology for psychosomatic health - that have used </w:t>
      </w:r>
      <w:r w:rsidR="004970FE" w:rsidRPr="005459E6">
        <w:rPr>
          <w:rFonts w:ascii="Times New Roman" w:hAnsi="Times New Roman" w:cs="Times New Roman"/>
        </w:rPr>
        <w:t xml:space="preserve">the </w:t>
      </w:r>
      <w:r w:rsidR="004D7E4A" w:rsidRPr="005459E6">
        <w:rPr>
          <w:rFonts w:ascii="Times New Roman" w:hAnsi="Times New Roman" w:cs="Times New Roman"/>
        </w:rPr>
        <w:t xml:space="preserve">A.I. platform to customize their healthcare offerings. As there exists no ideal number of cases used for such analysis, multiple cases showed a robust outcome, especially considering the inductive theory-building process </w:t>
      </w:r>
      <w:r w:rsidR="004D7E4A" w:rsidRPr="005459E6">
        <w:rPr>
          <w:rFonts w:ascii="Times New Roman" w:hAnsi="Times New Roman" w:cs="Times New Roman"/>
        </w:rPr>
        <w:fldChar w:fldCharType="begin" w:fldLock="1"/>
      </w:r>
      <w:r w:rsidR="004D7E4A" w:rsidRPr="005459E6">
        <w:rPr>
          <w:rFonts w:ascii="Times New Roman" w:hAnsi="Times New Roman" w:cs="Times New Roman"/>
        </w:rPr>
        <w:instrText>ADDIN CSL_CITATION {"citationItems":[{"id":"ITEM-1","itemData":{"ISSN":"0001-4273","author":[{"dropping-particle":"","family":"Eisenhardt","given":"Kathleen M","non-dropping-particle":"","parse-names":false,"suffix":""},{"dropping-particle":"","family":"Graebner","given":"Melissa E","non-dropping-particle":"","parse-names":false,"suffix":""}],"container-title":"Academy of management journal","id":"ITEM-1","issue":"1","issued":{"date-parts":[["2007"]]},"page":"25-32","publisher":"Academy of Management Briarcliff Manor, NY 10510","title":"Theory building from cases: Opportunities and challenges","type":"article-journal","volume":"50"},"uris":["http://www.mendeley.com/documents/?uuid=178b8455-f765-4797-b353-7136cbb0afa6"]}],"mendeley":{"formattedCitation":"(Eisenhardt &amp; Graebner, 2007)","plainTextFormattedCitation":"(Eisenhardt &amp; Graebner, 2007)","previouslyFormattedCitation":"(Eisenhardt &amp; Graebner, 2007)"},"properties":{"noteIndex":0},"schema":"https://github.com/citation-style-language/schema/raw/master/csl-citation.json"}</w:instrText>
      </w:r>
      <w:r w:rsidR="004D7E4A" w:rsidRPr="005459E6">
        <w:rPr>
          <w:rFonts w:ascii="Times New Roman" w:hAnsi="Times New Roman" w:cs="Times New Roman"/>
        </w:rPr>
        <w:fldChar w:fldCharType="separate"/>
      </w:r>
      <w:r w:rsidR="004D7E4A" w:rsidRPr="005459E6">
        <w:rPr>
          <w:rFonts w:ascii="Times New Roman" w:hAnsi="Times New Roman" w:cs="Times New Roman"/>
          <w:noProof/>
        </w:rPr>
        <w:t>(Eisenhardt &amp; Graebner, 2007)</w:t>
      </w:r>
      <w:r w:rsidR="004D7E4A" w:rsidRPr="005459E6">
        <w:rPr>
          <w:rFonts w:ascii="Times New Roman" w:hAnsi="Times New Roman" w:cs="Times New Roman"/>
        </w:rPr>
        <w:fldChar w:fldCharType="end"/>
      </w:r>
      <w:r w:rsidR="004D7E4A" w:rsidRPr="005459E6">
        <w:rPr>
          <w:rFonts w:ascii="Times New Roman" w:hAnsi="Times New Roman" w:cs="Times New Roman"/>
        </w:rPr>
        <w:t xml:space="preserve">. </w:t>
      </w:r>
    </w:p>
    <w:p w14:paraId="1BAC5F78" w14:textId="61FE3E34" w:rsidR="00B16366" w:rsidRPr="005459E6" w:rsidRDefault="00001753"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Seven</w:t>
      </w:r>
      <w:r w:rsidR="00B16366" w:rsidRPr="005459E6">
        <w:rPr>
          <w:rFonts w:ascii="Times New Roman" w:hAnsi="Times New Roman" w:cs="Times New Roman"/>
        </w:rPr>
        <w:t xml:space="preserve"> case studies were analyzed for presented qualitative analysis as an interpretation method.</w:t>
      </w:r>
    </w:p>
    <w:p w14:paraId="080B3B42" w14:textId="4D644B5F" w:rsidR="004D7E4A" w:rsidRPr="005459E6" w:rsidRDefault="004D7E4A"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 xml:space="preserve">The breadth (across various cases) and the depth were also considered during case selection, along with </w:t>
      </w:r>
      <w:r w:rsidR="004970FE" w:rsidRPr="005459E6">
        <w:rPr>
          <w:rFonts w:ascii="Times New Roman" w:hAnsi="Times New Roman" w:cs="Times New Roman"/>
        </w:rPr>
        <w:t xml:space="preserve">the </w:t>
      </w:r>
      <w:r w:rsidRPr="005459E6">
        <w:rPr>
          <w:rFonts w:ascii="Times New Roman" w:hAnsi="Times New Roman" w:cs="Times New Roman"/>
        </w:rPr>
        <w:t xml:space="preserve">availability of case studies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13501917","author":[{"dropping-particle":"","family":"Darke","given":"Peta","non-dropping-particle":"","parse-names":false,"suffix":""},{"dropping-particle":"","family":"Shanks","given":"Graeme","non-dropping-particle":"","parse-names":false,"suffix":""},{"dropping-particle":"","family":"Broadbent","given":"Marianne","non-dropping-particle":"","parse-names":false,"suffix":""}],"container-title":"Information Systems Journal","id":"ITEM-1","issue":"4","issued":{"date-parts":[["1998"]]},"page":"273-289","title":"Successfully completing case study research: combining rigour, relevance and pragmatism","type":"article-journal","volume":"8"},"uris":["http://www.mendeley.com/documents/?uuid=eeda8ec2-507b-4637-8805-542ad7bd099e"]},{"id":"ITEM-2","itemData":{"ISSN":"0309-0566","author":[{"dropping-particle":"","family":"Perry","given":"Chad","non-dropping-particle":"","parse-names":false,"suffix":""}],"container-title":"European journal of marketing","id":"ITEM-2","issued":{"date-parts":[["1998"]]},"publisher":"MCB UP Ltd","title":"Processes of a case study methodology for postgraduate research in marketing","type":"article-journal"},"uris":["http://www.mendeley.com/documents/?uuid=333063cf-a401-4b7a-91eb-d6e1d5bcb0ad"]}],"mendeley":{"formattedCitation":"(Darke et al., 1998; Perry, 1998)","plainTextFormattedCitation":"(Darke et al., 1998; Perry, 1998)","previouslyFormattedCitation":"(Darke et al., 1998; Perry, 1998)"},"properties":{"noteIndex":0},"schema":"https://github.com/citation-style-language/schema/raw/master/csl-citation.json"}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(Darke et al., 1998; Perry, 1998)</w:t>
      </w:r>
      <w:r w:rsidRPr="005459E6">
        <w:rPr>
          <w:rFonts w:ascii="Times New Roman" w:hAnsi="Times New Roman" w:cs="Times New Roman"/>
        </w:rPr>
        <w:fldChar w:fldCharType="end"/>
      </w:r>
      <w:r w:rsidRPr="005459E6">
        <w:rPr>
          <w:rFonts w:ascii="Times New Roman" w:hAnsi="Times New Roman" w:cs="Times New Roman"/>
        </w:rPr>
        <w:t xml:space="preserve">. </w:t>
      </w:r>
    </w:p>
    <w:p w14:paraId="31ED0DA6" w14:textId="77777777" w:rsidR="004D7E4A" w:rsidRPr="005459E6" w:rsidRDefault="004D7E4A" w:rsidP="00042CB0">
      <w:pPr>
        <w:widowControl w:val="0"/>
        <w:pBdr>
          <w:top w:val="nil"/>
          <w:left w:val="nil"/>
          <w:bottom w:val="nil"/>
          <w:right w:val="nil"/>
          <w:between w:val="nil"/>
        </w:pBdr>
        <w:spacing w:before="240" w:line="360" w:lineRule="auto"/>
        <w:jc w:val="both"/>
        <w:rPr>
          <w:rFonts w:ascii="Times New Roman" w:hAnsi="Times New Roman" w:cs="Times New Roman"/>
        </w:rPr>
      </w:pPr>
      <w:r w:rsidRPr="005459E6">
        <w:rPr>
          <w:rFonts w:ascii="Times New Roman" w:hAnsi="Times New Roman" w:cs="Times New Roman"/>
        </w:rPr>
        <w:t xml:space="preserve">A comprehensive data collection was done to explicate complex issues and advance existing knowledge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0148-2963","author":[{"dropping-particle":"","family":"Dubois","given":"Anna","non-dropping-particle":"","parse-names":false,"suffix":""},{"dropping-particle":"","family":"Gadde","given":"Lars-Erik","non-dropping-particle":"","parse-names":false,"suffix":""}],"container-title":"Journal of business research","id":"ITEM-1","issue":"7","issued":{"date-parts":[["2002"]]},"page":"553-560","publisher":"Elsevier","title":"Systematic combining: an abductive approach to case research","type":"article-journal","volume":"55"},"uris":["http://www.mendeley.com/documents/?uuid=ef9ffadd-c917-4954-860e-06a0ffdf1ace"]},{"id":"ITEM-2","itemData":{"ISSN":"0309-0566","author":[{"dropping-particle":"","family":"Gummesson","given":"Evert","non-dropping-particle":"","parse-names":false,"suffix":""}],"container-title":"European journal of marketing","id":"ITEM-2","issue":"3-4","issued":{"date-parts":[["2005"]]},"page":"309-327","publisher":"Emerald Group Publishing Limited","title":"Qualitative research in marketing: Road-map for a wilderness of complexityand unpredictability","type":"article-journal","volume":"39"},"uris":["http://www.mendeley.com/documents/?uuid=185309b2-c107-437d-8f5d-7d3a5fd3c945"]}],"mendeley":{"formattedCitation":"(Dubois &amp; Gadde, 2002; Gummesson, 2005)","plainTextFormattedCitation":"(Dubois &amp; Gadde, 2002; Gummesson, 2005)","previouslyFormattedCitation":"(Dubois &amp; Gadde, 2002; Gummesson,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(Dubois &amp; Gadde, 2002; Gummesson, 2005)</w:t>
      </w:r>
      <w:r w:rsidRPr="005459E6">
        <w:rPr>
          <w:rFonts w:ascii="Times New Roman" w:hAnsi="Times New Roman" w:cs="Times New Roman"/>
        </w:rPr>
        <w:fldChar w:fldCharType="end"/>
      </w:r>
      <w:r w:rsidRPr="005459E6">
        <w:rPr>
          <w:rFonts w:ascii="Times New Roman" w:hAnsi="Times New Roman" w:cs="Times New Roman"/>
        </w:rPr>
        <w:t xml:space="preserve">. Multiple sources of data and participants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{"citationItems":[{"id":"ITEM-1","itemData":{"author":[{"dropping-particle":"","family":"Ponelis","given":"Shana","non-dropping-particle":"","parse-names":false,"suffix":""}],"container-title":"Approaches and processes for managing the economics of information systems","id":"ITEM-1","issued":{"date-parts":[["2014"]]},"page":"1-13","publisher":"IGI Global","title":"Information as economic good: its origins, characteristics, pricing, and associated legal and ethical issues","type":"chapter"},"uris":["http://www.mendeley.com/documents/?uuid=5ab90d67-643e-404a-b05d-8edb2b315801"]},{"id":"ITEM-2","itemData":{"author":[{"dropping-particle":"","family":"Pervan","given":"Graham","non-dropping-particle":"","parse-names":false,"suffix":""},{"dropping-particle":"","family":"Maimbo","given":"M","non-dropping-particle":"","parse-names":false,"suffix":""}],"container-title":"Proceedings of the Ninth Pacific Asia Conference on Information Systems","id":"ITEM-2","issued":{"date-parts":[["2005"]]},"page":"1281-1292","publisher":"PACIS","title":"Designing a case study protocol for application in IS research","type":"paper-conference"},"uris":["http://www.mendeley.com/documents/?uuid=c98e16cb-5f7a-4614-9f58-55b046e85bea"]}],"mendeley":{"formattedCitation":"(Pervan &amp; Maimbo, 2005; Ponelis, 2014)","plainTextFormattedCitation":"(Pervan &amp; Maimbo, 2005; Ponelis, 2014)","previouslyFormattedCitation":"(Pervan &amp; Maimbo, 2005; Ponelis,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(Pervan &amp; Maimbo, 2005; Ponelis, 2014)</w:t>
      </w:r>
      <w:r w:rsidRPr="005459E6">
        <w:rPr>
          <w:rFonts w:ascii="Times New Roman" w:hAnsi="Times New Roman" w:cs="Times New Roman"/>
        </w:rPr>
        <w:fldChar w:fldCharType="end"/>
      </w:r>
      <w:r w:rsidRPr="005459E6">
        <w:rPr>
          <w:rFonts w:ascii="Times New Roman" w:hAnsi="Times New Roman" w:cs="Times New Roman"/>
        </w:rPr>
        <w:t xml:space="preserve"> are preferable to triangulate data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{"citationItems":[{"id":"ITEM-1","itemData":{"author":[{"dropping-particle":"","family":"Yin","given":"Robert K","non-dropping-particle":"","parse-names":false,"suffix":""}],"container-title":"Case study research","id":"ITEM-1","issue":"9.2","issued":{"date-parts":[["2003"]]},"title":"Design and methods","type":"article-journal","volume":"3"},"uris":["http://www.mendeley.com/documents/?uuid=e8633c8c-1b2a-4701-a4f4-16cabd439cf5"]}],"mendeley":{"formattedCitation":"(Yin, 2003)","plainTextFormattedCitation":"(Yin, 2003)","previouslyFormattedCitation":"(Yin, 2003)"},"properties":{"noteIndex":0},"schema":"https://github.com/citation-style-language/schema/raw/master/csl-citation.json"}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(Yin, 2003)</w:t>
      </w:r>
      <w:r w:rsidRPr="005459E6">
        <w:rPr>
          <w:rFonts w:ascii="Times New Roman" w:hAnsi="Times New Roman" w:cs="Times New Roman"/>
        </w:rPr>
        <w:fldChar w:fldCharType="end"/>
      </w:r>
      <w:r w:rsidRPr="005459E6">
        <w:rPr>
          <w:rFonts w:ascii="Times New Roman" w:hAnsi="Times New Roman" w:cs="Times New Roman"/>
        </w:rPr>
        <w:t xml:space="preserve"> and allow significant insights to emerge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{"citationItems":[{"id":"ITEM-1","itemData":{"ISBN":"019823712X","author":[{"dropping-particle":"","family":"Myers-Scotton","given":"Carol","non-dropping-particle":"","parse-names":false,"suffix":""}],"id":"ITEM-1","issued":{"date-parts":[["1997"]]},"publisher":"Oxford University Press","title":"Duelling languages: Grammatical structure in codeswitching","type":"book"},"uris":["http://www.mendeley.com/documents/?uuid=43e5bb3e-5490-4c55-80fd-b04417f46819"]}],"mendeley":{"formattedCitation":"(Myers-Scotton, 1997)","plainTextFormattedCitation":"(Myers-Scotton, 1997)","previouslyFormattedCitation":"(Myers-Scotton, 1997)"},"properties":{"noteIndex":0},"schema":"https://github.com/citation-style-language/schema/raw/master/csl-citation.json"}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(Myers-Scotton, 1997)</w:t>
      </w:r>
      <w:r w:rsidRPr="005459E6">
        <w:rPr>
          <w:rFonts w:ascii="Times New Roman" w:hAnsi="Times New Roman" w:cs="Times New Roman"/>
        </w:rPr>
        <w:fldChar w:fldCharType="end"/>
      </w:r>
      <w:r w:rsidRPr="005459E6">
        <w:rPr>
          <w:rFonts w:ascii="Times New Roman" w:hAnsi="Times New Roman" w:cs="Times New Roman"/>
        </w:rPr>
        <w:t xml:space="preserve">.  </w:t>
      </w:r>
    </w:p>
    <w:p w14:paraId="6E315565" w14:textId="77777777" w:rsidR="004D7E4A" w:rsidRPr="005459E6" w:rsidRDefault="004D7E4A" w:rsidP="00042CB0">
      <w:pPr>
        <w:widowControl w:val="0"/>
        <w:pBdr>
          <w:top w:val="nil"/>
          <w:left w:val="nil"/>
          <w:bottom w:val="nil"/>
          <w:right w:val="nil"/>
          <w:between w:val="nil"/>
        </w:pBdr>
        <w:spacing w:before="240" w:line="360" w:lineRule="auto"/>
        <w:jc w:val="both"/>
        <w:rPr>
          <w:rFonts w:ascii="Times New Roman" w:hAnsi="Times New Roman" w:cs="Times New Roman"/>
        </w:rPr>
      </w:pPr>
    </w:p>
    <w:p w14:paraId="12027F41" w14:textId="4DC3292B" w:rsidR="004D7E4A" w:rsidRPr="005459E6" w:rsidRDefault="004D7E4A" w:rsidP="00042CB0">
      <w:pPr>
        <w:widowControl w:val="0"/>
        <w:pBdr>
          <w:top w:val="nil"/>
          <w:left w:val="nil"/>
          <w:bottom w:val="nil"/>
          <w:right w:val="nil"/>
          <w:between w:val="nil"/>
        </w:pBdr>
        <w:spacing w:before="240" w:line="360" w:lineRule="auto"/>
        <w:jc w:val="both"/>
        <w:rPr>
          <w:rFonts w:ascii="Times New Roman" w:hAnsi="Times New Roman" w:cs="Times New Roman"/>
        </w:rPr>
      </w:pPr>
    </w:p>
    <w:p w14:paraId="530F45AA" w14:textId="77777777" w:rsidR="006B79B8" w:rsidRPr="005459E6" w:rsidRDefault="006B79B8" w:rsidP="00042CB0">
      <w:pPr>
        <w:widowControl w:val="0"/>
        <w:pBdr>
          <w:top w:val="nil"/>
          <w:left w:val="nil"/>
          <w:bottom w:val="nil"/>
          <w:right w:val="nil"/>
          <w:between w:val="nil"/>
        </w:pBdr>
        <w:spacing w:before="240" w:line="360" w:lineRule="auto"/>
        <w:jc w:val="both"/>
        <w:rPr>
          <w:rFonts w:ascii="Times New Roman" w:hAnsi="Times New Roman" w:cs="Times New Roman"/>
        </w:rPr>
      </w:pPr>
    </w:p>
    <w:p w14:paraId="6E22A43C" w14:textId="77777777" w:rsidR="005B7CB2" w:rsidRPr="005459E6" w:rsidRDefault="005B7CB2" w:rsidP="00042CB0">
      <w:pPr>
        <w:widowControl w:val="0"/>
        <w:pBdr>
          <w:top w:val="nil"/>
          <w:left w:val="nil"/>
          <w:bottom w:val="nil"/>
          <w:right w:val="nil"/>
          <w:between w:val="nil"/>
        </w:pBdr>
        <w:spacing w:before="240" w:line="360" w:lineRule="auto"/>
        <w:jc w:val="both"/>
        <w:rPr>
          <w:rFonts w:ascii="Times New Roman" w:hAnsi="Times New Roman" w:cs="Times New Roman"/>
        </w:rPr>
      </w:pPr>
    </w:p>
    <w:p w14:paraId="7933E362" w14:textId="77777777" w:rsidR="004D7E4A" w:rsidRPr="005459E6" w:rsidRDefault="004D7E4A"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Sample for Linear Regression</w:t>
      </w:r>
    </w:p>
    <w:p w14:paraId="0D594F38" w14:textId="77777777" w:rsidR="00E27AB9" w:rsidRPr="005459E6" w:rsidRDefault="00E27AB9" w:rsidP="00042CB0">
      <w:pPr>
        <w:spacing w:before="240" w:after="240" w:line="360" w:lineRule="auto"/>
        <w:jc w:val="both"/>
        <w:rPr>
          <w:rFonts w:ascii="Times New Roman" w:hAnsi="Times New Roman" w:cs="Times New Roman"/>
        </w:rPr>
      </w:pPr>
      <w:r w:rsidRPr="005459E6">
        <w:rPr>
          <w:rFonts w:ascii="Times New Roman" w:hAnsi="Times New Roman" w:cs="Times New Roman"/>
          <w:b/>
          <w:bCs/>
          <w:i/>
          <w:iCs/>
        </w:rPr>
        <w:t>Large Effect Size</w:t>
      </w:r>
    </w:p>
    <w:p w14:paraId="51519BFD" w14:textId="36C14F17" w:rsidR="00C85174" w:rsidRPr="005459E6" w:rsidRDefault="00C85174" w:rsidP="00042CB0">
      <w:pPr>
        <w:spacing w:line="360" w:lineRule="auto"/>
        <w:jc w:val="both"/>
        <w:rPr>
          <w:rFonts w:ascii="Times New Roman" w:hAnsi="Times New Roman" w:cs="Times New Roman"/>
          <w:bCs/>
        </w:rPr>
      </w:pPr>
      <w:r w:rsidRPr="005459E6">
        <w:rPr>
          <w:rFonts w:ascii="Times New Roman" w:hAnsi="Times New Roman" w:cs="Times New Roman"/>
          <w:bCs/>
        </w:rPr>
        <w:t xml:space="preserve">A power analysis for a Pearson correlation was completed in G*Power using an alpha of 0.05, a power of 0.80, a large effect size (p =.5), and two tails to establish an adequate sample size </w:t>
      </w:r>
      <w:r w:rsidR="00AA0325" w:rsidRPr="005459E6">
        <w:rPr>
          <w:rFonts w:ascii="Times New Roman" w:hAnsi="Times New Roman" w:cs="Times New Roman"/>
          <w:bCs/>
        </w:rPr>
        <w:fldChar w:fldCharType="begin" w:fldLock="1"/>
      </w:r>
      <w:r w:rsidR="008A0AED" w:rsidRPr="005459E6">
        <w:rPr>
          <w:rFonts w:ascii="Times New Roman" w:hAnsi="Times New Roman" w:cs="Times New Roman"/>
          <w:bCs/>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AA0325" w:rsidRPr="005459E6">
        <w:rPr>
          <w:rFonts w:ascii="Times New Roman" w:hAnsi="Times New Roman" w:cs="Times New Roman"/>
          <w:bCs/>
        </w:rPr>
        <w:fldChar w:fldCharType="separate"/>
      </w:r>
      <w:r w:rsidR="00AA0325" w:rsidRPr="005459E6">
        <w:rPr>
          <w:rFonts w:ascii="Times New Roman" w:hAnsi="Times New Roman" w:cs="Times New Roman"/>
          <w:bCs/>
          <w:noProof/>
        </w:rPr>
        <w:t>(Faul et al., 2009)</w:t>
      </w:r>
      <w:r w:rsidR="00AA0325" w:rsidRPr="005459E6">
        <w:rPr>
          <w:rFonts w:ascii="Times New Roman" w:hAnsi="Times New Roman" w:cs="Times New Roman"/>
          <w:bCs/>
        </w:rPr>
        <w:fldChar w:fldCharType="end"/>
      </w:r>
      <w:r w:rsidR="008A0AED" w:rsidRPr="005459E6">
        <w:rPr>
          <w:rFonts w:ascii="Times New Roman" w:hAnsi="Times New Roman" w:cs="Times New Roman"/>
          <w:bCs/>
        </w:rPr>
        <w:t xml:space="preserve">. </w:t>
      </w:r>
      <w:r w:rsidRPr="005459E6">
        <w:rPr>
          <w:rFonts w:ascii="Times New Roman" w:hAnsi="Times New Roman" w:cs="Times New Roman"/>
          <w:bCs/>
        </w:rPr>
        <w:t>Based on the aforementioned assumptions, the ideal sample size is 26.</w:t>
      </w:r>
    </w:p>
    <w:p w14:paraId="6DB4B757" w14:textId="77777777" w:rsidR="00E27AB9" w:rsidRPr="005459E6" w:rsidRDefault="00E27AB9" w:rsidP="00042CB0">
      <w:pPr>
        <w:spacing w:before="240" w:after="240" w:line="360" w:lineRule="auto"/>
        <w:jc w:val="both"/>
        <w:rPr>
          <w:rFonts w:ascii="Times New Roman" w:hAnsi="Times New Roman" w:cs="Times New Roman"/>
        </w:rPr>
      </w:pPr>
    </w:p>
    <w:p w14:paraId="48EA6F61" w14:textId="77777777" w:rsidR="00E27AB9" w:rsidRPr="005459E6" w:rsidRDefault="00E27AB9" w:rsidP="00042CB0">
      <w:pPr>
        <w:spacing w:before="240" w:after="240" w:line="360" w:lineRule="auto"/>
        <w:jc w:val="both"/>
        <w:rPr>
          <w:rFonts w:ascii="Times New Roman" w:hAnsi="Times New Roman" w:cs="Times New Roman"/>
        </w:rPr>
      </w:pPr>
      <w:r w:rsidRPr="005459E6">
        <w:rPr>
          <w:rFonts w:ascii="Times New Roman" w:hAnsi="Times New Roman" w:cs="Times New Roman"/>
          <w:b/>
          <w:bCs/>
          <w:i/>
          <w:iCs/>
        </w:rPr>
        <w:t>Medium Effect Size</w:t>
      </w:r>
    </w:p>
    <w:p w14:paraId="03D34FAF" w14:textId="05D280AE" w:rsidR="00C85174" w:rsidRPr="005459E6" w:rsidRDefault="00C85174" w:rsidP="00042CB0">
      <w:pPr>
        <w:spacing w:line="360" w:lineRule="auto"/>
        <w:jc w:val="both"/>
        <w:rPr>
          <w:rFonts w:ascii="Times New Roman" w:hAnsi="Times New Roman" w:cs="Times New Roman"/>
          <w:bCs/>
        </w:rPr>
      </w:pPr>
      <w:r w:rsidRPr="005459E6">
        <w:rPr>
          <w:rFonts w:ascii="Times New Roman" w:hAnsi="Times New Roman" w:cs="Times New Roman"/>
          <w:bCs/>
        </w:rPr>
        <w:t xml:space="preserve">With an alpha of 0.05, a power of 0.80, a medium effect size (p =.3), and two tails, a power analysis for a Pearson correlation can be performed using the G*Power to find a sufficient sample size </w:t>
      </w:r>
      <w:r w:rsidR="008A0AED" w:rsidRPr="005459E6">
        <w:rPr>
          <w:rFonts w:ascii="Times New Roman" w:hAnsi="Times New Roman" w:cs="Times New Roman"/>
          <w:bCs/>
        </w:rPr>
        <w:fldChar w:fldCharType="begin" w:fldLock="1"/>
      </w:r>
      <w:r w:rsidR="00991509" w:rsidRPr="005459E6">
        <w:rPr>
          <w:rFonts w:ascii="Times New Roman" w:hAnsi="Times New Roman" w:cs="Times New Roman"/>
          <w:bCs/>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8A0AED" w:rsidRPr="005459E6">
        <w:rPr>
          <w:rFonts w:ascii="Times New Roman" w:hAnsi="Times New Roman" w:cs="Times New Roman"/>
          <w:bCs/>
        </w:rPr>
        <w:fldChar w:fldCharType="separate"/>
      </w:r>
      <w:r w:rsidR="008A0AED" w:rsidRPr="005459E6">
        <w:rPr>
          <w:rFonts w:ascii="Times New Roman" w:hAnsi="Times New Roman" w:cs="Times New Roman"/>
          <w:bCs/>
          <w:noProof/>
        </w:rPr>
        <w:t>(Faul et al., 2009)</w:t>
      </w:r>
      <w:r w:rsidR="008A0AED" w:rsidRPr="005459E6">
        <w:rPr>
          <w:rFonts w:ascii="Times New Roman" w:hAnsi="Times New Roman" w:cs="Times New Roman"/>
          <w:bCs/>
        </w:rPr>
        <w:fldChar w:fldCharType="end"/>
      </w:r>
      <w:r w:rsidR="008A0AED" w:rsidRPr="005459E6">
        <w:rPr>
          <w:rFonts w:ascii="Times New Roman" w:hAnsi="Times New Roman" w:cs="Times New Roman"/>
          <w:bCs/>
        </w:rPr>
        <w:t xml:space="preserve">. </w:t>
      </w:r>
      <w:r w:rsidRPr="005459E6">
        <w:rPr>
          <w:rFonts w:ascii="Times New Roman" w:hAnsi="Times New Roman" w:cs="Times New Roman"/>
          <w:bCs/>
        </w:rPr>
        <w:t>The desired sample size is 82, based on the aforementioned assumptions.</w:t>
      </w:r>
    </w:p>
    <w:p w14:paraId="28CD398B" w14:textId="77777777" w:rsidR="00E27AB9" w:rsidRPr="005459E6" w:rsidRDefault="00E27AB9" w:rsidP="00042CB0">
      <w:pPr>
        <w:spacing w:before="240" w:after="240" w:line="360" w:lineRule="auto"/>
        <w:jc w:val="both"/>
        <w:rPr>
          <w:rFonts w:ascii="Times New Roman" w:hAnsi="Times New Roman" w:cs="Times New Roman"/>
          <w:b/>
          <w:bCs/>
          <w:i/>
          <w:iCs/>
        </w:rPr>
      </w:pPr>
    </w:p>
    <w:p w14:paraId="0140554C" w14:textId="58CBFF65" w:rsidR="00C85174" w:rsidRPr="005459E6" w:rsidRDefault="00E27AB9" w:rsidP="00042CB0">
      <w:pPr>
        <w:spacing w:line="360" w:lineRule="auto"/>
        <w:rPr>
          <w:rFonts w:ascii="Times New Roman" w:hAnsi="Times New Roman" w:cs="Times New Roman"/>
          <w:bCs/>
        </w:rPr>
      </w:pPr>
      <w:r w:rsidRPr="005459E6">
        <w:rPr>
          <w:rFonts w:ascii="Times New Roman" w:hAnsi="Times New Roman" w:cs="Times New Roman"/>
          <w:b/>
          <w:bCs/>
          <w:i/>
          <w:iCs/>
        </w:rPr>
        <w:t>Small Effect Size</w:t>
      </w:r>
      <w:r w:rsidRPr="005459E6">
        <w:rPr>
          <w:rFonts w:ascii="Times New Roman" w:hAnsi="Times New Roman" w:cs="Times New Roman"/>
        </w:rPr>
        <w:br/>
      </w:r>
      <w:r w:rsidR="00C85174" w:rsidRPr="005459E6">
        <w:rPr>
          <w:rFonts w:ascii="Times New Roman" w:hAnsi="Times New Roman" w:cs="Times New Roman"/>
          <w:bCs/>
          <w:i/>
          <w:iCs/>
        </w:rPr>
        <w:t>Small Effect Size</w:t>
      </w:r>
      <w:r w:rsidR="00C85174" w:rsidRPr="005459E6">
        <w:rPr>
          <w:rFonts w:ascii="Times New Roman" w:hAnsi="Times New Roman" w:cs="Times New Roman"/>
          <w:bCs/>
        </w:rPr>
        <w:t xml:space="preserve"> A power analysis for a Pearson correlation can also be done in G*Power with an alpha of 0.05, a power of 0.80, a small effect size (p =.1), and two tails to determine sufficient sample size </w:t>
      </w:r>
      <w:r w:rsidR="00991509" w:rsidRPr="005459E6">
        <w:rPr>
          <w:rFonts w:ascii="Times New Roman" w:hAnsi="Times New Roman" w:cs="Times New Roman"/>
          <w:bCs/>
        </w:rPr>
        <w:fldChar w:fldCharType="begin" w:fldLock="1"/>
      </w:r>
      <w:r w:rsidR="005D10F9" w:rsidRPr="005459E6">
        <w:rPr>
          <w:rFonts w:ascii="Times New Roman" w:hAnsi="Times New Roman" w:cs="Times New Roman"/>
          <w:bCs/>
        </w:rPr>
        <w:instrText>ADDIN CSL_CITATION {"citationItems":[{"id":"ITEM-1","itemData":{"ISSN":"1554-3528","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methods","id":"ITEM-1","issue":"4","issued":{"date-parts":[["2009"]]},"page":"1149-1160","publisher":"Springer","title":"Statistical power analyses using G* Power 3.1: Tests for correlation and regression analyses","type":"article-journal","volume":"41"},"uris":["http://www.mendeley.com/documents/?uuid=3195bc52-d2aa-49ad-bbcb-b9ce43619764"]}],"mendeley":{"formattedCitation":"(Faul et al., 2009)","plainTextFormattedCitation":"(Faul et al., 2009)","previouslyFormattedCitation":"(Faul et al., 2009)"},"properties":{"noteIndex":0},"schema":"https://github.com/citation-style-language/schema/raw/master/csl-citation.json"}</w:instrText>
      </w:r>
      <w:r w:rsidR="00991509" w:rsidRPr="005459E6">
        <w:rPr>
          <w:rFonts w:ascii="Times New Roman" w:hAnsi="Times New Roman" w:cs="Times New Roman"/>
          <w:bCs/>
        </w:rPr>
        <w:fldChar w:fldCharType="separate"/>
      </w:r>
      <w:r w:rsidR="00991509" w:rsidRPr="005459E6">
        <w:rPr>
          <w:rFonts w:ascii="Times New Roman" w:hAnsi="Times New Roman" w:cs="Times New Roman"/>
          <w:bCs/>
          <w:noProof/>
        </w:rPr>
        <w:t>(Faul et al., 2009)</w:t>
      </w:r>
      <w:r w:rsidR="00991509" w:rsidRPr="005459E6">
        <w:rPr>
          <w:rFonts w:ascii="Times New Roman" w:hAnsi="Times New Roman" w:cs="Times New Roman"/>
          <w:bCs/>
        </w:rPr>
        <w:fldChar w:fldCharType="end"/>
      </w:r>
      <w:r w:rsidR="00991509" w:rsidRPr="005459E6">
        <w:rPr>
          <w:rFonts w:ascii="Times New Roman" w:hAnsi="Times New Roman" w:cs="Times New Roman"/>
          <w:bCs/>
        </w:rPr>
        <w:t xml:space="preserve">. </w:t>
      </w:r>
      <w:r w:rsidR="00C85174" w:rsidRPr="005459E6">
        <w:rPr>
          <w:rFonts w:ascii="Times New Roman" w:hAnsi="Times New Roman" w:cs="Times New Roman"/>
          <w:bCs/>
        </w:rPr>
        <w:t>Based on the aforementioned assumptions, the needed sample size is 779.</w:t>
      </w:r>
    </w:p>
    <w:p w14:paraId="6E022434" w14:textId="1C14F47E" w:rsidR="004D7E4A" w:rsidRPr="005459E6" w:rsidRDefault="004D7E4A" w:rsidP="00042CB0">
      <w:pPr>
        <w:spacing w:before="240" w:after="240" w:line="360" w:lineRule="auto"/>
        <w:jc w:val="both"/>
        <w:rPr>
          <w:rFonts w:ascii="Times New Roman" w:hAnsi="Times New Roman" w:cs="Times New Roman"/>
        </w:rPr>
      </w:pPr>
    </w:p>
    <w:p w14:paraId="6333C8C3" w14:textId="77777777" w:rsidR="004D7E4A" w:rsidRPr="005459E6" w:rsidRDefault="004D7E4A" w:rsidP="00042CB0">
      <w:pPr>
        <w:spacing w:line="360" w:lineRule="auto"/>
        <w:jc w:val="both"/>
        <w:rPr>
          <w:rFonts w:ascii="Times New Roman" w:hAnsi="Times New Roman" w:cs="Times New Roman"/>
          <w:i/>
          <w:iCs/>
        </w:rPr>
      </w:pPr>
    </w:p>
    <w:p w14:paraId="54A9D401" w14:textId="3628DDA6" w:rsidR="004D7E4A" w:rsidRPr="005459E6" w:rsidRDefault="004D7E4A" w:rsidP="00042CB0">
      <w:pPr>
        <w:spacing w:line="360" w:lineRule="auto"/>
        <w:jc w:val="both"/>
        <w:rPr>
          <w:rFonts w:ascii="Times New Roman" w:hAnsi="Times New Roman" w:cs="Times New Roman"/>
          <w:i/>
          <w:iCs/>
        </w:rPr>
      </w:pPr>
      <w:r w:rsidRPr="005459E6">
        <w:rPr>
          <w:rFonts w:ascii="Times New Roman" w:hAnsi="Times New Roman" w:cs="Times New Roman"/>
          <w:i/>
          <w:iCs/>
        </w:rPr>
        <w:t xml:space="preserve">Considering this study was carried </w:t>
      </w:r>
      <w:r w:rsidR="004970FE" w:rsidRPr="005459E6">
        <w:rPr>
          <w:rFonts w:ascii="Times New Roman" w:hAnsi="Times New Roman" w:cs="Times New Roman"/>
          <w:i/>
          <w:iCs/>
        </w:rPr>
        <w:t xml:space="preserve">out </w:t>
      </w:r>
      <w:r w:rsidRPr="005459E6">
        <w:rPr>
          <w:rFonts w:ascii="Times New Roman" w:hAnsi="Times New Roman" w:cs="Times New Roman"/>
          <w:i/>
          <w:iCs/>
        </w:rPr>
        <w:t xml:space="preserve">during the Covid-19 times, the practical difficulty of data collection with social distancing allowed data collection possible only for </w:t>
      </w:r>
      <w:r w:rsidR="004031B2">
        <w:rPr>
          <w:rFonts w:ascii="Times New Roman" w:hAnsi="Times New Roman" w:cs="Times New Roman"/>
          <w:i/>
          <w:iCs/>
        </w:rPr>
        <w:t xml:space="preserve">a </w:t>
      </w:r>
      <w:r w:rsidRPr="005459E6">
        <w:rPr>
          <w:rFonts w:ascii="Times New Roman" w:hAnsi="Times New Roman" w:cs="Times New Roman"/>
          <w:i/>
          <w:iCs/>
        </w:rPr>
        <w:t>large effect size.</w:t>
      </w:r>
    </w:p>
    <w:p w14:paraId="12370B2C" w14:textId="77777777" w:rsidR="004D7E4A" w:rsidRPr="005459E6" w:rsidRDefault="004D7E4A" w:rsidP="00042CB0">
      <w:pPr>
        <w:spacing w:line="360" w:lineRule="auto"/>
        <w:jc w:val="both"/>
        <w:rPr>
          <w:rFonts w:ascii="Times New Roman" w:hAnsi="Times New Roman" w:cs="Times New Roman"/>
        </w:rPr>
      </w:pPr>
    </w:p>
    <w:p w14:paraId="64B46489" w14:textId="77777777" w:rsidR="004D7E4A" w:rsidRPr="005459E6" w:rsidRDefault="004D7E4A" w:rsidP="00042CB0">
      <w:pPr>
        <w:spacing w:line="360" w:lineRule="auto"/>
        <w:jc w:val="both"/>
        <w:rPr>
          <w:rFonts w:ascii="Times New Roman" w:hAnsi="Times New Roman" w:cs="Times New Roman"/>
        </w:rPr>
      </w:pPr>
    </w:p>
    <w:p w14:paraId="7781B588" w14:textId="77777777" w:rsidR="004D7E4A" w:rsidRPr="005459E6" w:rsidRDefault="004D7E4A" w:rsidP="00042CB0">
      <w:pPr>
        <w:spacing w:line="360" w:lineRule="auto"/>
        <w:jc w:val="both"/>
        <w:rPr>
          <w:rFonts w:ascii="Times New Roman" w:hAnsi="Times New Roman" w:cs="Times New Roman"/>
        </w:rPr>
      </w:pPr>
    </w:p>
    <w:p w14:paraId="461E1379" w14:textId="77777777" w:rsidR="004D7E4A" w:rsidRPr="005459E6" w:rsidRDefault="004D7E4A" w:rsidP="00042CB0">
      <w:pPr>
        <w:spacing w:line="360" w:lineRule="auto"/>
        <w:jc w:val="both"/>
        <w:rPr>
          <w:rFonts w:ascii="Times New Roman" w:hAnsi="Times New Roman" w:cs="Times New Roman"/>
        </w:rPr>
      </w:pPr>
    </w:p>
    <w:p w14:paraId="0ADDE68C" w14:textId="77777777" w:rsidR="004D7E4A" w:rsidRPr="005459E6" w:rsidRDefault="004D7E4A" w:rsidP="00042CB0">
      <w:pPr>
        <w:spacing w:line="360" w:lineRule="auto"/>
        <w:jc w:val="both"/>
        <w:rPr>
          <w:rFonts w:ascii="Times New Roman" w:hAnsi="Times New Roman" w:cs="Times New Roman"/>
        </w:rPr>
      </w:pPr>
    </w:p>
    <w:p w14:paraId="6A70E994" w14:textId="2511BA95"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lastRenderedPageBreak/>
        <w:t>For the given study</w:t>
      </w:r>
      <w:r w:rsidR="004970FE" w:rsidRPr="005459E6">
        <w:rPr>
          <w:rFonts w:ascii="Times New Roman" w:hAnsi="Times New Roman" w:cs="Times New Roman"/>
        </w:rPr>
        <w:t>,</w:t>
      </w:r>
      <w:r w:rsidRPr="005459E6">
        <w:rPr>
          <w:rFonts w:ascii="Times New Roman" w:hAnsi="Times New Roman" w:cs="Times New Roman"/>
        </w:rPr>
        <w:t xml:space="preserve"> samples were collected using large effect size. The sample size calculation determined </w:t>
      </w:r>
      <w:r w:rsidR="004970FE" w:rsidRPr="005459E6">
        <w:rPr>
          <w:rFonts w:ascii="Times New Roman" w:hAnsi="Times New Roman" w:cs="Times New Roman"/>
        </w:rPr>
        <w:t xml:space="preserve">the </w:t>
      </w:r>
      <w:r w:rsidRPr="005459E6">
        <w:rPr>
          <w:rFonts w:ascii="Times New Roman" w:hAnsi="Times New Roman" w:cs="Times New Roman"/>
        </w:rPr>
        <w:t xml:space="preserve">margin of error (as 5%) and set the confidence level (of 80%) with </w:t>
      </w:r>
      <w:r w:rsidR="004970FE" w:rsidRPr="005459E6">
        <w:rPr>
          <w:rFonts w:ascii="Times New Roman" w:hAnsi="Times New Roman" w:cs="Times New Roman"/>
        </w:rPr>
        <w:t xml:space="preserve">a </w:t>
      </w:r>
      <w:r w:rsidRPr="005459E6">
        <w:rPr>
          <w:rFonts w:ascii="Times New Roman" w:hAnsi="Times New Roman" w:cs="Times New Roman"/>
        </w:rPr>
        <w:t>determination of standard deviation (0.35)</w:t>
      </w:r>
      <w:r w:rsidR="004970FE" w:rsidRPr="005459E6">
        <w:rPr>
          <w:rFonts w:ascii="Times New Roman" w:hAnsi="Times New Roman" w:cs="Times New Roman"/>
        </w:rPr>
        <w:t>.</w:t>
      </w:r>
      <w:r w:rsidRPr="005459E6">
        <w:rPr>
          <w:rFonts w:ascii="Times New Roman" w:hAnsi="Times New Roman" w:cs="Times New Roman"/>
        </w:rPr>
        <w:t xml:space="preserve"> The Z-score was calculated using ‘Intellectuals Statistics’ for an 'unknown' population using </w:t>
      </w:r>
      <w:r w:rsidR="004970FE" w:rsidRPr="005459E6">
        <w:rPr>
          <w:rFonts w:ascii="Times New Roman" w:hAnsi="Times New Roman" w:cs="Times New Roman"/>
        </w:rPr>
        <w:t xml:space="preserve">the </w:t>
      </w:r>
      <w:r w:rsidR="005847ED" w:rsidRPr="005459E6">
        <w:rPr>
          <w:rFonts w:ascii="Times New Roman" w:hAnsi="Times New Roman" w:cs="Times New Roman"/>
        </w:rPr>
        <w:t>f</w:t>
      </w:r>
      <w:r w:rsidRPr="005459E6">
        <w:rPr>
          <w:rFonts w:ascii="Times New Roman" w:hAnsi="Times New Roman" w:cs="Times New Roman"/>
        </w:rPr>
        <w:t>ormula</w:t>
      </w:r>
      <w:r w:rsidR="004967E8" w:rsidRPr="005459E6">
        <w:rPr>
          <w:rFonts w:ascii="Times New Roman" w:hAnsi="Times New Roman" w:cs="Times New Roman"/>
        </w:rPr>
        <w:t xml:space="preserve"> displayed in </w:t>
      </w:r>
      <w:r w:rsidR="004967E8" w:rsidRPr="005459E6">
        <w:rPr>
          <w:rFonts w:ascii="Times New Roman" w:hAnsi="Times New Roman" w:cs="Times New Roman"/>
          <w:b/>
          <w:bCs/>
        </w:rPr>
        <w:t>Figure 10</w:t>
      </w:r>
      <w:r w:rsidR="004967E8" w:rsidRPr="005459E6">
        <w:rPr>
          <w:rFonts w:ascii="Times New Roman" w:hAnsi="Times New Roman" w:cs="Times New Roman"/>
        </w:rPr>
        <w:t xml:space="preserve"> </w:t>
      </w:r>
      <w:r w:rsidR="00EB0B34" w:rsidRPr="005459E6">
        <w:rPr>
          <w:rFonts w:ascii="Times New Roman" w:hAnsi="Times New Roman" w:cs="Times New Roman"/>
        </w:rPr>
        <w:t>below</w:t>
      </w:r>
      <w:r w:rsidRPr="005459E6">
        <w:rPr>
          <w:rFonts w:ascii="Times New Roman" w:hAnsi="Times New Roman" w:cs="Times New Roman"/>
        </w:rPr>
        <w:t xml:space="preserve"> – </w:t>
      </w:r>
    </w:p>
    <w:p w14:paraId="08BDB3CD"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162608FF" wp14:editId="60BEF08F">
            <wp:extent cx="2563912" cy="1285875"/>
            <wp:effectExtent l="0" t="0" r="8255" b="0"/>
            <wp:docPr id="194" name="Picture 19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816" cy="1292347"/>
                    </a:xfrm>
                    <a:prstGeom prst="rect">
                      <a:avLst/>
                    </a:prstGeom>
                  </pic:spPr>
                </pic:pic>
              </a:graphicData>
            </a:graphic>
          </wp:inline>
        </w:drawing>
      </w:r>
    </w:p>
    <w:p w14:paraId="30ADBD88" w14:textId="76B82B9B" w:rsidR="005847ED" w:rsidRPr="005459E6" w:rsidRDefault="00026B0B" w:rsidP="00042CB0">
      <w:pPr>
        <w:pStyle w:val="Didascalia"/>
        <w:spacing w:line="360" w:lineRule="auto"/>
        <w:jc w:val="both"/>
        <w:rPr>
          <w:rFonts w:ascii="Times New Roman" w:hAnsi="Times New Roman" w:cs="Times New Roman"/>
          <w:i w:val="0"/>
          <w:iCs w:val="0"/>
          <w:color w:val="auto"/>
          <w:sz w:val="22"/>
          <w:szCs w:val="22"/>
        </w:rPr>
      </w:pPr>
      <w:bookmarkStart w:id="204" w:name="_Toc96343257"/>
      <w:bookmarkStart w:id="205" w:name="_Toc96343346"/>
      <w:bookmarkStart w:id="206" w:name="_Toc99916022"/>
      <w:r w:rsidRPr="005459E6">
        <w:rPr>
          <w:rFonts w:ascii="Times New Roman" w:hAnsi="Times New Roman" w:cs="Times New Roman"/>
          <w:i w:val="0"/>
          <w:iCs w:val="0"/>
          <w:color w:val="auto"/>
          <w:sz w:val="22"/>
          <w:szCs w:val="22"/>
        </w:rPr>
        <w:t xml:space="preserve">Equation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Equation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Formula for sample size calculation</w:t>
      </w:r>
      <w:bookmarkEnd w:id="204"/>
      <w:bookmarkEnd w:id="205"/>
      <w:bookmarkEnd w:id="206"/>
    </w:p>
    <w:p w14:paraId="35C47A9C" w14:textId="77777777" w:rsidR="003C470D" w:rsidRPr="005459E6" w:rsidRDefault="003C470D" w:rsidP="00042CB0">
      <w:pPr>
        <w:spacing w:line="360" w:lineRule="auto"/>
        <w:jc w:val="both"/>
        <w:rPr>
          <w:rFonts w:ascii="Times New Roman" w:hAnsi="Times New Roman" w:cs="Times New Roman"/>
        </w:rPr>
      </w:pPr>
    </w:p>
    <w:p w14:paraId="7519C62A" w14:textId="3F2E197A"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The sampling represented a specific group of </w:t>
      </w:r>
      <w:r w:rsidR="004970FE" w:rsidRPr="005459E6">
        <w:rPr>
          <w:rFonts w:ascii="Times New Roman" w:hAnsi="Times New Roman" w:cs="Times New Roman"/>
        </w:rPr>
        <w:t xml:space="preserve">the </w:t>
      </w:r>
      <w:r w:rsidRPr="005459E6">
        <w:rPr>
          <w:rFonts w:ascii="Times New Roman" w:hAnsi="Times New Roman" w:cs="Times New Roman"/>
        </w:rPr>
        <w:t>population that was being made part of the study.</w:t>
      </w:r>
    </w:p>
    <w:p w14:paraId="78D43988" w14:textId="77777777" w:rsidR="004D7E4A" w:rsidRPr="005459E6" w:rsidRDefault="004D7E4A" w:rsidP="00042CB0">
      <w:pPr>
        <w:numPr>
          <w:ilvl w:val="0"/>
          <w:numId w:val="1"/>
        </w:numPr>
        <w:spacing w:line="360" w:lineRule="auto"/>
        <w:jc w:val="both"/>
        <w:rPr>
          <w:rFonts w:ascii="Times New Roman" w:hAnsi="Times New Roman" w:cs="Times New Roman"/>
          <w:b/>
          <w:bCs/>
        </w:rPr>
      </w:pPr>
      <w:r w:rsidRPr="005459E6">
        <w:rPr>
          <w:rFonts w:ascii="Times New Roman" w:hAnsi="Times New Roman" w:cs="Times New Roman"/>
          <w:b/>
          <w:bCs/>
        </w:rPr>
        <w:t>Pilot Study</w:t>
      </w:r>
    </w:p>
    <w:p w14:paraId="7E32327C" w14:textId="0D0DF5FB"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A pilot study included a total of 40 Health Professionals and individual</w:t>
      </w:r>
      <w:r w:rsidR="004970FE" w:rsidRPr="005459E6">
        <w:rPr>
          <w:rFonts w:ascii="Times New Roman" w:hAnsi="Times New Roman" w:cs="Times New Roman"/>
        </w:rPr>
        <w:t>s</w:t>
      </w:r>
      <w:r w:rsidRPr="005459E6">
        <w:rPr>
          <w:rFonts w:ascii="Times New Roman" w:hAnsi="Times New Roman" w:cs="Times New Roman"/>
        </w:rPr>
        <w:t xml:space="preserve"> that helped confirm the significance of Psychosomatic health with the administered survey.</w:t>
      </w:r>
    </w:p>
    <w:p w14:paraId="66C7BAFA" w14:textId="301BC815" w:rsidR="004D7E4A" w:rsidRPr="005459E6" w:rsidRDefault="001225C6" w:rsidP="00042CB0">
      <w:pPr>
        <w:numPr>
          <w:ilvl w:val="0"/>
          <w:numId w:val="1"/>
        </w:numPr>
        <w:spacing w:line="360" w:lineRule="auto"/>
        <w:jc w:val="both"/>
        <w:rPr>
          <w:rFonts w:ascii="Times New Roman" w:hAnsi="Times New Roman" w:cs="Times New Roman"/>
          <w:b/>
          <w:bCs/>
        </w:rPr>
      </w:pPr>
      <w:r w:rsidRPr="005459E6">
        <w:rPr>
          <w:rFonts w:ascii="Times New Roman" w:hAnsi="Times New Roman" w:cs="Times New Roman"/>
          <w:b/>
          <w:bCs/>
        </w:rPr>
        <w:t>Case study</w:t>
      </w:r>
    </w:p>
    <w:p w14:paraId="65A90E70" w14:textId="2BE5FF6D" w:rsidR="004D7E4A" w:rsidRPr="005459E6" w:rsidRDefault="00C87885" w:rsidP="00042CB0">
      <w:pPr>
        <w:spacing w:line="360" w:lineRule="auto"/>
        <w:jc w:val="both"/>
        <w:rPr>
          <w:rFonts w:ascii="Times New Roman" w:hAnsi="Times New Roman" w:cs="Times New Roman"/>
        </w:rPr>
      </w:pPr>
      <w:r w:rsidRPr="005459E6">
        <w:rPr>
          <w:rFonts w:ascii="Times New Roman" w:hAnsi="Times New Roman" w:cs="Times New Roman"/>
        </w:rPr>
        <w:t xml:space="preserve">The </w:t>
      </w:r>
      <w:r w:rsidR="00966B42" w:rsidRPr="005459E6">
        <w:rPr>
          <w:rFonts w:ascii="Times New Roman" w:hAnsi="Times New Roman" w:cs="Times New Roman"/>
        </w:rPr>
        <w:t>case</w:t>
      </w:r>
      <w:r w:rsidRPr="005459E6">
        <w:rPr>
          <w:rFonts w:ascii="Times New Roman" w:hAnsi="Times New Roman" w:cs="Times New Roman"/>
        </w:rPr>
        <w:t xml:space="preserve"> studies included a total </w:t>
      </w:r>
      <w:r w:rsidR="004970FE" w:rsidRPr="005459E6">
        <w:rPr>
          <w:rFonts w:ascii="Times New Roman" w:hAnsi="Times New Roman" w:cs="Times New Roman"/>
        </w:rPr>
        <w:t xml:space="preserve">of </w:t>
      </w:r>
      <w:r w:rsidR="001225C6" w:rsidRPr="005459E6">
        <w:rPr>
          <w:rFonts w:ascii="Times New Roman" w:hAnsi="Times New Roman" w:cs="Times New Roman"/>
        </w:rPr>
        <w:t>7 rel</w:t>
      </w:r>
      <w:r w:rsidR="00966B42" w:rsidRPr="005459E6">
        <w:rPr>
          <w:rFonts w:ascii="Times New Roman" w:hAnsi="Times New Roman" w:cs="Times New Roman"/>
        </w:rPr>
        <w:t>e</w:t>
      </w:r>
      <w:r w:rsidR="001225C6" w:rsidRPr="005459E6">
        <w:rPr>
          <w:rFonts w:ascii="Times New Roman" w:hAnsi="Times New Roman" w:cs="Times New Roman"/>
        </w:rPr>
        <w:t>vant</w:t>
      </w:r>
      <w:r w:rsidRPr="005459E6">
        <w:rPr>
          <w:rFonts w:ascii="Times New Roman" w:hAnsi="Times New Roman" w:cs="Times New Roman"/>
        </w:rPr>
        <w:t xml:space="preserve"> cases that were focused on the </w:t>
      </w:r>
      <w:r w:rsidR="00A34D3C" w:rsidRPr="005459E6">
        <w:rPr>
          <w:rFonts w:ascii="Times New Roman" w:hAnsi="Times New Roman" w:cs="Times New Roman"/>
        </w:rPr>
        <w:t>impact</w:t>
      </w:r>
      <w:r w:rsidRPr="005459E6">
        <w:rPr>
          <w:rFonts w:ascii="Times New Roman" w:hAnsi="Times New Roman" w:cs="Times New Roman"/>
        </w:rPr>
        <w:t xml:space="preserve"> of technology on </w:t>
      </w:r>
      <w:r w:rsidR="004970FE" w:rsidRPr="005459E6">
        <w:rPr>
          <w:rFonts w:ascii="Times New Roman" w:hAnsi="Times New Roman" w:cs="Times New Roman"/>
        </w:rPr>
        <w:t xml:space="preserve">the </w:t>
      </w:r>
      <w:r w:rsidRPr="005459E6">
        <w:rPr>
          <w:rFonts w:ascii="Times New Roman" w:hAnsi="Times New Roman" w:cs="Times New Roman"/>
        </w:rPr>
        <w:t>psychological health of people.</w:t>
      </w:r>
    </w:p>
    <w:p w14:paraId="219BCF75" w14:textId="77777777" w:rsidR="004D7E4A" w:rsidRPr="005459E6" w:rsidRDefault="004D7E4A" w:rsidP="00042CB0">
      <w:pPr>
        <w:numPr>
          <w:ilvl w:val="0"/>
          <w:numId w:val="1"/>
        </w:numPr>
        <w:spacing w:line="360" w:lineRule="auto"/>
        <w:jc w:val="both"/>
        <w:rPr>
          <w:rFonts w:ascii="Times New Roman" w:hAnsi="Times New Roman" w:cs="Times New Roman"/>
          <w:b/>
          <w:bCs/>
        </w:rPr>
      </w:pPr>
      <w:r w:rsidRPr="005459E6">
        <w:rPr>
          <w:rFonts w:ascii="Times New Roman" w:hAnsi="Times New Roman" w:cs="Times New Roman"/>
          <w:b/>
          <w:bCs/>
        </w:rPr>
        <w:t xml:space="preserve">Questionnaire </w:t>
      </w:r>
    </w:p>
    <w:p w14:paraId="5037AC6A" w14:textId="15DFB478"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The main study Survey was administered and received responses from 30 therapists, academicians</w:t>
      </w:r>
      <w:r w:rsidR="004970FE" w:rsidRPr="005459E6">
        <w:rPr>
          <w:rFonts w:ascii="Times New Roman" w:hAnsi="Times New Roman" w:cs="Times New Roman"/>
        </w:rPr>
        <w:t>,</w:t>
      </w:r>
      <w:r w:rsidRPr="005459E6">
        <w:rPr>
          <w:rFonts w:ascii="Times New Roman" w:hAnsi="Times New Roman" w:cs="Times New Roman"/>
        </w:rPr>
        <w:t xml:space="preserve"> and scientists that possess a good understanding of psychosomatic issues. The same </w:t>
      </w:r>
      <w:r w:rsidR="004970FE" w:rsidRPr="005459E6">
        <w:rPr>
          <w:rFonts w:ascii="Times New Roman" w:hAnsi="Times New Roman" w:cs="Times New Roman"/>
        </w:rPr>
        <w:t xml:space="preserve">is </w:t>
      </w:r>
      <w:r w:rsidRPr="005459E6">
        <w:rPr>
          <w:rFonts w:ascii="Times New Roman" w:hAnsi="Times New Roman" w:cs="Times New Roman"/>
        </w:rPr>
        <w:t xml:space="preserve">reflected </w:t>
      </w:r>
      <w:r w:rsidR="004970FE" w:rsidRPr="005459E6">
        <w:rPr>
          <w:rFonts w:ascii="Times New Roman" w:hAnsi="Times New Roman" w:cs="Times New Roman"/>
        </w:rPr>
        <w:t>i</w:t>
      </w:r>
      <w:r w:rsidRPr="005459E6">
        <w:rPr>
          <w:rFonts w:ascii="Times New Roman" w:hAnsi="Times New Roman" w:cs="Times New Roman"/>
        </w:rPr>
        <w:t>n the fine points that must be considered during this kind of sensitive study.</w:t>
      </w:r>
    </w:p>
    <w:p w14:paraId="02DE2C5D" w14:textId="77777777" w:rsidR="004D7E4A" w:rsidRPr="005459E6" w:rsidRDefault="004D7E4A" w:rsidP="00042CB0">
      <w:pPr>
        <w:numPr>
          <w:ilvl w:val="0"/>
          <w:numId w:val="1"/>
        </w:numPr>
        <w:spacing w:line="360" w:lineRule="auto"/>
        <w:jc w:val="both"/>
        <w:rPr>
          <w:rFonts w:ascii="Times New Roman" w:hAnsi="Times New Roman" w:cs="Times New Roman"/>
          <w:b/>
          <w:bCs/>
        </w:rPr>
      </w:pPr>
      <w:r w:rsidRPr="005459E6">
        <w:rPr>
          <w:rFonts w:ascii="Times New Roman" w:hAnsi="Times New Roman" w:cs="Times New Roman"/>
          <w:b/>
          <w:bCs/>
        </w:rPr>
        <w:t>Experiment</w:t>
      </w:r>
    </w:p>
    <w:p w14:paraId="545895C1" w14:textId="3184CFE4" w:rsidR="00AF722C"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It had 1522 Unique emotions sampled from the dataset of millions of samples received through BCI. The study shows as the larger the sample, accurate the findings are. Data also included variation</w:t>
      </w:r>
      <w:r w:rsidR="004970FE" w:rsidRPr="005459E6">
        <w:rPr>
          <w:rFonts w:ascii="Times New Roman" w:hAnsi="Times New Roman" w:cs="Times New Roman"/>
        </w:rPr>
        <w:t>s</w:t>
      </w:r>
      <w:r w:rsidRPr="005459E6">
        <w:rPr>
          <w:rFonts w:ascii="Times New Roman" w:hAnsi="Times New Roman" w:cs="Times New Roman"/>
        </w:rPr>
        <w:t xml:space="preserve"> in the </w:t>
      </w:r>
      <w:r w:rsidR="004970FE" w:rsidRPr="005459E6">
        <w:rPr>
          <w:rFonts w:ascii="Times New Roman" w:hAnsi="Times New Roman" w:cs="Times New Roman"/>
        </w:rPr>
        <w:t>s</w:t>
      </w:r>
      <w:r w:rsidRPr="005459E6">
        <w:rPr>
          <w:rFonts w:ascii="Times New Roman" w:hAnsi="Times New Roman" w:cs="Times New Roman"/>
        </w:rPr>
        <w:t>ample population. It also included greater uncertainty and due to which the accuracy of the model was enhanced. It captured the significant data point to be able to draw inferences that were embedded in the study.</w:t>
      </w:r>
    </w:p>
    <w:p w14:paraId="014D5141" w14:textId="77777777"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207" w:name="_Toc87349513"/>
      <w:bookmarkStart w:id="208" w:name="_Toc87349626"/>
      <w:bookmarkStart w:id="209" w:name="_Toc87349733"/>
      <w:bookmarkStart w:id="210" w:name="_Toc107248304"/>
      <w:r w:rsidRPr="005459E6">
        <w:rPr>
          <w:rFonts w:ascii="Times New Roman" w:hAnsi="Times New Roman" w:cs="Times New Roman"/>
          <w:color w:val="auto"/>
          <w:sz w:val="22"/>
          <w:szCs w:val="22"/>
        </w:rPr>
        <w:lastRenderedPageBreak/>
        <w:t>Sampling Type</w:t>
      </w:r>
      <w:bookmarkEnd w:id="207"/>
      <w:bookmarkEnd w:id="208"/>
      <w:bookmarkEnd w:id="209"/>
      <w:bookmarkEnd w:id="210"/>
      <w:r w:rsidRPr="005459E6">
        <w:rPr>
          <w:rFonts w:ascii="Times New Roman" w:hAnsi="Times New Roman" w:cs="Times New Roman"/>
          <w:color w:val="auto"/>
          <w:sz w:val="22"/>
          <w:szCs w:val="22"/>
        </w:rPr>
        <w:tab/>
      </w:r>
    </w:p>
    <w:p w14:paraId="0E32D3E7" w14:textId="0DF32B2B"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Sampling deals with </w:t>
      </w:r>
      <w:r w:rsidR="004970FE" w:rsidRPr="005459E6">
        <w:rPr>
          <w:rFonts w:ascii="Times New Roman" w:hAnsi="Times New Roman" w:cs="Times New Roman"/>
        </w:rPr>
        <w:t>selecting a few instances (sample) from a large pool of groups (sample populations) that represent the</w:t>
      </w:r>
      <w:r w:rsidRPr="005459E6">
        <w:rPr>
          <w:rFonts w:ascii="Times New Roman" w:hAnsi="Times New Roman" w:cs="Times New Roman"/>
        </w:rPr>
        <w:t xml:space="preserve"> entire population.</w:t>
      </w:r>
    </w:p>
    <w:p w14:paraId="4EF7FB9E" w14:textId="76DD6134"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In this research</w:t>
      </w:r>
      <w:r w:rsidR="004970FE" w:rsidRPr="005459E6">
        <w:rPr>
          <w:rFonts w:ascii="Times New Roman" w:hAnsi="Times New Roman" w:cs="Times New Roman"/>
        </w:rPr>
        <w:t>,</w:t>
      </w:r>
      <w:r w:rsidRPr="005459E6">
        <w:rPr>
          <w:rFonts w:ascii="Times New Roman" w:hAnsi="Times New Roman" w:cs="Times New Roman"/>
        </w:rPr>
        <w:t xml:space="preserve"> such </w:t>
      </w:r>
      <w:r w:rsidR="00613838" w:rsidRPr="005459E6">
        <w:rPr>
          <w:rFonts w:ascii="Times New Roman" w:hAnsi="Times New Roman" w:cs="Times New Roman"/>
        </w:rPr>
        <w:t xml:space="preserve">a </w:t>
      </w:r>
      <w:r w:rsidRPr="005459E6">
        <w:rPr>
          <w:rFonts w:ascii="Times New Roman" w:hAnsi="Times New Roman" w:cs="Times New Roman"/>
        </w:rPr>
        <w:t>sample population is in the form of Health Professionals and Scientists.</w:t>
      </w:r>
    </w:p>
    <w:p w14:paraId="1A7CB24E" w14:textId="77777777" w:rsidR="004D7E4A" w:rsidRPr="005459E6" w:rsidRDefault="004D7E4A" w:rsidP="00042CB0">
      <w:pPr>
        <w:spacing w:line="360" w:lineRule="auto"/>
        <w:jc w:val="both"/>
        <w:rPr>
          <w:rFonts w:ascii="Times New Roman" w:hAnsi="Times New Roman" w:cs="Times New Roman"/>
        </w:rPr>
      </w:pPr>
    </w:p>
    <w:p w14:paraId="3CD12AA9"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With respect to this research, </w:t>
      </w:r>
    </w:p>
    <w:p w14:paraId="3F5E6472"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Sample Size:</w:t>
      </w:r>
      <w:r w:rsidRPr="005459E6">
        <w:rPr>
          <w:rFonts w:ascii="Times New Roman" w:hAnsi="Times New Roman" w:cs="Times New Roman"/>
        </w:rPr>
        <w:t xml:space="preserve"> Selected sample (n- calculated with large effect size)</w:t>
      </w:r>
    </w:p>
    <w:p w14:paraId="23403518"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Sampling Design:</w:t>
      </w:r>
      <w:r w:rsidRPr="005459E6">
        <w:rPr>
          <w:rFonts w:ascii="Times New Roman" w:hAnsi="Times New Roman" w:cs="Times New Roman"/>
        </w:rPr>
        <w:t xml:space="preserve">  People who are knowledgeable about psychosomatic health.</w:t>
      </w:r>
    </w:p>
    <w:p w14:paraId="71419EBA" w14:textId="03856366"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t>Sampling Unit:</w:t>
      </w:r>
      <w:r w:rsidRPr="005459E6">
        <w:rPr>
          <w:rFonts w:ascii="Times New Roman" w:hAnsi="Times New Roman" w:cs="Times New Roman"/>
        </w:rPr>
        <w:t xml:space="preserve">  Included instances capture</w:t>
      </w:r>
      <w:r w:rsidR="004970FE" w:rsidRPr="005459E6">
        <w:rPr>
          <w:rFonts w:ascii="Times New Roman" w:hAnsi="Times New Roman" w:cs="Times New Roman"/>
        </w:rPr>
        <w:t>d</w:t>
      </w:r>
      <w:r w:rsidRPr="005459E6">
        <w:rPr>
          <w:rFonts w:ascii="Times New Roman" w:hAnsi="Times New Roman" w:cs="Times New Roman"/>
        </w:rPr>
        <w:t xml:space="preserve"> from the brain frequencies in the form of EEG.</w:t>
      </w:r>
    </w:p>
    <w:p w14:paraId="7D732A92" w14:textId="77777777" w:rsidR="004D7E4A" w:rsidRPr="005459E6" w:rsidRDefault="004D7E4A" w:rsidP="00042CB0">
      <w:pPr>
        <w:spacing w:line="360" w:lineRule="auto"/>
        <w:jc w:val="both"/>
        <w:rPr>
          <w:rFonts w:ascii="Times New Roman" w:hAnsi="Times New Roman" w:cs="Times New Roman"/>
        </w:rPr>
      </w:pPr>
    </w:p>
    <w:p w14:paraId="46351D8C" w14:textId="77777777" w:rsidR="004D7E4A" w:rsidRPr="005459E6" w:rsidRDefault="004D7E4A" w:rsidP="00042CB0">
      <w:pPr>
        <w:spacing w:line="360" w:lineRule="auto"/>
        <w:jc w:val="both"/>
        <w:rPr>
          <w:rFonts w:ascii="Times New Roman" w:hAnsi="Times New Roman" w:cs="Times New Roman"/>
        </w:rPr>
      </w:pPr>
    </w:p>
    <w:p w14:paraId="7EBB5D18" w14:textId="77777777"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211" w:name="_Toc87349514"/>
      <w:bookmarkStart w:id="212" w:name="_Toc87349627"/>
      <w:bookmarkStart w:id="213" w:name="_Toc87349734"/>
      <w:bookmarkStart w:id="214" w:name="_Toc107248305"/>
      <w:r w:rsidRPr="005459E6">
        <w:rPr>
          <w:rFonts w:ascii="Times New Roman" w:hAnsi="Times New Roman" w:cs="Times New Roman"/>
          <w:color w:val="auto"/>
          <w:sz w:val="22"/>
          <w:szCs w:val="22"/>
        </w:rPr>
        <w:t>Sample Selection</w:t>
      </w:r>
      <w:bookmarkEnd w:id="211"/>
      <w:bookmarkEnd w:id="212"/>
      <w:bookmarkEnd w:id="213"/>
      <w:bookmarkEnd w:id="214"/>
      <w:r w:rsidRPr="005459E6">
        <w:rPr>
          <w:rFonts w:ascii="Times New Roman" w:hAnsi="Times New Roman" w:cs="Times New Roman"/>
          <w:color w:val="auto"/>
          <w:sz w:val="22"/>
          <w:szCs w:val="22"/>
        </w:rPr>
        <w:tab/>
      </w:r>
    </w:p>
    <w:p w14:paraId="3757AEE1" w14:textId="77777777" w:rsidR="00315994" w:rsidRPr="005459E6" w:rsidRDefault="00315994" w:rsidP="00042CB0">
      <w:pPr>
        <w:spacing w:line="360" w:lineRule="auto"/>
        <w:jc w:val="both"/>
        <w:rPr>
          <w:rFonts w:ascii="Times New Roman" w:hAnsi="Times New Roman" w:cs="Times New Roman"/>
        </w:rPr>
      </w:pPr>
      <w:r w:rsidRPr="005459E6">
        <w:rPr>
          <w:rFonts w:ascii="Times New Roman" w:hAnsi="Times New Roman" w:cs="Times New Roman"/>
        </w:rPr>
        <w:t>The sampling tried to make the sample larger to enhance the accuracy of the finding. At the same time, the variation in sampling provided greater uncertainty that was more useful in data modeling. Sampling followed independent sampling as a part of non-probability sampling.</w:t>
      </w:r>
    </w:p>
    <w:p w14:paraId="39DCCACD" w14:textId="1C7DED56" w:rsidR="00315994" w:rsidRPr="005459E6" w:rsidRDefault="00315994" w:rsidP="00042CB0">
      <w:pPr>
        <w:spacing w:line="360" w:lineRule="auto"/>
        <w:jc w:val="both"/>
        <w:rPr>
          <w:rFonts w:ascii="Times New Roman" w:hAnsi="Times New Roman" w:cs="Times New Roman"/>
        </w:rPr>
      </w:pPr>
      <w:r w:rsidRPr="005459E6">
        <w:rPr>
          <w:rFonts w:ascii="Times New Roman" w:hAnsi="Times New Roman" w:cs="Times New Roman"/>
        </w:rPr>
        <w:t xml:space="preserve">Sample selection specifically used ‘Judgmental sampling’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{"citationItems":[{"id":"ITEM-1","itemData":{"DOI":"10.4135/9781506326139 NV  - 4","author":[{"dropping-particle":"","family":"Frey","given":"Bruce B","non-dropping-particle":"","parse-names":false,"suffix":""}],"id":"ITEM-1","issued":{"date-parts":[["2018"]]},"publisher-place":"Thousand Oaks,, California","title":"The SAGE Encyclopedia of Educational Research, Measurement, and Evaluation","type":"article"},"uris":["http://www.mendeley.com/documents/?uuid=b4555ecd-0490-47ce-ba87-f03f10bf3342"]}],"mendeley":{"formattedCitation":"(Frey, 2018)","plainTextFormattedCitation":"(Frey, 2018)","previouslyFormattedCitation":"(Frey,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(Frey, 2018)</w:t>
      </w:r>
      <w:r w:rsidRPr="005459E6">
        <w:rPr>
          <w:rFonts w:ascii="Times New Roman" w:hAnsi="Times New Roman" w:cs="Times New Roman"/>
        </w:rPr>
        <w:fldChar w:fldCharType="end"/>
      </w:r>
      <w:r w:rsidRPr="005459E6">
        <w:rPr>
          <w:rFonts w:ascii="Times New Roman" w:hAnsi="Times New Roman" w:cs="Times New Roman"/>
        </w:rPr>
        <w:t xml:space="preserve"> that placed a </w:t>
      </w:r>
      <w:r w:rsidR="005B7CB2" w:rsidRPr="005459E6">
        <w:rPr>
          <w:rFonts w:ascii="Times New Roman" w:hAnsi="Times New Roman" w:cs="Times New Roman"/>
        </w:rPr>
        <w:t>n</w:t>
      </w:r>
      <w:r w:rsidRPr="005459E6">
        <w:rPr>
          <w:rFonts w:ascii="Times New Roman" w:hAnsi="Times New Roman" w:cs="Times New Roman"/>
        </w:rPr>
        <w:t>arrow focus on similar characteristics, understanding and experience in the field of Psychology. It is believed that these individuals could offer correct/unbiased information regarding the state of health.</w:t>
      </w:r>
    </w:p>
    <w:p w14:paraId="3536264B" w14:textId="77777777" w:rsidR="004D7E4A" w:rsidRPr="005459E6" w:rsidRDefault="004D7E4A" w:rsidP="00042CB0">
      <w:pPr>
        <w:spacing w:line="360" w:lineRule="auto"/>
        <w:jc w:val="both"/>
        <w:rPr>
          <w:rFonts w:ascii="Times New Roman" w:hAnsi="Times New Roman" w:cs="Times New Roman"/>
        </w:rPr>
      </w:pPr>
    </w:p>
    <w:p w14:paraId="7967CB88" w14:textId="77777777" w:rsidR="004D7E4A" w:rsidRPr="005459E6" w:rsidRDefault="004D7E4A" w:rsidP="00042CB0">
      <w:pPr>
        <w:spacing w:line="360" w:lineRule="auto"/>
        <w:jc w:val="both"/>
        <w:rPr>
          <w:rFonts w:ascii="Times New Roman" w:hAnsi="Times New Roman" w:cs="Times New Roman"/>
        </w:rPr>
      </w:pPr>
    </w:p>
    <w:p w14:paraId="1DF81AC4" w14:textId="77777777" w:rsidR="004D7E4A" w:rsidRPr="005459E6" w:rsidRDefault="004D7E4A" w:rsidP="00042CB0">
      <w:pPr>
        <w:spacing w:line="360" w:lineRule="auto"/>
        <w:jc w:val="both"/>
        <w:rPr>
          <w:rFonts w:ascii="Times New Roman" w:hAnsi="Times New Roman" w:cs="Times New Roman"/>
        </w:rPr>
      </w:pPr>
    </w:p>
    <w:p w14:paraId="52279C81" w14:textId="77777777" w:rsidR="004D7E4A" w:rsidRPr="005459E6" w:rsidRDefault="004D7E4A" w:rsidP="00042CB0">
      <w:pPr>
        <w:spacing w:line="360" w:lineRule="auto"/>
        <w:jc w:val="both"/>
        <w:rPr>
          <w:rFonts w:ascii="Times New Roman" w:hAnsi="Times New Roman" w:cs="Times New Roman"/>
        </w:rPr>
      </w:pPr>
    </w:p>
    <w:p w14:paraId="54ABEFC2" w14:textId="77777777" w:rsidR="004D7E4A" w:rsidRPr="005459E6" w:rsidRDefault="004D7E4A" w:rsidP="00042CB0">
      <w:pPr>
        <w:spacing w:line="360" w:lineRule="auto"/>
        <w:jc w:val="both"/>
        <w:rPr>
          <w:rFonts w:ascii="Times New Roman" w:hAnsi="Times New Roman" w:cs="Times New Roman"/>
        </w:rPr>
      </w:pPr>
    </w:p>
    <w:p w14:paraId="6319B8B8" w14:textId="77777777" w:rsidR="004D7E4A" w:rsidRPr="005459E6" w:rsidRDefault="004D7E4A" w:rsidP="00042CB0">
      <w:pPr>
        <w:spacing w:line="360" w:lineRule="auto"/>
        <w:jc w:val="both"/>
        <w:rPr>
          <w:rFonts w:ascii="Times New Roman" w:hAnsi="Times New Roman" w:cs="Times New Roman"/>
        </w:rPr>
      </w:pPr>
    </w:p>
    <w:p w14:paraId="6CD0637A" w14:textId="77777777" w:rsidR="004D7E4A" w:rsidRPr="005459E6" w:rsidRDefault="004D7E4A" w:rsidP="00042CB0">
      <w:pPr>
        <w:spacing w:line="360" w:lineRule="auto"/>
        <w:jc w:val="both"/>
        <w:rPr>
          <w:rFonts w:ascii="Times New Roman" w:hAnsi="Times New Roman" w:cs="Times New Roman"/>
        </w:rPr>
      </w:pPr>
    </w:p>
    <w:p w14:paraId="11852A19" w14:textId="77777777" w:rsidR="004D7E4A" w:rsidRPr="005459E6" w:rsidRDefault="004D7E4A" w:rsidP="00042CB0">
      <w:pPr>
        <w:spacing w:line="360" w:lineRule="auto"/>
        <w:jc w:val="both"/>
        <w:rPr>
          <w:rFonts w:ascii="Times New Roman" w:hAnsi="Times New Roman" w:cs="Times New Roman"/>
        </w:rPr>
      </w:pPr>
    </w:p>
    <w:p w14:paraId="3CACAE6A"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215" w:name="_Toc87349515"/>
      <w:bookmarkStart w:id="216" w:name="_Toc87349628"/>
      <w:bookmarkStart w:id="217" w:name="_Toc87349735"/>
      <w:bookmarkStart w:id="218" w:name="_Toc107248306"/>
      <w:r w:rsidRPr="005459E6">
        <w:rPr>
          <w:rFonts w:ascii="Times New Roman" w:hAnsi="Times New Roman" w:cs="Times New Roman"/>
          <w:color w:val="auto"/>
          <w:sz w:val="22"/>
          <w:szCs w:val="22"/>
        </w:rPr>
        <w:lastRenderedPageBreak/>
        <w:t>Ethical Considerations</w:t>
      </w:r>
      <w:bookmarkEnd w:id="215"/>
      <w:bookmarkEnd w:id="216"/>
      <w:bookmarkEnd w:id="217"/>
      <w:bookmarkEnd w:id="218"/>
    </w:p>
    <w:p w14:paraId="29DEF91E" w14:textId="55870446" w:rsidR="004D7E4A" w:rsidRPr="005459E6" w:rsidRDefault="008B4EC3" w:rsidP="00042CB0">
      <w:pPr>
        <w:spacing w:line="360" w:lineRule="auto"/>
        <w:jc w:val="both"/>
        <w:rPr>
          <w:rFonts w:ascii="Times New Roman" w:hAnsi="Times New Roman" w:cs="Times New Roman"/>
        </w:rPr>
      </w:pPr>
      <w:r w:rsidRPr="005459E6">
        <w:rPr>
          <w:rFonts w:ascii="Times New Roman" w:hAnsi="Times New Roman" w:cs="Times New Roman"/>
        </w:rPr>
        <w:t>Scientists' conduct is governed by research ethics.  Research participants' dignity, rights, and welfare must be protected by following ethical principles.</w:t>
      </w:r>
    </w:p>
    <w:p w14:paraId="6D8B6E19" w14:textId="77777777" w:rsidR="008A4958" w:rsidRPr="005459E6" w:rsidRDefault="008A4958" w:rsidP="00042CB0">
      <w:pPr>
        <w:spacing w:line="360" w:lineRule="auto"/>
        <w:jc w:val="both"/>
        <w:rPr>
          <w:rFonts w:ascii="Times New Roman" w:hAnsi="Times New Roman" w:cs="Times New Roman"/>
        </w:rPr>
      </w:pPr>
    </w:p>
    <w:p w14:paraId="6A07C9C4" w14:textId="77777777" w:rsidR="004D7E4A"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Consent</w:t>
      </w:r>
    </w:p>
    <w:p w14:paraId="339155C6" w14:textId="43A9559C" w:rsidR="00E27AB9" w:rsidRPr="005459E6" w:rsidRDefault="00E27AB9"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 xml:space="preserve">A conventional consent process for capable individuals had two separate </w:t>
      </w:r>
      <w:r w:rsidR="00DC3684" w:rsidRPr="005459E6">
        <w:rPr>
          <w:rFonts w:ascii="Times New Roman" w:hAnsi="Times New Roman" w:cs="Times New Roman"/>
          <w:sz w:val="22"/>
          <w:szCs w:val="22"/>
        </w:rPr>
        <w:t>phase</w:t>
      </w:r>
      <w:r w:rsidRPr="005459E6">
        <w:rPr>
          <w:rFonts w:ascii="Times New Roman" w:hAnsi="Times New Roman" w:cs="Times New Roman"/>
          <w:sz w:val="22"/>
          <w:szCs w:val="22"/>
        </w:rPr>
        <w:t>s:</w:t>
      </w:r>
    </w:p>
    <w:p w14:paraId="35EA40DD" w14:textId="77777777" w:rsidR="00BA3F75" w:rsidRPr="005459E6" w:rsidRDefault="00BA3F75" w:rsidP="00042CB0">
      <w:pPr>
        <w:pStyle w:val="Paragrafoelenco"/>
        <w:spacing w:line="360" w:lineRule="auto"/>
        <w:ind w:left="1440"/>
        <w:jc w:val="both"/>
        <w:rPr>
          <w:rFonts w:ascii="Times New Roman" w:hAnsi="Times New Roman" w:cs="Times New Roman"/>
          <w:b/>
          <w:bCs/>
          <w:i/>
          <w:iCs/>
          <w:sz w:val="22"/>
          <w:szCs w:val="22"/>
        </w:rPr>
      </w:pPr>
    </w:p>
    <w:p w14:paraId="69944D71" w14:textId="64CE8250" w:rsidR="00E27AB9" w:rsidRPr="005459E6" w:rsidRDefault="00DC3684" w:rsidP="00042CB0">
      <w:pPr>
        <w:pStyle w:val="Paragrafoelenco"/>
        <w:spacing w:line="360" w:lineRule="auto"/>
        <w:ind w:left="1440"/>
        <w:jc w:val="both"/>
        <w:rPr>
          <w:rFonts w:ascii="Times New Roman" w:hAnsi="Times New Roman" w:cs="Times New Roman"/>
          <w:i/>
          <w:iCs/>
          <w:sz w:val="22"/>
          <w:szCs w:val="22"/>
        </w:rPr>
      </w:pPr>
      <w:r w:rsidRPr="005459E6">
        <w:rPr>
          <w:rFonts w:ascii="Times New Roman" w:hAnsi="Times New Roman" w:cs="Times New Roman"/>
          <w:b/>
          <w:bCs/>
          <w:i/>
          <w:iCs/>
          <w:sz w:val="22"/>
          <w:szCs w:val="22"/>
        </w:rPr>
        <w:t>Phase</w:t>
      </w:r>
      <w:r w:rsidR="00E27AB9" w:rsidRPr="005459E6">
        <w:rPr>
          <w:rFonts w:ascii="Times New Roman" w:hAnsi="Times New Roman" w:cs="Times New Roman"/>
          <w:b/>
          <w:bCs/>
          <w:i/>
          <w:iCs/>
          <w:sz w:val="22"/>
          <w:szCs w:val="22"/>
        </w:rPr>
        <w:t xml:space="preserve"> 1</w:t>
      </w:r>
      <w:r w:rsidR="00E27AB9" w:rsidRPr="005459E6">
        <w:rPr>
          <w:rFonts w:ascii="Times New Roman" w:hAnsi="Times New Roman" w:cs="Times New Roman"/>
          <w:i/>
          <w:iCs/>
          <w:sz w:val="22"/>
          <w:szCs w:val="22"/>
        </w:rPr>
        <w:t xml:space="preserve"> (Giving information): the individual considers the information provided; they are not under any obligation to react to the researcher right away.</w:t>
      </w:r>
    </w:p>
    <w:p w14:paraId="6827FA03" w14:textId="77777777" w:rsidR="00BA3F75" w:rsidRPr="005459E6" w:rsidRDefault="00BA3F75" w:rsidP="00042CB0">
      <w:pPr>
        <w:pStyle w:val="Paragrafoelenco"/>
        <w:spacing w:line="360" w:lineRule="auto"/>
        <w:ind w:left="1440"/>
        <w:jc w:val="both"/>
        <w:rPr>
          <w:rFonts w:ascii="Times New Roman" w:hAnsi="Times New Roman" w:cs="Times New Roman"/>
          <w:b/>
          <w:bCs/>
          <w:i/>
          <w:iCs/>
          <w:sz w:val="22"/>
          <w:szCs w:val="22"/>
        </w:rPr>
      </w:pPr>
    </w:p>
    <w:p w14:paraId="383BDF82" w14:textId="32847189" w:rsidR="00E27AB9" w:rsidRPr="005459E6" w:rsidRDefault="00DC3684" w:rsidP="00042CB0">
      <w:pPr>
        <w:pStyle w:val="Paragrafoelenco"/>
        <w:spacing w:line="360" w:lineRule="auto"/>
        <w:ind w:left="1440"/>
        <w:jc w:val="both"/>
        <w:rPr>
          <w:rFonts w:ascii="Times New Roman" w:hAnsi="Times New Roman" w:cs="Times New Roman"/>
          <w:i/>
          <w:iCs/>
          <w:sz w:val="22"/>
          <w:szCs w:val="22"/>
        </w:rPr>
      </w:pPr>
      <w:r w:rsidRPr="005459E6">
        <w:rPr>
          <w:rFonts w:ascii="Times New Roman" w:hAnsi="Times New Roman" w:cs="Times New Roman"/>
          <w:b/>
          <w:bCs/>
          <w:i/>
          <w:iCs/>
          <w:sz w:val="22"/>
          <w:szCs w:val="22"/>
        </w:rPr>
        <w:t>Phase</w:t>
      </w:r>
      <w:r w:rsidR="00E27AB9" w:rsidRPr="005459E6">
        <w:rPr>
          <w:rFonts w:ascii="Times New Roman" w:hAnsi="Times New Roman" w:cs="Times New Roman"/>
          <w:b/>
          <w:bCs/>
          <w:i/>
          <w:iCs/>
          <w:sz w:val="22"/>
          <w:szCs w:val="22"/>
        </w:rPr>
        <w:t xml:space="preserve"> 2</w:t>
      </w:r>
      <w:r w:rsidR="00E27AB9" w:rsidRPr="005459E6">
        <w:rPr>
          <w:rFonts w:ascii="Times New Roman" w:hAnsi="Times New Roman" w:cs="Times New Roman"/>
          <w:i/>
          <w:iCs/>
          <w:sz w:val="22"/>
          <w:szCs w:val="22"/>
        </w:rPr>
        <w:t xml:space="preserve"> (Obtaining consent): the researcher reaffirms the terms of the study, often in distinct bullet points or sentences; the subject agrees to each term (explicit consent) before consenting to participate in the </w:t>
      </w:r>
      <w:r w:rsidR="005B7CB2" w:rsidRPr="005459E6">
        <w:rPr>
          <w:rFonts w:ascii="Times New Roman" w:hAnsi="Times New Roman" w:cs="Times New Roman"/>
          <w:i/>
          <w:iCs/>
          <w:sz w:val="22"/>
          <w:szCs w:val="22"/>
        </w:rPr>
        <w:t>project</w:t>
      </w:r>
      <w:r w:rsidR="00E27AB9" w:rsidRPr="005459E6">
        <w:rPr>
          <w:rFonts w:ascii="Times New Roman" w:hAnsi="Times New Roman" w:cs="Times New Roman"/>
          <w:i/>
          <w:iCs/>
          <w:sz w:val="22"/>
          <w:szCs w:val="22"/>
        </w:rPr>
        <w:t xml:space="preserve">. </w:t>
      </w:r>
    </w:p>
    <w:p w14:paraId="3A399703" w14:textId="77777777" w:rsidR="00BA3F75" w:rsidRPr="005459E6" w:rsidRDefault="00BA3F75" w:rsidP="00042CB0">
      <w:pPr>
        <w:pStyle w:val="Paragrafoelenco"/>
        <w:spacing w:line="360" w:lineRule="auto"/>
        <w:ind w:left="1440"/>
        <w:jc w:val="both"/>
        <w:rPr>
          <w:rFonts w:ascii="Times New Roman" w:hAnsi="Times New Roman" w:cs="Times New Roman"/>
          <w:sz w:val="22"/>
          <w:szCs w:val="22"/>
        </w:rPr>
      </w:pPr>
    </w:p>
    <w:p w14:paraId="434DBA71" w14:textId="12D8EFAE" w:rsidR="004D7E4A" w:rsidRPr="005459E6" w:rsidRDefault="00E27AB9"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 xml:space="preserve">The required consent has been acquired online before </w:t>
      </w:r>
      <w:r w:rsidR="001D1AD4" w:rsidRPr="005459E6">
        <w:rPr>
          <w:rFonts w:ascii="Times New Roman" w:hAnsi="Times New Roman" w:cs="Times New Roman"/>
          <w:sz w:val="22"/>
          <w:szCs w:val="22"/>
        </w:rPr>
        <w:t xml:space="preserve">the </w:t>
      </w:r>
      <w:r w:rsidRPr="005459E6">
        <w:rPr>
          <w:rFonts w:ascii="Times New Roman" w:hAnsi="Times New Roman" w:cs="Times New Roman"/>
          <w:sz w:val="22"/>
          <w:szCs w:val="22"/>
        </w:rPr>
        <w:t>start of every data collection instance.</w:t>
      </w:r>
    </w:p>
    <w:p w14:paraId="33308402" w14:textId="77777777" w:rsidR="00E27AB9" w:rsidRPr="005459E6" w:rsidRDefault="00E27AB9" w:rsidP="00042CB0">
      <w:pPr>
        <w:spacing w:line="360" w:lineRule="auto"/>
        <w:ind w:left="720"/>
        <w:jc w:val="both"/>
        <w:rPr>
          <w:rFonts w:ascii="Times New Roman" w:hAnsi="Times New Roman" w:cs="Times New Roman"/>
          <w:sz w:val="24"/>
          <w:szCs w:val="24"/>
        </w:rPr>
      </w:pPr>
    </w:p>
    <w:p w14:paraId="17F65EF0" w14:textId="77777777" w:rsidR="004D7E4A"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Incentive</w:t>
      </w:r>
    </w:p>
    <w:p w14:paraId="05E54438" w14:textId="112F2ED9" w:rsidR="00E27AB9" w:rsidRPr="005459E6" w:rsidRDefault="00E27AB9"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 xml:space="preserve">Offering financial incentives to study subjects in exchange for their participation is a widespread strategy that increases recruitment but raises ethical concerns about undue inducement, exploitation, and </w:t>
      </w:r>
      <w:r w:rsidR="00032125" w:rsidRPr="005459E6">
        <w:rPr>
          <w:rFonts w:ascii="Times New Roman" w:hAnsi="Times New Roman" w:cs="Times New Roman"/>
          <w:sz w:val="22"/>
          <w:szCs w:val="22"/>
        </w:rPr>
        <w:t>biased</w:t>
      </w:r>
      <w:r w:rsidRPr="005459E6">
        <w:rPr>
          <w:rFonts w:ascii="Times New Roman" w:hAnsi="Times New Roman" w:cs="Times New Roman"/>
          <w:sz w:val="22"/>
          <w:szCs w:val="22"/>
        </w:rPr>
        <w:t xml:space="preserve"> </w:t>
      </w:r>
      <w:r w:rsidR="00032125" w:rsidRPr="005459E6">
        <w:rPr>
          <w:rFonts w:ascii="Times New Roman" w:hAnsi="Times New Roman" w:cs="Times New Roman"/>
          <w:sz w:val="22"/>
          <w:szCs w:val="22"/>
        </w:rPr>
        <w:t>enrolment</w:t>
      </w:r>
      <w:r w:rsidRPr="005459E6">
        <w:rPr>
          <w:rFonts w:ascii="Times New Roman" w:hAnsi="Times New Roman" w:cs="Times New Roman"/>
          <w:sz w:val="22"/>
          <w:szCs w:val="22"/>
        </w:rPr>
        <w:t xml:space="preserve"> </w:t>
      </w:r>
      <w:r w:rsidR="003867F6" w:rsidRPr="005459E6">
        <w:rPr>
          <w:rFonts w:ascii="Times New Roman" w:hAnsi="Times New Roman" w:cs="Times New Roman"/>
          <w:sz w:val="22"/>
          <w:szCs w:val="22"/>
        </w:rPr>
        <w:fldChar w:fldCharType="begin" w:fldLock="1"/>
      </w:r>
      <w:r w:rsidR="003867F6" w:rsidRPr="005459E6">
        <w:rPr>
          <w:rFonts w:ascii="Times New Roman" w:hAnsi="Times New Roman" w:cs="Times New Roman"/>
          <w:sz w:val="22"/>
          <w:szCs w:val="22"/>
        </w:rPr>
        <w:instrText>ADDIN CSL_CITATION {"citationItems":[{"id":"ITEM-1","itemData":{"DOI":"10.1017/pds.2021.426","ISSN":"2732527X","abstract":"In the last decades, mental health disorders have been a growing source of the global burden of disease. Thousands of mental health apps are available nowadays addressing this problem, but studies show that the effectiveness of these apps is jeopardized by the low user engagement. This study investigates the most potentially effective gamification and nudging techniques in design for improving engagement in mental health apps for young people, by carrying out app-reviews for top installed mental health apps on Google play store and connecting it with engagement data, in addition to conducting expert-interviews with professionals from gamification and design background. From the findings, techniques that participated in improving retention rates included using app character for creating app narrative and user interaction, in addition to adopting a non-forcible language. While to improve app daily duration of use, simplification nudge, and stating the recommended minutes of use found to be useful. Personalization and social interaction techniques were potentially effective for improving the frequency of app daily use. For the young age group, using juicy feedback and high-quality gamification were recommended","author":[{"dropping-particle":"","family":"Auf","given":"Hassan","non-dropping-particle":"","parse-names":false,"suffix":""},{"dropping-particle":"","family":"Dagman","given":"Jessica","non-dropping-particle":"","parse-names":false,"suffix":""},{"dropping-particle":"","family":"Renström","given":"Sara","non-dropping-particle":"","parse-names":false,"suffix":""},{"dropping-particle":"","family":"Chaplin","given":"John","non-dropping-particle":"","parse-names":false,"suffix":""}],"container-title":"Proceedings of the Design Society","id":"ITEM-1","issue":"AUGUST","issued":{"date-parts":[["2021"]]},"page":"1647-1656","title":"Gamification and Nudging Techniques for Improving User Engagement in Mental Health and Well-Being Apps","type":"article-journal","volume":"1"},"uris":["http://www.mendeley.com/documents/?uuid=a4104b21-e8f0-472e-8f62-f861547b0e93"]}],"mendeley":{"formattedCitation":"(Auf et al., 2021)","plainTextFormattedCitation":"(Auf et al., 2021)","previouslyFormattedCitation":"(Auf et al., 2021)"},"properties":{"noteIndex":0},"schema":"https://github.com/citation-style-language/schema/raw/master/csl-citation.json"}</w:instrText>
      </w:r>
      <w:r w:rsidR="003867F6" w:rsidRPr="005459E6">
        <w:rPr>
          <w:rFonts w:ascii="Times New Roman" w:hAnsi="Times New Roman" w:cs="Times New Roman"/>
          <w:sz w:val="22"/>
          <w:szCs w:val="22"/>
        </w:rPr>
        <w:fldChar w:fldCharType="separate"/>
      </w:r>
      <w:r w:rsidR="003867F6" w:rsidRPr="005459E6">
        <w:rPr>
          <w:rFonts w:ascii="Times New Roman" w:hAnsi="Times New Roman" w:cs="Times New Roman"/>
          <w:noProof/>
          <w:sz w:val="22"/>
          <w:szCs w:val="22"/>
        </w:rPr>
        <w:t>(Auf et al., 2021)</w:t>
      </w:r>
      <w:r w:rsidR="003867F6" w:rsidRPr="005459E6">
        <w:rPr>
          <w:rFonts w:ascii="Times New Roman" w:hAnsi="Times New Roman" w:cs="Times New Roman"/>
          <w:sz w:val="22"/>
          <w:szCs w:val="22"/>
        </w:rPr>
        <w:fldChar w:fldCharType="end"/>
      </w:r>
      <w:r w:rsidR="003867F6" w:rsidRPr="005459E6">
        <w:rPr>
          <w:rFonts w:ascii="Times New Roman" w:hAnsi="Times New Roman" w:cs="Times New Roman"/>
          <w:sz w:val="22"/>
          <w:szCs w:val="22"/>
        </w:rPr>
        <w:t xml:space="preserve">. </w:t>
      </w:r>
      <w:r w:rsidRPr="005459E6">
        <w:rPr>
          <w:rFonts w:ascii="Times New Roman" w:hAnsi="Times New Roman" w:cs="Times New Roman"/>
          <w:sz w:val="22"/>
          <w:szCs w:val="22"/>
        </w:rPr>
        <w:t xml:space="preserve">Hence, there were no </w:t>
      </w:r>
      <w:r w:rsidR="005B7CB2" w:rsidRPr="005459E6">
        <w:rPr>
          <w:rFonts w:ascii="Times New Roman" w:hAnsi="Times New Roman" w:cs="Times New Roman"/>
          <w:sz w:val="22"/>
          <w:szCs w:val="22"/>
        </w:rPr>
        <w:t xml:space="preserve">such </w:t>
      </w:r>
      <w:r w:rsidRPr="005459E6">
        <w:rPr>
          <w:rFonts w:ascii="Times New Roman" w:hAnsi="Times New Roman" w:cs="Times New Roman"/>
          <w:sz w:val="22"/>
          <w:szCs w:val="22"/>
        </w:rPr>
        <w:t>incentives offered to any of the subjects to participate and undertake part of this research.</w:t>
      </w:r>
    </w:p>
    <w:p w14:paraId="0E5293FD" w14:textId="4DC6380E" w:rsidR="004D7E4A" w:rsidRPr="005459E6" w:rsidRDefault="004D7E4A" w:rsidP="00042CB0">
      <w:pPr>
        <w:spacing w:line="360" w:lineRule="auto"/>
        <w:ind w:left="720" w:firstLine="60"/>
        <w:jc w:val="both"/>
        <w:rPr>
          <w:rFonts w:ascii="Times New Roman" w:hAnsi="Times New Roman" w:cs="Times New Roman"/>
          <w:sz w:val="24"/>
          <w:szCs w:val="24"/>
        </w:rPr>
      </w:pPr>
    </w:p>
    <w:p w14:paraId="54777051" w14:textId="7E59B844" w:rsidR="00E27AB9"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Confidentiality</w:t>
      </w:r>
    </w:p>
    <w:p w14:paraId="67B7A707" w14:textId="694BE77A" w:rsidR="004D7E4A" w:rsidRPr="005459E6" w:rsidRDefault="00E27AB9"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In the given study</w:t>
      </w:r>
      <w:r w:rsidR="001D1AD4" w:rsidRPr="005459E6">
        <w:rPr>
          <w:rFonts w:ascii="Times New Roman" w:hAnsi="Times New Roman" w:cs="Times New Roman"/>
          <w:sz w:val="22"/>
          <w:szCs w:val="22"/>
        </w:rPr>
        <w:t>,</w:t>
      </w:r>
      <w:r w:rsidRPr="005459E6">
        <w:rPr>
          <w:rFonts w:ascii="Times New Roman" w:hAnsi="Times New Roman" w:cs="Times New Roman"/>
          <w:sz w:val="22"/>
          <w:szCs w:val="22"/>
        </w:rPr>
        <w:t xml:space="preserve"> individual participation was kept </w:t>
      </w:r>
      <w:r w:rsidR="00032125" w:rsidRPr="005459E6">
        <w:rPr>
          <w:rFonts w:ascii="Times New Roman" w:hAnsi="Times New Roman" w:cs="Times New Roman"/>
          <w:sz w:val="22"/>
          <w:szCs w:val="22"/>
        </w:rPr>
        <w:t>anonymous,</w:t>
      </w:r>
      <w:r w:rsidRPr="005459E6">
        <w:rPr>
          <w:rFonts w:ascii="Times New Roman" w:hAnsi="Times New Roman" w:cs="Times New Roman"/>
          <w:sz w:val="22"/>
          <w:szCs w:val="22"/>
        </w:rPr>
        <w:t xml:space="preserve"> and it retained research data without any personal identifiers. The data was stored in </w:t>
      </w:r>
      <w:r w:rsidR="001D1AD4" w:rsidRPr="005459E6">
        <w:rPr>
          <w:rFonts w:ascii="Times New Roman" w:hAnsi="Times New Roman" w:cs="Times New Roman"/>
          <w:sz w:val="22"/>
          <w:szCs w:val="22"/>
        </w:rPr>
        <w:t xml:space="preserve">the </w:t>
      </w:r>
      <w:r w:rsidRPr="005459E6">
        <w:rPr>
          <w:rFonts w:ascii="Times New Roman" w:hAnsi="Times New Roman" w:cs="Times New Roman"/>
          <w:sz w:val="22"/>
          <w:szCs w:val="22"/>
        </w:rPr>
        <w:t xml:space="preserve">cloud without any possibility </w:t>
      </w:r>
      <w:r w:rsidR="001D1AD4" w:rsidRPr="005459E6">
        <w:rPr>
          <w:rFonts w:ascii="Times New Roman" w:hAnsi="Times New Roman" w:cs="Times New Roman"/>
          <w:sz w:val="22"/>
          <w:szCs w:val="22"/>
        </w:rPr>
        <w:t>of being</w:t>
      </w:r>
      <w:r w:rsidRPr="005459E6">
        <w:rPr>
          <w:rFonts w:ascii="Times New Roman" w:hAnsi="Times New Roman" w:cs="Times New Roman"/>
          <w:sz w:val="22"/>
          <w:szCs w:val="22"/>
        </w:rPr>
        <w:t xml:space="preserve"> linked to any individual. </w:t>
      </w:r>
      <w:r w:rsidR="005B7CB2" w:rsidRPr="005459E6">
        <w:rPr>
          <w:rFonts w:ascii="Times New Roman" w:hAnsi="Times New Roman" w:cs="Times New Roman"/>
          <w:sz w:val="22"/>
          <w:szCs w:val="22"/>
        </w:rPr>
        <w:t>All the necessary r</w:t>
      </w:r>
      <w:r w:rsidRPr="005459E6">
        <w:rPr>
          <w:rFonts w:ascii="Times New Roman" w:hAnsi="Times New Roman" w:cs="Times New Roman"/>
          <w:sz w:val="22"/>
          <w:szCs w:val="22"/>
        </w:rPr>
        <w:t xml:space="preserve">equirements for confidentiality protection were applied to </w:t>
      </w:r>
      <w:r w:rsidR="001D1AD4" w:rsidRPr="005459E6">
        <w:rPr>
          <w:rFonts w:ascii="Times New Roman" w:hAnsi="Times New Roman" w:cs="Times New Roman"/>
          <w:sz w:val="22"/>
          <w:szCs w:val="22"/>
        </w:rPr>
        <w:t>p</w:t>
      </w:r>
      <w:r w:rsidRPr="005459E6">
        <w:rPr>
          <w:rFonts w:ascii="Times New Roman" w:hAnsi="Times New Roman" w:cs="Times New Roman"/>
          <w:sz w:val="22"/>
          <w:szCs w:val="22"/>
        </w:rPr>
        <w:t xml:space="preserve">rotect </w:t>
      </w:r>
      <w:r w:rsidR="001D1AD4" w:rsidRPr="005459E6">
        <w:rPr>
          <w:rFonts w:ascii="Times New Roman" w:hAnsi="Times New Roman" w:cs="Times New Roman"/>
          <w:sz w:val="22"/>
          <w:szCs w:val="22"/>
        </w:rPr>
        <w:t>p</w:t>
      </w:r>
      <w:r w:rsidRPr="005459E6">
        <w:rPr>
          <w:rFonts w:ascii="Times New Roman" w:hAnsi="Times New Roman" w:cs="Times New Roman"/>
          <w:sz w:val="22"/>
          <w:szCs w:val="22"/>
        </w:rPr>
        <w:t xml:space="preserve">ersonally </w:t>
      </w:r>
      <w:r w:rsidR="005B7CB2" w:rsidRPr="005459E6">
        <w:rPr>
          <w:rFonts w:ascii="Times New Roman" w:hAnsi="Times New Roman" w:cs="Times New Roman"/>
          <w:sz w:val="22"/>
          <w:szCs w:val="22"/>
        </w:rPr>
        <w:t>i</w:t>
      </w:r>
      <w:r w:rsidRPr="005459E6">
        <w:rPr>
          <w:rFonts w:ascii="Times New Roman" w:hAnsi="Times New Roman" w:cs="Times New Roman"/>
          <w:sz w:val="22"/>
          <w:szCs w:val="22"/>
        </w:rPr>
        <w:t xml:space="preserve">dentifiable </w:t>
      </w:r>
      <w:r w:rsidR="005B7CB2" w:rsidRPr="005459E6">
        <w:rPr>
          <w:rFonts w:ascii="Times New Roman" w:hAnsi="Times New Roman" w:cs="Times New Roman"/>
          <w:sz w:val="22"/>
          <w:szCs w:val="22"/>
        </w:rPr>
        <w:t>i</w:t>
      </w:r>
      <w:r w:rsidRPr="005459E6">
        <w:rPr>
          <w:rFonts w:ascii="Times New Roman" w:hAnsi="Times New Roman" w:cs="Times New Roman"/>
          <w:sz w:val="22"/>
          <w:szCs w:val="22"/>
        </w:rPr>
        <w:t>nformation obtained</w:t>
      </w:r>
      <w:r w:rsidR="005B7CB2" w:rsidRPr="005459E6">
        <w:rPr>
          <w:rFonts w:ascii="Times New Roman" w:hAnsi="Times New Roman" w:cs="Times New Roman"/>
          <w:sz w:val="22"/>
          <w:szCs w:val="22"/>
        </w:rPr>
        <w:t xml:space="preserve"> from the subjects</w:t>
      </w:r>
      <w:r w:rsidRPr="005459E6">
        <w:rPr>
          <w:rFonts w:ascii="Times New Roman" w:hAnsi="Times New Roman" w:cs="Times New Roman"/>
          <w:sz w:val="22"/>
          <w:szCs w:val="22"/>
        </w:rPr>
        <w:t>.</w:t>
      </w:r>
    </w:p>
    <w:p w14:paraId="00ED1BB1" w14:textId="77777777" w:rsidR="004D7E4A" w:rsidRPr="005459E6" w:rsidRDefault="004D7E4A" w:rsidP="003C7B00">
      <w:pPr>
        <w:spacing w:line="360" w:lineRule="auto"/>
        <w:jc w:val="both"/>
        <w:rPr>
          <w:rFonts w:ascii="Times New Roman" w:hAnsi="Times New Roman" w:cs="Times New Roman"/>
          <w:sz w:val="24"/>
          <w:szCs w:val="24"/>
        </w:rPr>
      </w:pPr>
    </w:p>
    <w:p w14:paraId="234C0C3A" w14:textId="77777777" w:rsidR="004D7E4A"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BCI Security Issues</w:t>
      </w:r>
    </w:p>
    <w:p w14:paraId="6F226E97" w14:textId="13E06F5D" w:rsidR="004D7E4A" w:rsidRPr="005459E6" w:rsidRDefault="00CB6AEB"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A BCI is a software application, and like any software</w:t>
      </w:r>
      <w:r w:rsidR="001D1AD4" w:rsidRPr="005459E6">
        <w:rPr>
          <w:rFonts w:ascii="Times New Roman" w:hAnsi="Times New Roman" w:cs="Times New Roman"/>
          <w:sz w:val="22"/>
          <w:szCs w:val="22"/>
        </w:rPr>
        <w:t>,</w:t>
      </w:r>
      <w:r w:rsidRPr="005459E6">
        <w:rPr>
          <w:rFonts w:ascii="Times New Roman" w:hAnsi="Times New Roman" w:cs="Times New Roman"/>
          <w:sz w:val="22"/>
          <w:szCs w:val="22"/>
        </w:rPr>
        <w:t xml:space="preserve"> it sends data to an external device</w:t>
      </w:r>
      <w:r w:rsidR="001D1AD4" w:rsidRPr="005459E6">
        <w:rPr>
          <w:rFonts w:ascii="Times New Roman" w:hAnsi="Times New Roman" w:cs="Times New Roman"/>
          <w:sz w:val="22"/>
          <w:szCs w:val="22"/>
        </w:rPr>
        <w:t>;</w:t>
      </w:r>
      <w:r w:rsidRPr="005459E6">
        <w:rPr>
          <w:rFonts w:ascii="Times New Roman" w:hAnsi="Times New Roman" w:cs="Times New Roman"/>
          <w:sz w:val="22"/>
          <w:szCs w:val="22"/>
        </w:rPr>
        <w:t xml:space="preserve"> the sent data might be retrieved and used for malicious reasons. Because BCI technology gathers signals directly from a subject's nervous system, security </w:t>
      </w:r>
      <w:r w:rsidR="005B7CB2" w:rsidRPr="005459E6">
        <w:rPr>
          <w:rFonts w:ascii="Times New Roman" w:hAnsi="Times New Roman" w:cs="Times New Roman"/>
          <w:sz w:val="22"/>
          <w:szCs w:val="22"/>
        </w:rPr>
        <w:t>was essential for this study</w:t>
      </w:r>
      <w:r w:rsidRPr="005459E6">
        <w:rPr>
          <w:rFonts w:ascii="Times New Roman" w:hAnsi="Times New Roman" w:cs="Times New Roman"/>
          <w:sz w:val="22"/>
          <w:szCs w:val="22"/>
        </w:rPr>
        <w:t xml:space="preserve">. While BCI can't yet be used to extract a user's intentions, private thoughts, or what they're reading or watching, its interface </w:t>
      </w:r>
      <w:r w:rsidR="00F672F5">
        <w:rPr>
          <w:rFonts w:ascii="Times New Roman" w:hAnsi="Times New Roman" w:cs="Times New Roman"/>
          <w:sz w:val="22"/>
          <w:szCs w:val="22"/>
        </w:rPr>
        <w:t>warehoused</w:t>
      </w:r>
      <w:r w:rsidRPr="005459E6">
        <w:rPr>
          <w:rFonts w:ascii="Times New Roman" w:hAnsi="Times New Roman" w:cs="Times New Roman"/>
          <w:sz w:val="22"/>
          <w:szCs w:val="22"/>
        </w:rPr>
        <w:t xml:space="preserve"> rel</w:t>
      </w:r>
      <w:r w:rsidR="001D1AD4" w:rsidRPr="005459E6">
        <w:rPr>
          <w:rFonts w:ascii="Times New Roman" w:hAnsi="Times New Roman" w:cs="Times New Roman"/>
          <w:sz w:val="22"/>
          <w:szCs w:val="22"/>
        </w:rPr>
        <w:t>e</w:t>
      </w:r>
      <w:r w:rsidRPr="005459E6">
        <w:rPr>
          <w:rFonts w:ascii="Times New Roman" w:hAnsi="Times New Roman" w:cs="Times New Roman"/>
          <w:sz w:val="22"/>
          <w:szCs w:val="22"/>
        </w:rPr>
        <w:t>vant data on the cloud.</w:t>
      </w:r>
    </w:p>
    <w:p w14:paraId="6A5BD45B" w14:textId="77777777" w:rsidR="00CB6AEB" w:rsidRPr="005459E6" w:rsidRDefault="00CB6AEB" w:rsidP="00042CB0">
      <w:pPr>
        <w:spacing w:line="360" w:lineRule="auto"/>
        <w:ind w:left="720"/>
        <w:jc w:val="both"/>
        <w:rPr>
          <w:rFonts w:ascii="Times New Roman" w:hAnsi="Times New Roman" w:cs="Times New Roman"/>
          <w:sz w:val="24"/>
          <w:szCs w:val="24"/>
        </w:rPr>
      </w:pPr>
    </w:p>
    <w:p w14:paraId="16F98501" w14:textId="77777777" w:rsidR="004D7E4A"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BCI Privacy Issues</w:t>
      </w:r>
    </w:p>
    <w:p w14:paraId="533F4ABE" w14:textId="024A993F" w:rsidR="004D7E4A" w:rsidRPr="005459E6" w:rsidRDefault="00CB6AEB"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As the collected brain signals might be utili</w:t>
      </w:r>
      <w:r w:rsidR="001D1AD4" w:rsidRPr="005459E6">
        <w:rPr>
          <w:rFonts w:ascii="Times New Roman" w:hAnsi="Times New Roman" w:cs="Times New Roman"/>
          <w:sz w:val="22"/>
          <w:szCs w:val="22"/>
        </w:rPr>
        <w:t>z</w:t>
      </w:r>
      <w:r w:rsidRPr="005459E6">
        <w:rPr>
          <w:rFonts w:ascii="Times New Roman" w:hAnsi="Times New Roman" w:cs="Times New Roman"/>
          <w:sz w:val="22"/>
          <w:szCs w:val="22"/>
        </w:rPr>
        <w:t>ed to get access to a user's private information, privacy is a major concern in BCI ethics.  While st</w:t>
      </w:r>
      <w:r w:rsidR="001D1AD4" w:rsidRPr="005459E6">
        <w:rPr>
          <w:rFonts w:ascii="Times New Roman" w:hAnsi="Times New Roman" w:cs="Times New Roman"/>
          <w:sz w:val="22"/>
          <w:szCs w:val="22"/>
        </w:rPr>
        <w:t>o</w:t>
      </w:r>
      <w:r w:rsidRPr="005459E6">
        <w:rPr>
          <w:rFonts w:ascii="Times New Roman" w:hAnsi="Times New Roman" w:cs="Times New Roman"/>
          <w:sz w:val="22"/>
          <w:szCs w:val="22"/>
        </w:rPr>
        <w:t>ring the data on the cloud</w:t>
      </w:r>
      <w:r w:rsidR="001D1AD4" w:rsidRPr="005459E6">
        <w:rPr>
          <w:rFonts w:ascii="Times New Roman" w:hAnsi="Times New Roman" w:cs="Times New Roman"/>
          <w:sz w:val="22"/>
          <w:szCs w:val="22"/>
        </w:rPr>
        <w:t>,</w:t>
      </w:r>
      <w:r w:rsidRPr="005459E6">
        <w:rPr>
          <w:rFonts w:ascii="Times New Roman" w:hAnsi="Times New Roman" w:cs="Times New Roman"/>
          <w:sz w:val="22"/>
          <w:szCs w:val="22"/>
        </w:rPr>
        <w:t xml:space="preserve"> it was anonymized while retaining privacy.</w:t>
      </w:r>
    </w:p>
    <w:p w14:paraId="0840543C" w14:textId="77777777" w:rsidR="00CB6AEB" w:rsidRPr="005459E6" w:rsidRDefault="00CB6AEB" w:rsidP="00042CB0">
      <w:pPr>
        <w:spacing w:line="360" w:lineRule="auto"/>
        <w:ind w:left="720"/>
        <w:jc w:val="both"/>
        <w:rPr>
          <w:rFonts w:ascii="Times New Roman" w:hAnsi="Times New Roman" w:cs="Times New Roman"/>
          <w:sz w:val="24"/>
          <w:szCs w:val="24"/>
        </w:rPr>
      </w:pPr>
    </w:p>
    <w:p w14:paraId="3E2339F5" w14:textId="58BD61CA" w:rsidR="004D7E4A" w:rsidRPr="005459E6" w:rsidRDefault="004D7E4A" w:rsidP="00042CB0">
      <w:pPr>
        <w:pStyle w:val="Paragrafoelenco"/>
        <w:numPr>
          <w:ilvl w:val="0"/>
          <w:numId w:val="25"/>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GDPR</w:t>
      </w:r>
      <w:r w:rsidR="005B7CB2" w:rsidRPr="005459E6">
        <w:rPr>
          <w:rFonts w:ascii="Times New Roman" w:hAnsi="Times New Roman" w:cs="Times New Roman"/>
          <w:b/>
          <w:bCs/>
          <w:sz w:val="22"/>
          <w:szCs w:val="22"/>
        </w:rPr>
        <w:t xml:space="preserve"> Compliance</w:t>
      </w:r>
    </w:p>
    <w:p w14:paraId="5C9639B4" w14:textId="28993036" w:rsidR="004D7E4A" w:rsidRPr="005459E6" w:rsidRDefault="005F25C9" w:rsidP="00042CB0">
      <w:pPr>
        <w:pStyle w:val="Paragrafoelenco"/>
        <w:spacing w:line="360" w:lineRule="auto"/>
        <w:ind w:left="1440"/>
        <w:jc w:val="both"/>
        <w:rPr>
          <w:rFonts w:ascii="Times New Roman" w:hAnsi="Times New Roman" w:cs="Times New Roman"/>
          <w:sz w:val="22"/>
          <w:szCs w:val="22"/>
        </w:rPr>
      </w:pPr>
      <w:r w:rsidRPr="005459E6">
        <w:rPr>
          <w:rFonts w:ascii="Times New Roman" w:hAnsi="Times New Roman" w:cs="Times New Roman"/>
          <w:sz w:val="22"/>
          <w:szCs w:val="22"/>
        </w:rPr>
        <w:t xml:space="preserve">General Data Protection </w:t>
      </w:r>
      <w:r w:rsidR="005847ED" w:rsidRPr="005459E6">
        <w:rPr>
          <w:rFonts w:ascii="Times New Roman" w:hAnsi="Times New Roman" w:cs="Times New Roman"/>
          <w:sz w:val="22"/>
          <w:szCs w:val="22"/>
        </w:rPr>
        <w:t>Regulation (</w:t>
      </w:r>
      <w:r w:rsidR="004D7E4A" w:rsidRPr="005459E6">
        <w:rPr>
          <w:rFonts w:ascii="Times New Roman" w:hAnsi="Times New Roman" w:cs="Times New Roman"/>
          <w:sz w:val="22"/>
          <w:szCs w:val="22"/>
        </w:rPr>
        <w:t>GDPR</w:t>
      </w:r>
      <w:r w:rsidRPr="005459E6">
        <w:rPr>
          <w:rFonts w:ascii="Times New Roman" w:hAnsi="Times New Roman" w:cs="Times New Roman"/>
          <w:sz w:val="22"/>
          <w:szCs w:val="22"/>
        </w:rPr>
        <w:t>)</w:t>
      </w:r>
      <w:r w:rsidR="004D7E4A" w:rsidRPr="005459E6">
        <w:rPr>
          <w:rFonts w:ascii="Times New Roman" w:hAnsi="Times New Roman" w:cs="Times New Roman"/>
          <w:sz w:val="22"/>
          <w:szCs w:val="22"/>
        </w:rPr>
        <w:t xml:space="preserve"> Compliance was followed for </w:t>
      </w:r>
      <w:r w:rsidR="00613838" w:rsidRPr="005459E6">
        <w:rPr>
          <w:rFonts w:ascii="Times New Roman" w:hAnsi="Times New Roman" w:cs="Times New Roman"/>
          <w:sz w:val="22"/>
          <w:szCs w:val="22"/>
        </w:rPr>
        <w:t xml:space="preserve">the </w:t>
      </w:r>
      <w:r w:rsidR="004D7E4A" w:rsidRPr="005459E6">
        <w:rPr>
          <w:rFonts w:ascii="Times New Roman" w:hAnsi="Times New Roman" w:cs="Times New Roman"/>
          <w:sz w:val="22"/>
          <w:szCs w:val="22"/>
        </w:rPr>
        <w:t xml:space="preserve">given research and continued to comply with European regulations, and the detailed information could be found in </w:t>
      </w:r>
      <w:r w:rsidR="00C977FF" w:rsidRPr="005459E6">
        <w:rPr>
          <w:rFonts w:ascii="Times New Roman" w:hAnsi="Times New Roman" w:cs="Times New Roman"/>
          <w:sz w:val="22"/>
          <w:szCs w:val="22"/>
        </w:rPr>
        <w:t xml:space="preserve">the </w:t>
      </w:r>
      <w:r w:rsidR="004D7E4A" w:rsidRPr="005459E6">
        <w:rPr>
          <w:rFonts w:ascii="Times New Roman" w:hAnsi="Times New Roman" w:cs="Times New Roman"/>
          <w:sz w:val="22"/>
          <w:szCs w:val="22"/>
        </w:rPr>
        <w:t xml:space="preserve">Privacy </w:t>
      </w:r>
      <w:r w:rsidR="00197276" w:rsidRPr="005459E6">
        <w:rPr>
          <w:rFonts w:ascii="Times New Roman" w:hAnsi="Times New Roman" w:cs="Times New Roman"/>
          <w:sz w:val="22"/>
          <w:szCs w:val="22"/>
        </w:rPr>
        <w:t>p</w:t>
      </w:r>
      <w:r w:rsidR="004D7E4A" w:rsidRPr="005459E6">
        <w:rPr>
          <w:rFonts w:ascii="Times New Roman" w:hAnsi="Times New Roman" w:cs="Times New Roman"/>
          <w:sz w:val="22"/>
          <w:szCs w:val="22"/>
        </w:rPr>
        <w:t>olicy (</w:t>
      </w:r>
      <w:r w:rsidR="00BA3F75" w:rsidRPr="005459E6">
        <w:rPr>
          <w:rFonts w:ascii="Times New Roman" w:hAnsi="Times New Roman" w:cs="Times New Roman"/>
          <w:sz w:val="22"/>
          <w:szCs w:val="22"/>
        </w:rPr>
        <w:t>Refer</w:t>
      </w:r>
      <w:r w:rsidR="004D7E4A" w:rsidRPr="005459E6">
        <w:rPr>
          <w:rFonts w:ascii="Times New Roman" w:hAnsi="Times New Roman" w:cs="Times New Roman"/>
          <w:sz w:val="22"/>
          <w:szCs w:val="22"/>
        </w:rPr>
        <w:t xml:space="preserve"> </w:t>
      </w:r>
      <w:r w:rsidR="00613838" w:rsidRPr="005459E6">
        <w:rPr>
          <w:rFonts w:ascii="Times New Roman" w:hAnsi="Times New Roman" w:cs="Times New Roman"/>
          <w:sz w:val="22"/>
          <w:szCs w:val="22"/>
        </w:rPr>
        <w:t xml:space="preserve">to </w:t>
      </w:r>
      <w:r w:rsidR="007600A5" w:rsidRPr="005459E6">
        <w:rPr>
          <w:rFonts w:ascii="Times New Roman" w:hAnsi="Times New Roman" w:cs="Times New Roman"/>
          <w:b/>
          <w:bCs/>
          <w:sz w:val="22"/>
          <w:szCs w:val="22"/>
        </w:rPr>
        <w:t>APPENDIX</w:t>
      </w:r>
      <w:r w:rsidR="004D7E4A" w:rsidRPr="005459E6">
        <w:rPr>
          <w:rFonts w:ascii="Times New Roman" w:hAnsi="Times New Roman" w:cs="Times New Roman"/>
          <w:b/>
          <w:bCs/>
          <w:sz w:val="22"/>
          <w:szCs w:val="22"/>
        </w:rPr>
        <w:t xml:space="preserve"> </w:t>
      </w:r>
      <w:r w:rsidR="006623C1" w:rsidRPr="005459E6">
        <w:rPr>
          <w:rFonts w:ascii="Times New Roman" w:hAnsi="Times New Roman" w:cs="Times New Roman"/>
          <w:b/>
          <w:bCs/>
          <w:sz w:val="22"/>
          <w:szCs w:val="22"/>
        </w:rPr>
        <w:t>E</w:t>
      </w:r>
      <w:r w:rsidR="004D7E4A" w:rsidRPr="005459E6">
        <w:rPr>
          <w:rFonts w:ascii="Times New Roman" w:hAnsi="Times New Roman" w:cs="Times New Roman"/>
          <w:sz w:val="22"/>
          <w:szCs w:val="22"/>
        </w:rPr>
        <w:t>).</w:t>
      </w:r>
      <w:r w:rsidR="00BA3F75" w:rsidRPr="005459E6">
        <w:rPr>
          <w:rFonts w:ascii="Times New Roman" w:hAnsi="Times New Roman" w:cs="Times New Roman"/>
          <w:sz w:val="22"/>
          <w:szCs w:val="22"/>
        </w:rPr>
        <w:t xml:space="preserve"> </w:t>
      </w:r>
      <w:r w:rsidR="001D1AD4" w:rsidRPr="005459E6">
        <w:rPr>
          <w:rFonts w:ascii="Times New Roman" w:hAnsi="Times New Roman" w:cs="Times New Roman"/>
          <w:sz w:val="22"/>
          <w:szCs w:val="22"/>
        </w:rPr>
        <w:t>The r</w:t>
      </w:r>
      <w:r w:rsidR="00CB6AEB" w:rsidRPr="005459E6">
        <w:rPr>
          <w:rFonts w:ascii="Times New Roman" w:hAnsi="Times New Roman" w:cs="Times New Roman"/>
          <w:sz w:val="22"/>
          <w:szCs w:val="22"/>
        </w:rPr>
        <w:t>esearcher ensured that they compl</w:t>
      </w:r>
      <w:r w:rsidR="001D1AD4" w:rsidRPr="005459E6">
        <w:rPr>
          <w:rFonts w:ascii="Times New Roman" w:hAnsi="Times New Roman" w:cs="Times New Roman"/>
          <w:sz w:val="22"/>
          <w:szCs w:val="22"/>
        </w:rPr>
        <w:t>ied</w:t>
      </w:r>
      <w:r w:rsidR="00CB6AEB" w:rsidRPr="005459E6">
        <w:rPr>
          <w:rFonts w:ascii="Times New Roman" w:hAnsi="Times New Roman" w:cs="Times New Roman"/>
          <w:sz w:val="22"/>
          <w:szCs w:val="22"/>
        </w:rPr>
        <w:t xml:space="preserve"> with the General Data Protection Regulation (GDPR) during and after the consent process, especially when they collected sensitive data or personal data during their research.</w:t>
      </w:r>
    </w:p>
    <w:p w14:paraId="0A309738" w14:textId="77777777" w:rsidR="004D7E4A" w:rsidRPr="005459E6" w:rsidRDefault="004D7E4A" w:rsidP="00042CB0">
      <w:pPr>
        <w:spacing w:line="360" w:lineRule="auto"/>
        <w:jc w:val="both"/>
        <w:rPr>
          <w:rFonts w:ascii="Times New Roman" w:hAnsi="Times New Roman" w:cs="Times New Roman"/>
        </w:rPr>
      </w:pPr>
    </w:p>
    <w:p w14:paraId="0525F73F" w14:textId="77777777" w:rsidR="004D7E4A" w:rsidRDefault="004D7E4A" w:rsidP="00042CB0">
      <w:pPr>
        <w:spacing w:line="360" w:lineRule="auto"/>
        <w:jc w:val="both"/>
        <w:rPr>
          <w:rFonts w:ascii="Times New Roman" w:hAnsi="Times New Roman" w:cs="Times New Roman"/>
        </w:rPr>
      </w:pPr>
    </w:p>
    <w:p w14:paraId="5BD3B61D" w14:textId="77777777" w:rsidR="003C7B00" w:rsidRPr="005459E6" w:rsidRDefault="003C7B00" w:rsidP="00042CB0">
      <w:pPr>
        <w:spacing w:line="360" w:lineRule="auto"/>
        <w:jc w:val="both"/>
        <w:rPr>
          <w:rFonts w:ascii="Times New Roman" w:hAnsi="Times New Roman" w:cs="Times New Roman"/>
        </w:rPr>
      </w:pPr>
    </w:p>
    <w:p w14:paraId="1C8ACC55" w14:textId="2B91ECEB" w:rsidR="004D7E4A" w:rsidRPr="005459E6" w:rsidRDefault="004D7E4A" w:rsidP="00042CB0">
      <w:pPr>
        <w:spacing w:line="360" w:lineRule="auto"/>
        <w:jc w:val="both"/>
        <w:rPr>
          <w:rFonts w:ascii="Times New Roman" w:hAnsi="Times New Roman" w:cs="Times New Roman"/>
        </w:rPr>
      </w:pPr>
    </w:p>
    <w:p w14:paraId="183AABDF" w14:textId="1DE03BD7" w:rsidR="00CB6AEB" w:rsidRPr="005459E6" w:rsidRDefault="00CB6AEB" w:rsidP="00042CB0">
      <w:pPr>
        <w:spacing w:line="360" w:lineRule="auto"/>
        <w:jc w:val="both"/>
        <w:rPr>
          <w:rFonts w:ascii="Times New Roman" w:hAnsi="Times New Roman" w:cs="Times New Roman"/>
        </w:rPr>
      </w:pPr>
    </w:p>
    <w:p w14:paraId="534B85AA" w14:textId="77777777" w:rsidR="004D7E4A" w:rsidRPr="005459E6" w:rsidRDefault="004D7E4A" w:rsidP="00042CB0">
      <w:pPr>
        <w:spacing w:line="360" w:lineRule="auto"/>
        <w:jc w:val="both"/>
        <w:rPr>
          <w:rFonts w:ascii="Times New Roman" w:hAnsi="Times New Roman" w:cs="Times New Roman"/>
        </w:rPr>
      </w:pPr>
    </w:p>
    <w:p w14:paraId="1353ACEB" w14:textId="77777777" w:rsidR="004D7E4A" w:rsidRPr="005459E6" w:rsidRDefault="004D7E4A" w:rsidP="00042CB0">
      <w:pPr>
        <w:pStyle w:val="Titolo2"/>
        <w:spacing w:line="360" w:lineRule="auto"/>
        <w:jc w:val="both"/>
        <w:rPr>
          <w:rFonts w:ascii="Times New Roman" w:hAnsi="Times New Roman" w:cs="Times New Roman"/>
          <w:color w:val="auto"/>
          <w:sz w:val="22"/>
          <w:szCs w:val="22"/>
        </w:rPr>
      </w:pPr>
      <w:bookmarkStart w:id="219" w:name="_Toc87349516"/>
      <w:bookmarkStart w:id="220" w:name="_Toc87349629"/>
      <w:bookmarkStart w:id="221" w:name="_Toc87349736"/>
      <w:bookmarkStart w:id="222" w:name="_Toc107248307"/>
      <w:r w:rsidRPr="005459E6">
        <w:rPr>
          <w:rFonts w:ascii="Times New Roman" w:hAnsi="Times New Roman" w:cs="Times New Roman"/>
          <w:color w:val="auto"/>
          <w:sz w:val="22"/>
          <w:szCs w:val="22"/>
        </w:rPr>
        <w:lastRenderedPageBreak/>
        <w:t>Research Instrument</w:t>
      </w:r>
      <w:bookmarkEnd w:id="219"/>
      <w:bookmarkEnd w:id="220"/>
      <w:bookmarkEnd w:id="221"/>
      <w:bookmarkEnd w:id="222"/>
      <w:r w:rsidRPr="005459E6">
        <w:rPr>
          <w:rFonts w:ascii="Times New Roman" w:hAnsi="Times New Roman" w:cs="Times New Roman"/>
          <w:color w:val="auto"/>
          <w:sz w:val="22"/>
          <w:szCs w:val="22"/>
        </w:rPr>
        <w:tab/>
      </w:r>
    </w:p>
    <w:p w14:paraId="0C1D64E7" w14:textId="77777777"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223" w:name="_Toc87349517"/>
      <w:bookmarkStart w:id="224" w:name="_Toc87349630"/>
      <w:bookmarkStart w:id="225" w:name="_Toc87349737"/>
      <w:bookmarkStart w:id="226" w:name="_Toc107248308"/>
      <w:r w:rsidRPr="005459E6">
        <w:rPr>
          <w:rFonts w:ascii="Times New Roman" w:hAnsi="Times New Roman" w:cs="Times New Roman"/>
          <w:color w:val="auto"/>
          <w:sz w:val="22"/>
          <w:szCs w:val="22"/>
        </w:rPr>
        <w:t>Emotiv Brainwear</w:t>
      </w:r>
      <w:bookmarkEnd w:id="223"/>
      <w:bookmarkEnd w:id="224"/>
      <w:bookmarkEnd w:id="225"/>
      <w:bookmarkEnd w:id="226"/>
    </w:p>
    <w:p w14:paraId="5EB4A7DD" w14:textId="52BF789B"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EMOTIV Insight Headset </w:t>
      </w:r>
      <w:r w:rsidR="004970FE" w:rsidRPr="005459E6">
        <w:rPr>
          <w:rFonts w:ascii="Times New Roman" w:hAnsi="Times New Roman" w:cs="Times New Roman"/>
        </w:rPr>
        <w:t>is</w:t>
      </w:r>
      <w:r w:rsidRPr="005459E6">
        <w:rPr>
          <w:rFonts w:ascii="Times New Roman" w:hAnsi="Times New Roman" w:cs="Times New Roman"/>
        </w:rPr>
        <w:t xml:space="preserve"> designed for Brain Computer Interface (BCI) and boasts advanced electronics that are fully optimized to produce reliable and robust signals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{"citationItems":[{"id":"ITEM-1","itemData":{"DOI":"10.3389/fninf.2020.553352","ISSN":"16625196","abstract":"Drowsiness is a leading cause of traffic and industrial accidents, costing lives and productivity. Electroencephalography (EEG) signals can reflect awareness and attentiveness, and low-cost consumer EEG headsets are available on the market. The use of these devices as drowsiness detectors could increase the accessibility of safety and productivity-enhancing devices for small businesses and developing countries. We conducted a systemic review of currently available, low-cost, consumer EEG-based drowsiness detection systems. We sought to determine whether consumer EEG headsets could be reliably utilized as rudimentary drowsiness detection systems. We included documented cases describing successful drowsiness detection using consumer EEG-based devices, including the Neurosky MindWave, InteraXon Muse, Emotiv Epoc, Emotiv Insight, and OpenBCI. Of 46 relevant studies, ~27 reported an accuracy score. The lowest of these was the Neurosky Mindwave, with a minimum of 31%. The second lowest accuracy reported was 79.4% with an OpenBCI study. In many cases, algorithmic optimization remains necessary. Different methods for accuracy calculation, system calibration, and different definitions of drowsiness made direct comparisons problematic. However, even basic features, such as the power spectra of EEG bands, were able to consistently detect drowsiness. Each specific device has its own capabilities, tradeoffs, and limitations. Widely used spectral features can achieve successful drowsiness detection, even with low-cost consumer devices; however, reliability issues must still be addressed in an occupational context.","author":[{"dropping-particle":"","family":"LaRocco","given":"John","non-dropping-particle":"","parse-names":false,"suffix":""},{"dropping-particle":"","family":"Le","given":"Minh Dong","non-dropping-particle":"","parse-names":false,"suffix":""},{"dropping-particle":"","family":"Paeng","given":"Dong Guk","non-dropping-particle":"","parse-names":false,"suffix":""}],"container-title":"Frontiers in Neuroinformatics","id":"ITEM-1","issue":"October","issued":{"date-parts":[["2020"]]},"page":"1-14","title":"A Systemic Review of Available Low-Cost EEG Headsets Used for Drowsiness Detection","type":"article-journal","volume":"14"},"uris":["http://www.mendeley.com/documents/?uuid=69cf7ef3-f1f0-42f8-bf1b-35e9b6ff16d5"]}],"mendeley":{"formattedCitation":"(LaRocco et al., 2020)","plainTextFormattedCitation":"(LaRocco et al., 2020)","previouslyFormattedCitation":"(LaRocco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(LaRocco et al., 2020)</w:t>
      </w:r>
      <w:r w:rsidRPr="005459E6">
        <w:rPr>
          <w:rFonts w:ascii="Times New Roman" w:hAnsi="Times New Roman" w:cs="Times New Roman"/>
        </w:rPr>
        <w:fldChar w:fldCharType="end"/>
      </w:r>
      <w:r w:rsidRPr="005459E6">
        <w:rPr>
          <w:rFonts w:ascii="Times New Roman" w:hAnsi="Times New Roman" w:cs="Times New Roman"/>
        </w:rPr>
        <w:t>.</w:t>
      </w:r>
    </w:p>
    <w:p w14:paraId="547C7C86" w14:textId="49E865E7" w:rsidR="00AD6EDF" w:rsidRPr="005459E6" w:rsidRDefault="00AD6EDF" w:rsidP="00042CB0">
      <w:pPr>
        <w:spacing w:line="360" w:lineRule="auto"/>
        <w:jc w:val="both"/>
        <w:rPr>
          <w:rFonts w:ascii="Times New Roman" w:hAnsi="Times New Roman" w:cs="Times New Roman"/>
        </w:rPr>
      </w:pPr>
      <w:r w:rsidRPr="005459E6">
        <w:rPr>
          <w:rFonts w:ascii="Times New Roman" w:hAnsi="Times New Roman" w:cs="Times New Roman"/>
        </w:rPr>
        <w:t>As displ</w:t>
      </w:r>
      <w:r w:rsidR="001D1AD4" w:rsidRPr="005459E6">
        <w:rPr>
          <w:rFonts w:ascii="Times New Roman" w:hAnsi="Times New Roman" w:cs="Times New Roman"/>
        </w:rPr>
        <w:t>a</w:t>
      </w:r>
      <w:r w:rsidRPr="005459E6">
        <w:rPr>
          <w:rFonts w:ascii="Times New Roman" w:hAnsi="Times New Roman" w:cs="Times New Roman"/>
        </w:rPr>
        <w:t xml:space="preserve">yed in </w:t>
      </w:r>
      <w:r w:rsidRPr="005459E6">
        <w:rPr>
          <w:rFonts w:ascii="Times New Roman" w:hAnsi="Times New Roman" w:cs="Times New Roman"/>
          <w:b/>
          <w:bCs/>
        </w:rPr>
        <w:t xml:space="preserve">Figure </w:t>
      </w:r>
      <w:r w:rsidR="003777A4" w:rsidRPr="005459E6">
        <w:rPr>
          <w:rFonts w:ascii="Times New Roman" w:hAnsi="Times New Roman" w:cs="Times New Roman"/>
          <w:b/>
          <w:bCs/>
        </w:rPr>
        <w:t>8</w:t>
      </w:r>
      <w:r w:rsidR="001D1AD4" w:rsidRPr="005459E6">
        <w:rPr>
          <w:rFonts w:ascii="Times New Roman" w:hAnsi="Times New Roman" w:cs="Times New Roman"/>
          <w:b/>
          <w:bCs/>
        </w:rPr>
        <w:t>,</w:t>
      </w:r>
      <w:r w:rsidRPr="005459E6">
        <w:rPr>
          <w:rFonts w:ascii="Times New Roman" w:hAnsi="Times New Roman" w:cs="Times New Roman"/>
        </w:rPr>
        <w:t xml:space="preserve"> </w:t>
      </w:r>
      <w:r w:rsidR="00613838" w:rsidRPr="005459E6">
        <w:rPr>
          <w:rFonts w:ascii="Times New Roman" w:hAnsi="Times New Roman" w:cs="Times New Roman"/>
        </w:rPr>
        <w:t xml:space="preserve">the </w:t>
      </w:r>
      <w:r w:rsidRPr="005459E6">
        <w:rPr>
          <w:rFonts w:ascii="Times New Roman" w:hAnsi="Times New Roman" w:cs="Times New Roman"/>
        </w:rPr>
        <w:t xml:space="preserve">Emotiv </w:t>
      </w:r>
      <w:r w:rsidR="0037608F" w:rsidRPr="005459E6">
        <w:rPr>
          <w:rFonts w:ascii="Times New Roman" w:hAnsi="Times New Roman" w:cs="Times New Roman"/>
        </w:rPr>
        <w:t>device contains</w:t>
      </w:r>
      <w:r w:rsidRPr="005459E6">
        <w:rPr>
          <w:rFonts w:ascii="Times New Roman" w:hAnsi="Times New Roman" w:cs="Times New Roman"/>
        </w:rPr>
        <w:t xml:space="preserve"> license-exempt radio devices that operate based on the following two conditions: </w:t>
      </w:r>
    </w:p>
    <w:p w14:paraId="1DB12F97" w14:textId="318919A6" w:rsidR="00AD6EDF" w:rsidRPr="005459E6" w:rsidRDefault="00AD6EDF"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Pr="005459E6">
        <w:rPr>
          <w:rFonts w:ascii="Times New Roman" w:hAnsi="Times New Roman" w:cs="Times New Roman"/>
          <w:i/>
          <w:iCs/>
        </w:rPr>
        <w:tab/>
        <w:t xml:space="preserve">This device may not cause interference. </w:t>
      </w:r>
    </w:p>
    <w:p w14:paraId="256382CA" w14:textId="77777777" w:rsidR="00AD6EDF" w:rsidRPr="005459E6" w:rsidRDefault="00AD6EDF"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Pr="005459E6">
        <w:rPr>
          <w:rFonts w:ascii="Times New Roman" w:hAnsi="Times New Roman" w:cs="Times New Roman"/>
          <w:i/>
          <w:iCs/>
        </w:rPr>
        <w:tab/>
        <w:t>This device must accept any interference, including interference that may cause undesired operation of the device.</w:t>
      </w:r>
    </w:p>
    <w:p w14:paraId="5236BC55" w14:textId="5F56F0DF"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7A781B0F" wp14:editId="6151AE51">
            <wp:extent cx="6162920" cy="2379133"/>
            <wp:effectExtent l="0" t="0" r="0" b="254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8649" cy="2385205"/>
                    </a:xfrm>
                    <a:prstGeom prst="rect">
                      <a:avLst/>
                    </a:prstGeom>
                  </pic:spPr>
                </pic:pic>
              </a:graphicData>
            </a:graphic>
          </wp:inline>
        </w:drawing>
      </w:r>
    </w:p>
    <w:p w14:paraId="1182D243" w14:textId="6487D875" w:rsidR="0073318E" w:rsidRPr="005459E6" w:rsidRDefault="00E4203B" w:rsidP="00042CB0">
      <w:pPr>
        <w:pStyle w:val="Didascalia"/>
        <w:spacing w:line="360" w:lineRule="auto"/>
        <w:jc w:val="both"/>
        <w:rPr>
          <w:rFonts w:ascii="Times New Roman" w:hAnsi="Times New Roman" w:cs="Times New Roman"/>
          <w:i w:val="0"/>
          <w:iCs w:val="0"/>
          <w:color w:val="auto"/>
          <w:sz w:val="22"/>
          <w:szCs w:val="22"/>
        </w:rPr>
      </w:pPr>
      <w:bookmarkStart w:id="227" w:name="_Toc96343302"/>
      <w:bookmarkStart w:id="228" w:name="_Toc99915977"/>
      <w:bookmarkStart w:id="229" w:name="_Toc104968794"/>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8</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Emotiv device and its features</w:t>
      </w:r>
      <w:bookmarkEnd w:id="227"/>
      <w:bookmarkEnd w:id="228"/>
      <w:bookmarkEnd w:id="229"/>
    </w:p>
    <w:p w14:paraId="26A175CD" w14:textId="77777777" w:rsidR="00E4203B" w:rsidRPr="005459E6" w:rsidRDefault="00E4203B" w:rsidP="00042CB0">
      <w:pPr>
        <w:spacing w:line="360" w:lineRule="auto"/>
        <w:jc w:val="both"/>
        <w:rPr>
          <w:rFonts w:ascii="Times New Roman" w:hAnsi="Times New Roman" w:cs="Times New Roman"/>
          <w:lang w:val="en-IN"/>
        </w:rPr>
      </w:pPr>
    </w:p>
    <w:p w14:paraId="484AA059" w14:textId="26E716D6" w:rsidR="004D7E4A" w:rsidRPr="005459E6" w:rsidRDefault="0073318E" w:rsidP="00042CB0">
      <w:pPr>
        <w:spacing w:line="360" w:lineRule="auto"/>
        <w:jc w:val="both"/>
        <w:rPr>
          <w:rFonts w:ascii="Times New Roman" w:hAnsi="Times New Roman" w:cs="Times New Roman"/>
        </w:rPr>
      </w:pPr>
      <w:r w:rsidRPr="005459E6">
        <w:rPr>
          <w:rFonts w:ascii="Times New Roman" w:hAnsi="Times New Roman" w:cs="Times New Roman"/>
        </w:rPr>
        <w:t>Emotiv products are meant for research applications, according to the</w:t>
      </w:r>
      <w:r w:rsidR="00197276" w:rsidRPr="005459E6">
        <w:rPr>
          <w:rFonts w:ascii="Times New Roman" w:hAnsi="Times New Roman" w:cs="Times New Roman"/>
        </w:rPr>
        <w:t>ir</w:t>
      </w:r>
      <w:r w:rsidRPr="005459E6">
        <w:rPr>
          <w:rFonts w:ascii="Times New Roman" w:hAnsi="Times New Roman" w:cs="Times New Roman"/>
        </w:rPr>
        <w:t xml:space="preserve"> official website. Emotiv's Performance Metrics were created and tested utili</w:t>
      </w:r>
      <w:r w:rsidR="001D1AD4" w:rsidRPr="005459E6">
        <w:rPr>
          <w:rFonts w:ascii="Times New Roman" w:hAnsi="Times New Roman" w:cs="Times New Roman"/>
        </w:rPr>
        <w:t>z</w:t>
      </w:r>
      <w:r w:rsidRPr="005459E6">
        <w:rPr>
          <w:rFonts w:ascii="Times New Roman" w:hAnsi="Times New Roman" w:cs="Times New Roman"/>
        </w:rPr>
        <w:t xml:space="preserve">ing scientifically sound methodologies. This company constructed tests based on approved methodologies to elicit a variety of cognitive reactions for each parameter and collected data from </w:t>
      </w:r>
      <w:r w:rsidR="00197276" w:rsidRPr="005459E6">
        <w:rPr>
          <w:rFonts w:ascii="Times New Roman" w:hAnsi="Times New Roman" w:cs="Times New Roman"/>
        </w:rPr>
        <w:t>many</w:t>
      </w:r>
      <w:r w:rsidRPr="005459E6">
        <w:rPr>
          <w:rFonts w:ascii="Times New Roman" w:hAnsi="Times New Roman" w:cs="Times New Roman"/>
        </w:rPr>
        <w:t xml:space="preserve"> volunteers using Emotiv headsets as well as heart, breathing, and skin conductance sensors.</w:t>
      </w:r>
      <w:r w:rsidR="00826BBB" w:rsidRPr="005459E6">
        <w:rPr>
          <w:rFonts w:ascii="Times New Roman" w:hAnsi="Times New Roman" w:cs="Times New Roman"/>
        </w:rPr>
        <w:t xml:space="preserve"> </w:t>
      </w:r>
      <w:r w:rsidRPr="005459E6">
        <w:rPr>
          <w:rFonts w:ascii="Times New Roman" w:hAnsi="Times New Roman" w:cs="Times New Roman"/>
        </w:rPr>
        <w:t>The data was sent into our signal processing and machine learning pipeline, which generated the mathematical models that underpin each statistic. Many of Emotiv's performance measures have been evaluated by third parties in peer-reviewed journals. These were also employed to detect various emotional states in the study.</w:t>
      </w:r>
    </w:p>
    <w:p w14:paraId="4324E30B" w14:textId="77777777" w:rsidR="003D4962" w:rsidRPr="005459E6" w:rsidRDefault="003D4962" w:rsidP="00042CB0">
      <w:pPr>
        <w:spacing w:line="360" w:lineRule="auto"/>
        <w:jc w:val="both"/>
        <w:rPr>
          <w:rFonts w:ascii="Times New Roman" w:hAnsi="Times New Roman" w:cs="Times New Roman"/>
        </w:rPr>
      </w:pPr>
    </w:p>
    <w:p w14:paraId="0688EBAE" w14:textId="77777777" w:rsidR="000147D4" w:rsidRPr="005459E6" w:rsidRDefault="000147D4" w:rsidP="001A3AD9">
      <w:pPr>
        <w:spacing w:line="360" w:lineRule="auto"/>
        <w:jc w:val="both"/>
        <w:rPr>
          <w:rFonts w:ascii="Times New Roman" w:hAnsi="Times New Roman" w:cs="Times New Roman"/>
        </w:rPr>
      </w:pPr>
    </w:p>
    <w:p w14:paraId="0D5C7217" w14:textId="29B043F9" w:rsidR="001A3AD9" w:rsidRPr="005459E6" w:rsidRDefault="001A3AD9" w:rsidP="001A3AD9">
      <w:pPr>
        <w:spacing w:line="360" w:lineRule="auto"/>
        <w:jc w:val="both"/>
        <w:rPr>
          <w:rFonts w:ascii="Times New Roman" w:hAnsi="Times New Roman" w:cs="Times New Roman"/>
        </w:rPr>
      </w:pPr>
      <w:r w:rsidRPr="005459E6">
        <w:rPr>
          <w:rFonts w:ascii="Times New Roman" w:hAnsi="Times New Roman" w:cs="Times New Roman"/>
        </w:rPr>
        <w:t xml:space="preserve">The Emotiv device has already been tested in several applications, including Brain-Computer Interfaces (BCI), neuromarketing, </w:t>
      </w:r>
      <w:r w:rsidR="001D4C97" w:rsidRPr="005459E6">
        <w:rPr>
          <w:rFonts w:ascii="Times New Roman" w:hAnsi="Times New Roman" w:cs="Times New Roman"/>
        </w:rPr>
        <w:t xml:space="preserve">and </w:t>
      </w:r>
      <w:r w:rsidRPr="005459E6">
        <w:rPr>
          <w:rFonts w:ascii="Times New Roman" w:hAnsi="Times New Roman" w:cs="Times New Roman"/>
        </w:rPr>
        <w:t>language processing, with the general conclusion that it can satisfactor</w:t>
      </w:r>
      <w:r w:rsidR="00F42435" w:rsidRPr="005459E6">
        <w:rPr>
          <w:rFonts w:ascii="Times New Roman" w:hAnsi="Times New Roman" w:cs="Times New Roman"/>
        </w:rPr>
        <w:t>il</w:t>
      </w:r>
      <w:r w:rsidRPr="005459E6">
        <w:rPr>
          <w:rFonts w:ascii="Times New Roman" w:hAnsi="Times New Roman" w:cs="Times New Roman"/>
        </w:rPr>
        <w:t xml:space="preserve">y </w:t>
      </w:r>
      <w:r w:rsidR="001D7A69" w:rsidRPr="005459E6">
        <w:rPr>
          <w:rFonts w:ascii="Times New Roman" w:hAnsi="Times New Roman" w:cs="Times New Roman"/>
        </w:rPr>
        <w:t xml:space="preserve">record </w:t>
      </w:r>
      <w:r w:rsidRPr="005459E6">
        <w:rPr>
          <w:rFonts w:ascii="Times New Roman" w:hAnsi="Times New Roman" w:cs="Times New Roman"/>
        </w:rPr>
        <w:t xml:space="preserve">research data and meets non-clinical requirements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{"citationItems":[{"id":"ITEM-1","itemData":{"DOI":"doi:10.1515/bams-2015-0026","author":[{"dropping-particle":"","family":"Wójcik","given":"Grzegorz M","non-dropping-particle":"","parse-names":false,"suffix":""},{"dropping-particle":"","family":"Wierzgała","given":"Piotr","non-dropping-particle":"","parse-names":false,"suffix":""},{"dropping-particle":"","family":"Gajos","given":"Anna","non-dropping-particle":"","parse-names":false,"suffix":""}],"container-title":"Bio-Algorithms and Med-Systems","id":"ITEM-1","issue":"4","issued":{"date-parts":[["2015"]]},"page":"211-215","title":"Evaluation of Emotiv EEG neuroheadset","type":"article-journal","volume":"11"},"uris":["http://www.mendeley.com/documents/?uuid=875c1b7a-6722-42f4-b0a1-af818f783827"]}],"mendeley":{"formattedCitation":"(Wójcik et al., 2015)","plainTextFormattedCitation":"(Wójcik et al., 2015)","previouslyFormattedCitation":"(Wójcik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(Wójcik et al., 2015)</w:t>
      </w:r>
      <w:r w:rsidRPr="005459E6">
        <w:rPr>
          <w:rFonts w:ascii="Times New Roman" w:hAnsi="Times New Roman" w:cs="Times New Roman"/>
        </w:rPr>
        <w:fldChar w:fldCharType="end"/>
      </w:r>
      <w:r w:rsidRPr="005459E6">
        <w:rPr>
          <w:rFonts w:ascii="Times New Roman" w:hAnsi="Times New Roman" w:cs="Times New Roman"/>
        </w:rPr>
        <w:t xml:space="preserve">. Modern BCI techniques have reached a point of relative maturity in comparison to previous decades of development and are increasingly being used in real-world public applications, particularly in the realm of BCI-based human-computer interfaces in mental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{"citationItems":[{"id":"ITEM-1","itemData":{"author":[{"dropping-particle":"","family":"Yang","given":"Yuan","non-dropping-particle":"","parse-names":false,"suffix":""}],"id":"ITEM-1","issued":{"date-parts":[["2013"]]},"title":"EEG signal analysis for brain-computer interfaces for large public applications","type":"article-journal"},"uris":["http://www.mendeley.com/documents/?uuid=86ea71b5-73c6-4d6b-b73e-5ec6f1aee4bf"]}],"mendeley":{"formattedCitation":"(Y. Yang, 2013)","manualFormatting":"(Yang, 2013)","plainTextFormattedCitation":"(Y. Yang, 2013)","previouslyFormattedCitation":"(Y. Yang,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(Yang, 2013)</w:t>
      </w:r>
      <w:r w:rsidRPr="005459E6">
        <w:rPr>
          <w:rFonts w:ascii="Times New Roman" w:hAnsi="Times New Roman" w:cs="Times New Roman"/>
        </w:rPr>
        <w:fldChar w:fldCharType="end"/>
      </w:r>
      <w:r w:rsidRPr="005459E6">
        <w:rPr>
          <w:rFonts w:ascii="Times New Roman" w:hAnsi="Times New Roman" w:cs="Times New Roman"/>
        </w:rPr>
        <w:t>.</w:t>
      </w:r>
    </w:p>
    <w:p w14:paraId="55A25788" w14:textId="7A983B97" w:rsidR="00886B8C" w:rsidRPr="005459E6" w:rsidRDefault="00E31C0F" w:rsidP="00A203BA">
      <w:pPr>
        <w:spacing w:line="360" w:lineRule="auto"/>
        <w:jc w:val="both"/>
        <w:rPr>
          <w:rFonts w:ascii="Times New Roman" w:hAnsi="Times New Roman" w:cs="Times New Roman"/>
        </w:rPr>
      </w:pPr>
      <w:r w:rsidRPr="005459E6">
        <w:rPr>
          <w:rFonts w:ascii="Times New Roman" w:hAnsi="Times New Roman" w:cs="Times New Roman"/>
        </w:rPr>
        <w:t xml:space="preserve">Neurocomputing methods,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{"citationItems":[{"id":"ITEM-1","itemData":{"DOI":"10.1007/978-3-030-19591-5_41","ISBN":"9783030195908","ISSN":"16113349","abstract":"Cognitive effort is costly and partly aversive, and thus humans usually avoid it if given the chance. In Demand-Selection Tasks (DST), participants tend to choose the easy option over the hard one. The neural underpinnings of this effect, however, are not well understood. The current study is an initial approximation to adapt a DST to a format that allows measuring concurrent high-density electroencephalography. We used multivariate pattern analysis (MVPA) to decode conflict-related neural processes associated with congruent or incongruent events in a time-frequency resolved way and determined how different frequency bands contribute to the overall decoding accuracy. The decoding analysis involved the use of Support Vector Machines, a supervised learning algorithm that provides a theoretically elegant, computationally efficient, and very effective solution for many practical pattern recognition problems. Preliminary results show significant differences in activation patterns for congruent and incongruent trials, yielding 80% of decoding accuracy 400Â ms after the stimulus onset. The results of frequency bands contribution analysis suggest that context-dependent proportion of congruency effect may rely on neural processes operating in Delta and Theta-band frequencies.","author":[{"dropping-particle":"","family":"López-García","given":"David","non-dropping-particle":"","parse-names":false,"suffix":""},{"dropping-particle":"","family":"Sobrado","given":"Alberto","non-dropping-particle":"","parse-names":false,"suffix":""},{"dropping-particle":"","family":"González-Peñalver","given":"J. M.","non-dropping-particle":"","parse-names":false,"suffix":""},{"dropping-particle":"","family":"Górriz","given":"Juan Manuel","non-dropping-particle":"","parse-names":false,"suffix":""},{"dropping-particle":"","family":"Ruz","given":"María","non-dropping-particle":"","parse-names":false,"suffix":""}],"container-title":"Lecture Notes in Computer Science (including subseries Lecture Notes in Artificial Intelligence and Lecture Notes in Bioinformatics)","id":"ITEM-1","issued":{"date-parts":[["2019"]]},"number-of-pages":"403-411","title":"Multivariate Pattern Analysis of Electroencephalography Data in a Demand-Selection Task","type":"book","volume":"11486 LNCS"},"uris":["http://www.mendeley.com/documents/?uuid=a7ee5367-a41e-4e5c-b350-5e1927381c13"]}],"mendeley":{"formattedCitation":"(López-García et al., 2019)","manualFormatting":"López-García et al. (2019)","plainTextFormattedCitation":"(López-García et al., 2019)","previouslyFormattedCitation":"(López-García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López-García et al. (2019)</w:t>
      </w:r>
      <w:r w:rsidRPr="005459E6">
        <w:rPr>
          <w:rFonts w:ascii="Times New Roman" w:hAnsi="Times New Roman" w:cs="Times New Roman"/>
        </w:rPr>
        <w:fldChar w:fldCharType="end"/>
      </w:r>
      <w:r w:rsidRPr="005459E6">
        <w:rPr>
          <w:rFonts w:ascii="Times New Roman" w:hAnsi="Times New Roman" w:cs="Times New Roman"/>
        </w:rPr>
        <w:t>, leverage natural inspiration to build optimization and search algorithms, which are frequently used to resolve complex problems in science as well as engineering. The interaction between reality and A.I. generates new paradigms not only in computer science but also in medicine. Combining social sciences and social behaviors with neurobiology, computing, and marketing may yield novel approaches that can be applied in other scientific domains.</w:t>
      </w:r>
    </w:p>
    <w:p w14:paraId="3CB086E9" w14:textId="77777777" w:rsidR="000147D4" w:rsidRPr="005459E6" w:rsidRDefault="00A203BA" w:rsidP="00A203BA">
      <w:pPr>
        <w:spacing w:line="360" w:lineRule="auto"/>
        <w:jc w:val="both"/>
        <w:rPr>
          <w:rFonts w:ascii="Times New Roman" w:hAnsi="Times New Roman" w:cs="Times New Roman"/>
        </w:rPr>
      </w:pPr>
      <w:r w:rsidRPr="005459E6">
        <w:rPr>
          <w:rFonts w:ascii="Times New Roman" w:hAnsi="Times New Roman" w:cs="Times New Roman"/>
        </w:rPr>
        <w:t xml:space="preserve">Electrophysiological signals, which are an objective representation of an individual's emotional state, are critical in moving toward that goal. As a result, in the field of identifying affective states, there has been a significant increase in interest in physiological variables such as electroencephalogram, electrocardiogram, and electrodermal activity, among many others. </w:t>
      </w:r>
    </w:p>
    <w:p w14:paraId="3F1F9523" w14:textId="53EDDBF1" w:rsidR="00A203BA" w:rsidRPr="005459E6" w:rsidRDefault="00A203BA" w:rsidP="00A203BA">
      <w:pPr>
        <w:spacing w:line="360" w:lineRule="auto"/>
        <w:jc w:val="both"/>
        <w:rPr>
          <w:rFonts w:ascii="Times New Roman" w:hAnsi="Times New Roman" w:cs="Times New Roman"/>
        </w:rPr>
      </w:pPr>
      <w:r w:rsidRPr="005459E6">
        <w:rPr>
          <w:rFonts w:ascii="Times New Roman" w:hAnsi="Times New Roman" w:cs="Times New Roman"/>
        </w:rPr>
        <w:t xml:space="preserve">When combined with traditional statistical hypothesis testing, Machine Learning holds </w:t>
      </w:r>
      <w:r w:rsidR="00FE35E6" w:rsidRPr="005459E6">
        <w:rPr>
          <w:rFonts w:ascii="Times New Roman" w:hAnsi="Times New Roman" w:cs="Times New Roman"/>
        </w:rPr>
        <w:t>tremendous</w:t>
      </w:r>
      <w:r w:rsidRPr="005459E6">
        <w:rPr>
          <w:rFonts w:ascii="Times New Roman" w:hAnsi="Times New Roman" w:cs="Times New Roman"/>
        </w:rPr>
        <w:t xml:space="preserve"> promise for the development of new models and concepts in the field of neuroscience. Machine Learning algorithms, among other things, can reveal interactions, hidden patterns of abnormal activity, brain anatomy and connections, and brain and physiological behavior systems.</w:t>
      </w:r>
    </w:p>
    <w:p w14:paraId="67175D93" w14:textId="6A2C7621" w:rsidR="004C4182" w:rsidRPr="005459E6" w:rsidRDefault="004C4182" w:rsidP="004C4182">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matpr.2020.09.616","ISSN":"22147853","author":[{"dropping-particle":"","family":"Devi","given":"D.","non-dropping-particle":"","parse-names":false,"suffix":""},{"dropping-particle":"","family":"Sophia","given":"S.","non-dropping-particle":"","parse-names":false,"suffix":""},{"dropping-particle":"","family":"Athithya Janani","given":"A.","non-dropping-particle":"","parse-names":false,"suffix":""},{"dropping-particle":"","family":"Karpagam","given":"M.","non-dropping-particle":"","parse-names":false,"suffix":""}],"container-title":"Materials Today: Proceedings","id":"ITEM-1","issue":"xxxx","issued":{"date-parts":[["2020"]]},"publisher":"Elsevier Ltd","title":"Brain wave based cognitive state prediction for monitoring health care conditions","type":"article-journal"},"uris":["http://www.mendeley.com/documents/?uuid=99e3d62c-7c73-436c-80ba-8643c994c1f9"]}],"mendeley":{"formattedCitation":"(Devi et al., 2020)","manualFormatting":"Devi et al. (2020)","plainTextFormattedCitation":"(Devi et al., 2020)","previouslyFormattedCitation":"(Devi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Devi et al. (2020)</w:t>
      </w:r>
      <w:r w:rsidRPr="005459E6">
        <w:rPr>
          <w:rFonts w:ascii="Times New Roman" w:hAnsi="Times New Roman" w:cs="Times New Roman"/>
        </w:rPr>
        <w:fldChar w:fldCharType="end"/>
      </w:r>
      <w:r w:rsidRPr="005459E6">
        <w:rPr>
          <w:rFonts w:ascii="Times New Roman" w:hAnsi="Times New Roman" w:cs="Times New Roman"/>
        </w:rPr>
        <w:t xml:space="preserve"> investigate stress monitoring by measuring cognitive states throughout learning and software development activities. End-users frequent use of digital tools and mediums for learning and development causes stress, which has a long-term impact on cognition outcomes. Short-term and long-term stress causes acute and chronic effects. Acquired EEG signals, which are important tools for monitoring cognitive processes, are used to assess mental stress.</w:t>
      </w:r>
    </w:p>
    <w:p w14:paraId="55827940" w14:textId="77777777" w:rsidR="009F7AE4" w:rsidRPr="005459E6" w:rsidRDefault="009F7AE4" w:rsidP="00042CB0">
      <w:pPr>
        <w:spacing w:line="360" w:lineRule="auto"/>
        <w:jc w:val="both"/>
        <w:rPr>
          <w:rFonts w:ascii="Times New Roman" w:hAnsi="Times New Roman" w:cs="Times New Roman"/>
        </w:rPr>
      </w:pPr>
    </w:p>
    <w:p w14:paraId="0486F4BF" w14:textId="77777777" w:rsidR="009F7AE4" w:rsidRPr="005459E6" w:rsidRDefault="009F7AE4" w:rsidP="00042CB0">
      <w:pPr>
        <w:spacing w:line="360" w:lineRule="auto"/>
        <w:jc w:val="both"/>
        <w:rPr>
          <w:rFonts w:ascii="Times New Roman" w:hAnsi="Times New Roman" w:cs="Times New Roman"/>
        </w:rPr>
      </w:pPr>
    </w:p>
    <w:p w14:paraId="15CD103C" w14:textId="77777777" w:rsidR="00886B8C" w:rsidRPr="005459E6" w:rsidRDefault="00886B8C" w:rsidP="00042CB0">
      <w:pPr>
        <w:spacing w:line="360" w:lineRule="auto"/>
        <w:jc w:val="both"/>
        <w:rPr>
          <w:rFonts w:ascii="Times New Roman" w:hAnsi="Times New Roman" w:cs="Times New Roman"/>
        </w:rPr>
      </w:pPr>
    </w:p>
    <w:p w14:paraId="58DD9DCA" w14:textId="77777777" w:rsidR="009F7AE4" w:rsidRPr="005459E6" w:rsidRDefault="009F7AE4" w:rsidP="00042CB0">
      <w:pPr>
        <w:spacing w:line="360" w:lineRule="auto"/>
        <w:jc w:val="both"/>
        <w:rPr>
          <w:rFonts w:ascii="Times New Roman" w:hAnsi="Times New Roman" w:cs="Times New Roman"/>
        </w:rPr>
      </w:pPr>
    </w:p>
    <w:p w14:paraId="2A1B8CAB" w14:textId="77777777" w:rsidR="00FE35E6" w:rsidRPr="005459E6" w:rsidRDefault="00FE35E6" w:rsidP="00042CB0">
      <w:pPr>
        <w:spacing w:line="360" w:lineRule="auto"/>
        <w:jc w:val="both"/>
        <w:rPr>
          <w:rFonts w:ascii="Times New Roman" w:hAnsi="Times New Roman" w:cs="Times New Roman"/>
        </w:rPr>
      </w:pPr>
    </w:p>
    <w:p w14:paraId="063BA5C5" w14:textId="77777777" w:rsidR="00FE35E6" w:rsidRPr="005459E6" w:rsidRDefault="00FE35E6" w:rsidP="00042CB0">
      <w:pPr>
        <w:spacing w:line="360" w:lineRule="auto"/>
        <w:jc w:val="both"/>
        <w:rPr>
          <w:rFonts w:ascii="Times New Roman" w:hAnsi="Times New Roman" w:cs="Times New Roman"/>
        </w:rPr>
      </w:pPr>
    </w:p>
    <w:p w14:paraId="25952764" w14:textId="7DF0495E" w:rsidR="00E902B4" w:rsidRPr="005459E6" w:rsidRDefault="00E902B4" w:rsidP="00042CB0">
      <w:pPr>
        <w:spacing w:line="360" w:lineRule="auto"/>
        <w:jc w:val="both"/>
        <w:rPr>
          <w:rFonts w:ascii="Times New Roman" w:hAnsi="Times New Roman" w:cs="Times New Roman"/>
        </w:rPr>
      </w:pPr>
      <w:r w:rsidRPr="005459E6">
        <w:rPr>
          <w:rFonts w:ascii="Times New Roman" w:hAnsi="Times New Roman" w:cs="Times New Roman"/>
        </w:rPr>
        <w:t xml:space="preserve">A </w:t>
      </w:r>
      <w:r w:rsidR="00BA3F75" w:rsidRPr="005459E6">
        <w:rPr>
          <w:rFonts w:ascii="Times New Roman" w:hAnsi="Times New Roman" w:cs="Times New Roman"/>
        </w:rPr>
        <w:t>B</w:t>
      </w:r>
      <w:r w:rsidRPr="005459E6">
        <w:rPr>
          <w:rFonts w:ascii="Times New Roman" w:hAnsi="Times New Roman" w:cs="Times New Roman"/>
        </w:rPr>
        <w:t>rain</w:t>
      </w:r>
      <w:r w:rsidR="00BA3F75" w:rsidRPr="005459E6">
        <w:rPr>
          <w:rFonts w:ascii="Times New Roman" w:hAnsi="Times New Roman" w:cs="Times New Roman"/>
        </w:rPr>
        <w:t xml:space="preserve"> C</w:t>
      </w:r>
      <w:r w:rsidRPr="005459E6">
        <w:rPr>
          <w:rFonts w:ascii="Times New Roman" w:hAnsi="Times New Roman" w:cs="Times New Roman"/>
        </w:rPr>
        <w:t xml:space="preserve">omputer </w:t>
      </w:r>
      <w:r w:rsidR="00BA3F75" w:rsidRPr="005459E6">
        <w:rPr>
          <w:rFonts w:ascii="Times New Roman" w:hAnsi="Times New Roman" w:cs="Times New Roman"/>
        </w:rPr>
        <w:t>I</w:t>
      </w:r>
      <w:r w:rsidRPr="005459E6">
        <w:rPr>
          <w:rFonts w:ascii="Times New Roman" w:hAnsi="Times New Roman" w:cs="Times New Roman"/>
        </w:rPr>
        <w:t xml:space="preserve">nterface (BCI) provides </w:t>
      </w:r>
      <w:r w:rsidR="001D1AD4" w:rsidRPr="005459E6">
        <w:rPr>
          <w:rFonts w:ascii="Times New Roman" w:hAnsi="Times New Roman" w:cs="Times New Roman"/>
        </w:rPr>
        <w:t xml:space="preserve">a </w:t>
      </w:r>
      <w:r w:rsidRPr="005459E6">
        <w:rPr>
          <w:rFonts w:ascii="Times New Roman" w:hAnsi="Times New Roman" w:cs="Times New Roman"/>
        </w:rPr>
        <w:t xml:space="preserve">direct connection between the brain and an external device, which is frequently used to control its activity. BCIs read brain impulses and transform them into external actions using machine learning techniques. EEG-based BCI is defined by the approach of measuring brain activity with non-invasive EEG electrodes and translating the acquired brain signals into commands (see </w:t>
      </w:r>
      <w:r w:rsidRPr="005459E6">
        <w:rPr>
          <w:rFonts w:ascii="Times New Roman" w:hAnsi="Times New Roman" w:cs="Times New Roman"/>
          <w:b/>
          <w:bCs/>
        </w:rPr>
        <w:t xml:space="preserve">Figure </w:t>
      </w:r>
      <w:r w:rsidR="003777A4" w:rsidRPr="005459E6">
        <w:rPr>
          <w:rFonts w:ascii="Times New Roman" w:hAnsi="Times New Roman" w:cs="Times New Roman"/>
          <w:b/>
          <w:bCs/>
        </w:rPr>
        <w:t>9</w:t>
      </w:r>
      <w:r w:rsidRPr="005459E6">
        <w:rPr>
          <w:rFonts w:ascii="Times New Roman" w:hAnsi="Times New Roman" w:cs="Times New Roman"/>
        </w:rPr>
        <w:t>).</w:t>
      </w:r>
    </w:p>
    <w:p w14:paraId="5EE6FE51" w14:textId="5A926F59"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A71636C" wp14:editId="19171A77">
            <wp:extent cx="5650603" cy="1971675"/>
            <wp:effectExtent l="0" t="0" r="7620" b="0"/>
            <wp:docPr id="37" name="Picture 3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681631" cy="1982502"/>
                    </a:xfrm>
                    <a:prstGeom prst="rect">
                      <a:avLst/>
                    </a:prstGeom>
                  </pic:spPr>
                </pic:pic>
              </a:graphicData>
            </a:graphic>
          </wp:inline>
        </w:drawing>
      </w:r>
    </w:p>
    <w:p w14:paraId="11672322" w14:textId="74B08AF1" w:rsidR="00E4203B" w:rsidRPr="005459E6" w:rsidRDefault="00001B5B" w:rsidP="00042CB0">
      <w:pPr>
        <w:pStyle w:val="Didascalia"/>
        <w:spacing w:line="360" w:lineRule="auto"/>
        <w:jc w:val="both"/>
        <w:rPr>
          <w:rFonts w:ascii="Times New Roman" w:hAnsi="Times New Roman" w:cs="Times New Roman"/>
          <w:i w:val="0"/>
          <w:iCs w:val="0"/>
          <w:color w:val="auto"/>
          <w:sz w:val="22"/>
          <w:szCs w:val="22"/>
        </w:rPr>
      </w:pPr>
      <w:bookmarkStart w:id="230" w:name="_Toc96343303"/>
      <w:bookmarkStart w:id="231" w:name="_Toc99915978"/>
      <w:bookmarkStart w:id="232" w:name="_Toc104968795"/>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9</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Brain Computer Interface</w:t>
      </w:r>
      <w:bookmarkEnd w:id="230"/>
      <w:bookmarkEnd w:id="231"/>
      <w:bookmarkEnd w:id="232"/>
    </w:p>
    <w:p w14:paraId="7A73D1A6" w14:textId="54DE6166" w:rsidR="00BC1CF4" w:rsidRPr="005459E6" w:rsidRDefault="00BC1CF4" w:rsidP="00042CB0">
      <w:pPr>
        <w:spacing w:line="360" w:lineRule="auto"/>
        <w:jc w:val="both"/>
        <w:rPr>
          <w:rFonts w:ascii="Times New Roman" w:hAnsi="Times New Roman" w:cs="Times New Roman"/>
        </w:rPr>
      </w:pPr>
      <w:r w:rsidRPr="005459E6">
        <w:rPr>
          <w:rFonts w:ascii="Times New Roman" w:hAnsi="Times New Roman" w:cs="Times New Roman"/>
        </w:rPr>
        <w:t xml:space="preserve">EEG-based brain-computer interfaces (BCIs) detect changes in brain activity that </w:t>
      </w:r>
      <w:r w:rsidR="00F645C3" w:rsidRPr="005459E6">
        <w:rPr>
          <w:rFonts w:ascii="Times New Roman" w:hAnsi="Times New Roman" w:cs="Times New Roman"/>
        </w:rPr>
        <w:t>are</w:t>
      </w:r>
      <w:r w:rsidRPr="005459E6">
        <w:rPr>
          <w:rFonts w:ascii="Times New Roman" w:hAnsi="Times New Roman" w:cs="Times New Roman"/>
        </w:rPr>
        <w:t xml:space="preserve"> linked to numerous emotions, behaviors, and expressions. Through BCI technologies, these signals are then exported and processed using machine learning algorithms.  Machine learning algorithms have been developed based on brain activity that could be used to trigger response</w:t>
      </w:r>
      <w:r w:rsidR="00F645C3" w:rsidRPr="005459E6">
        <w:rPr>
          <w:rFonts w:ascii="Times New Roman" w:hAnsi="Times New Roman" w:cs="Times New Roman"/>
        </w:rPr>
        <w:t>s</w:t>
      </w:r>
      <w:r w:rsidRPr="005459E6">
        <w:rPr>
          <w:rFonts w:ascii="Times New Roman" w:hAnsi="Times New Roman" w:cs="Times New Roman"/>
        </w:rPr>
        <w:t xml:space="preserve"> to control the device.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URL":"https://www.emotiv.com/neuroscience-guide/","accessed":{"date-parts":[["2021","3","15"]]},"author":[{"dropping-particle":"","family":"Emotiv","given":"","non-dropping-particle":"","parse-names":false,"suffix":""}],"id":"ITEM-1","issued":{"date-parts":[["2021"]]},"title":"The Introductory Guide to Neuroscience","type":"webpage"},"uris":["http://www.mendeley.com/documents/?uuid=c87ff22c-8d64-4a71-a8c4-f8636f5fa72a"]}],"mendeley":{"formattedCitation":"(Emotiv, 2021)","plainTextFormattedCitation":"(Emotiv, 2021)","previouslyFormattedCitation":"(Emotiv,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(Emotiv, 2021)</w:t>
      </w:r>
      <w:r w:rsidRPr="005459E6">
        <w:rPr>
          <w:rFonts w:ascii="Times New Roman" w:hAnsi="Times New Roman" w:cs="Times New Roman"/>
        </w:rPr>
        <w:fldChar w:fldCharType="end"/>
      </w:r>
      <w:r w:rsidRPr="005459E6">
        <w:rPr>
          <w:rFonts w:ascii="Times New Roman" w:hAnsi="Times New Roman" w:cs="Times New Roman"/>
        </w:rPr>
        <w:t>.</w:t>
      </w:r>
    </w:p>
    <w:p w14:paraId="549A5A0E" w14:textId="1EEA76C4" w:rsidR="00F57557" w:rsidRPr="005459E6" w:rsidRDefault="00F57557" w:rsidP="00042CB0">
      <w:pPr>
        <w:spacing w:line="360" w:lineRule="auto"/>
        <w:jc w:val="both"/>
        <w:rPr>
          <w:rFonts w:ascii="Times New Roman" w:hAnsi="Times New Roman" w:cs="Times New Roman"/>
          <w:lang w:val="en-IN"/>
        </w:rPr>
      </w:pPr>
      <w:r w:rsidRPr="005459E6">
        <w:rPr>
          <w:rFonts w:ascii="Times New Roman" w:hAnsi="Times New Roman" w:cs="Times New Roman"/>
          <w:lang w:val="en-IN"/>
        </w:rPr>
        <w:t xml:space="preserve">BCI research (also known as brain-machine interface research) is rapidly becoming more useful. BCI users can directly communicate with computer software using only their brain activity, according to academic researchers: An experiment with Emotiv BCI revealed that the system </w:t>
      </w:r>
      <w:r w:rsidR="00886B8C" w:rsidRPr="005459E6">
        <w:rPr>
          <w:rFonts w:ascii="Times New Roman" w:hAnsi="Times New Roman" w:cs="Times New Roman"/>
          <w:lang w:val="en-IN"/>
        </w:rPr>
        <w:t>could perform</w:t>
      </w:r>
      <w:r w:rsidRPr="005459E6">
        <w:rPr>
          <w:rFonts w:ascii="Times New Roman" w:hAnsi="Times New Roman" w:cs="Times New Roman"/>
          <w:lang w:val="en-IN"/>
        </w:rPr>
        <w:t xml:space="preserve"> all mental actions and that with more training data, it may improve. Researchers are also using BCI to better understand what neural networks are doing in real</w:t>
      </w:r>
      <w:r w:rsidR="00F645C3" w:rsidRPr="005459E6">
        <w:rPr>
          <w:rFonts w:ascii="Times New Roman" w:hAnsi="Times New Roman" w:cs="Times New Roman"/>
          <w:lang w:val="en-IN"/>
        </w:rPr>
        <w:t>-</w:t>
      </w:r>
      <w:r w:rsidRPr="005459E6">
        <w:rPr>
          <w:rFonts w:ascii="Times New Roman" w:hAnsi="Times New Roman" w:cs="Times New Roman"/>
          <w:lang w:val="en-IN"/>
        </w:rPr>
        <w:t>time. At the level of individual neurons, the majority of brain tissue systems are either philosophi</w:t>
      </w:r>
      <w:r w:rsidR="00F645C3" w:rsidRPr="005459E6">
        <w:rPr>
          <w:rFonts w:ascii="Times New Roman" w:hAnsi="Times New Roman" w:cs="Times New Roman"/>
          <w:lang w:val="en-IN"/>
        </w:rPr>
        <w:t>z</w:t>
      </w:r>
      <w:r w:rsidRPr="005459E6">
        <w:rPr>
          <w:rFonts w:ascii="Times New Roman" w:hAnsi="Times New Roman" w:cs="Times New Roman"/>
          <w:lang w:val="en-IN"/>
        </w:rPr>
        <w:t>ed about or comprehended. The brain-computer interface (BCI) is being used to learn more about how different tissue systems respond to electrical stimulation and what this means for cognitive performance.</w:t>
      </w:r>
    </w:p>
    <w:p w14:paraId="46912AC4" w14:textId="4A227CD7" w:rsidR="00BC1CF4" w:rsidRDefault="00BC1CF4" w:rsidP="00042CB0">
      <w:pPr>
        <w:spacing w:line="360" w:lineRule="auto"/>
        <w:jc w:val="both"/>
        <w:rPr>
          <w:rFonts w:ascii="Times New Roman" w:hAnsi="Times New Roman" w:cs="Times New Roman"/>
          <w:lang w:val="en-IN"/>
        </w:rPr>
      </w:pPr>
    </w:p>
    <w:p w14:paraId="2FE04BEE" w14:textId="77777777" w:rsidR="003C7B00" w:rsidRPr="005459E6" w:rsidRDefault="003C7B00" w:rsidP="00042CB0">
      <w:pPr>
        <w:spacing w:line="360" w:lineRule="auto"/>
        <w:jc w:val="both"/>
        <w:rPr>
          <w:rFonts w:ascii="Times New Roman" w:hAnsi="Times New Roman" w:cs="Times New Roman"/>
          <w:lang w:val="en-IN"/>
        </w:rPr>
      </w:pPr>
    </w:p>
    <w:p w14:paraId="7632BFAE" w14:textId="13F0608A" w:rsidR="00BC1CF4" w:rsidRPr="005459E6" w:rsidRDefault="00BC1CF4" w:rsidP="00042CB0">
      <w:pPr>
        <w:spacing w:line="360" w:lineRule="auto"/>
        <w:jc w:val="both"/>
        <w:rPr>
          <w:rFonts w:ascii="Times New Roman" w:hAnsi="Times New Roman" w:cs="Times New Roman"/>
          <w:lang w:val="en-IN"/>
        </w:rPr>
      </w:pPr>
    </w:p>
    <w:p w14:paraId="5A35D89C" w14:textId="360FFAB3" w:rsidR="006B79B8"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b/>
          <w:bCs/>
        </w:rPr>
        <w:lastRenderedPageBreak/>
        <w:t>Data streams from Emotiv</w:t>
      </w:r>
      <w:r w:rsidR="003867F6" w:rsidRPr="005459E6">
        <w:rPr>
          <w:rFonts w:ascii="Times New Roman" w:hAnsi="Times New Roman" w:cs="Times New Roman"/>
          <w:b/>
          <w:bCs/>
        </w:rPr>
        <w:t xml:space="preserve"> </w:t>
      </w:r>
      <w:r w:rsidR="003867F6" w:rsidRPr="005459E6">
        <w:rPr>
          <w:rFonts w:ascii="Times New Roman" w:hAnsi="Times New Roman" w:cs="Times New Roman"/>
        </w:rPr>
        <w:t>(Model</w:t>
      </w:r>
      <w:r w:rsidR="005724D5" w:rsidRPr="005459E6">
        <w:rPr>
          <w:rFonts w:ascii="Times New Roman" w:hAnsi="Times New Roman" w:cs="Times New Roman"/>
        </w:rPr>
        <w:t xml:space="preserve"> name:</w:t>
      </w:r>
      <w:r w:rsidR="003867F6" w:rsidRPr="005459E6">
        <w:rPr>
          <w:rFonts w:ascii="Times New Roman" w:hAnsi="Times New Roman" w:cs="Times New Roman"/>
        </w:rPr>
        <w:t xml:space="preserve"> </w:t>
      </w:r>
      <w:r w:rsidR="005724D5" w:rsidRPr="005459E6">
        <w:rPr>
          <w:rFonts w:ascii="Times New Roman" w:hAnsi="Times New Roman" w:cs="Times New Roman"/>
        </w:rPr>
        <w:t xml:space="preserve">Emotiv </w:t>
      </w:r>
      <w:r w:rsidR="003867F6" w:rsidRPr="005459E6">
        <w:rPr>
          <w:rFonts w:ascii="Times New Roman" w:hAnsi="Times New Roman" w:cs="Times New Roman"/>
        </w:rPr>
        <w:t>Insight)</w:t>
      </w:r>
    </w:p>
    <w:p w14:paraId="536497C8" w14:textId="77777777" w:rsidR="004D7E4A" w:rsidRPr="005459E6" w:rsidRDefault="004D7E4A" w:rsidP="00042CB0">
      <w:pPr>
        <w:numPr>
          <w:ilvl w:val="0"/>
          <w:numId w:val="3"/>
        </w:numPr>
        <w:spacing w:line="360" w:lineRule="auto"/>
        <w:jc w:val="both"/>
        <w:rPr>
          <w:rFonts w:ascii="Times New Roman" w:hAnsi="Times New Roman" w:cs="Times New Roman"/>
          <w:b/>
          <w:bCs/>
        </w:rPr>
      </w:pPr>
      <w:r w:rsidRPr="005459E6">
        <w:rPr>
          <w:rFonts w:ascii="Times New Roman" w:hAnsi="Times New Roman" w:cs="Times New Roman"/>
          <w:b/>
          <w:bCs/>
        </w:rPr>
        <w:t>Electroencephalogram (EEG)</w:t>
      </w:r>
    </w:p>
    <w:p w14:paraId="551FAF5E" w14:textId="016FA304"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Raw EEG displays the voltage fluctuations </w:t>
      </w:r>
      <w:r w:rsidR="00363751" w:rsidRPr="005459E6">
        <w:rPr>
          <w:rFonts w:ascii="Times New Roman" w:hAnsi="Times New Roman" w:cs="Times New Roman"/>
        </w:rPr>
        <w:t xml:space="preserve">(Refer </w:t>
      </w:r>
      <w:r w:rsidR="001D1AD4" w:rsidRPr="005459E6">
        <w:rPr>
          <w:rFonts w:ascii="Times New Roman" w:hAnsi="Times New Roman" w:cs="Times New Roman"/>
        </w:rPr>
        <w:t xml:space="preserve">to </w:t>
      </w:r>
      <w:r w:rsidR="00363751" w:rsidRPr="005459E6">
        <w:rPr>
          <w:rFonts w:ascii="Times New Roman" w:hAnsi="Times New Roman" w:cs="Times New Roman"/>
          <w:b/>
          <w:bCs/>
        </w:rPr>
        <w:t>Figure 1</w:t>
      </w:r>
      <w:r w:rsidR="003777A4" w:rsidRPr="005459E6">
        <w:rPr>
          <w:rFonts w:ascii="Times New Roman" w:hAnsi="Times New Roman" w:cs="Times New Roman"/>
          <w:b/>
          <w:bCs/>
        </w:rPr>
        <w:t>0</w:t>
      </w:r>
      <w:r w:rsidR="00363751" w:rsidRPr="005459E6">
        <w:rPr>
          <w:rFonts w:ascii="Times New Roman" w:hAnsi="Times New Roman" w:cs="Times New Roman"/>
        </w:rPr>
        <w:t xml:space="preserve">) </w:t>
      </w:r>
      <w:r w:rsidRPr="005459E6">
        <w:rPr>
          <w:rFonts w:ascii="Times New Roman" w:hAnsi="Times New Roman" w:cs="Times New Roman"/>
        </w:rPr>
        <w:t xml:space="preserve">detected from each sensor on </w:t>
      </w:r>
      <w:r w:rsidR="001D1AD4" w:rsidRPr="005459E6">
        <w:rPr>
          <w:rFonts w:ascii="Times New Roman" w:hAnsi="Times New Roman" w:cs="Times New Roman"/>
        </w:rPr>
        <w:t xml:space="preserve">the </w:t>
      </w:r>
      <w:r w:rsidRPr="005459E6">
        <w:rPr>
          <w:rFonts w:ascii="Times New Roman" w:hAnsi="Times New Roman" w:cs="Times New Roman"/>
        </w:rPr>
        <w:t>Emotiv headset.</w:t>
      </w:r>
    </w:p>
    <w:p w14:paraId="7A0894A2" w14:textId="00FF090C"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72FCBAF" wp14:editId="7D44C952">
            <wp:extent cx="4343400" cy="2388870"/>
            <wp:effectExtent l="0" t="0" r="0" b="0"/>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rotWithShape="1">
                    <a:blip r:embed="rId20" cstate="print">
                      <a:extLst>
                        <a:ext uri="{28A0092B-C50C-407E-A947-70E740481C1C}">
                          <a14:useLocalDpi xmlns:a14="http://schemas.microsoft.com/office/drawing/2010/main" val="0"/>
                        </a:ext>
                      </a:extLst>
                    </a:blip>
                    <a:srcRect t="9908" b="11376"/>
                    <a:stretch/>
                  </pic:blipFill>
                  <pic:spPr bwMode="auto">
                    <a:xfrm>
                      <a:off x="0" y="0"/>
                      <a:ext cx="4355642" cy="2395603"/>
                    </a:xfrm>
                    <a:prstGeom prst="rect">
                      <a:avLst/>
                    </a:prstGeom>
                    <a:ln>
                      <a:noFill/>
                    </a:ln>
                    <a:extLst>
                      <a:ext uri="{53640926-AAD7-44D8-BBD7-CCE9431645EC}">
                        <a14:shadowObscured xmlns:a14="http://schemas.microsoft.com/office/drawing/2010/main"/>
                      </a:ext>
                    </a:extLst>
                  </pic:spPr>
                </pic:pic>
              </a:graphicData>
            </a:graphic>
          </wp:inline>
        </w:drawing>
      </w:r>
    </w:p>
    <w:p w14:paraId="79359A4A" w14:textId="0DCDE13C" w:rsidR="00001B5B" w:rsidRPr="005459E6" w:rsidRDefault="00001B5B" w:rsidP="00042CB0">
      <w:pPr>
        <w:pStyle w:val="Didascalia"/>
        <w:spacing w:line="360" w:lineRule="auto"/>
        <w:jc w:val="both"/>
        <w:rPr>
          <w:rFonts w:ascii="Times New Roman" w:hAnsi="Times New Roman" w:cs="Times New Roman"/>
          <w:i w:val="0"/>
          <w:iCs w:val="0"/>
          <w:color w:val="auto"/>
          <w:sz w:val="22"/>
          <w:szCs w:val="22"/>
        </w:rPr>
      </w:pPr>
      <w:bookmarkStart w:id="233" w:name="_Toc96343304"/>
      <w:bookmarkStart w:id="234" w:name="_Toc99915979"/>
      <w:bookmarkStart w:id="235" w:name="_Toc104968796"/>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10</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Electroencephalograph (EEG)</w:t>
      </w:r>
      <w:bookmarkEnd w:id="233"/>
      <w:bookmarkEnd w:id="234"/>
      <w:bookmarkEnd w:id="235"/>
    </w:p>
    <w:p w14:paraId="363B164B" w14:textId="77777777" w:rsidR="004D7E4A" w:rsidRPr="005459E6" w:rsidRDefault="004D7E4A" w:rsidP="00042CB0">
      <w:pPr>
        <w:numPr>
          <w:ilvl w:val="0"/>
          <w:numId w:val="3"/>
        </w:numPr>
        <w:spacing w:line="360" w:lineRule="auto"/>
        <w:jc w:val="both"/>
        <w:rPr>
          <w:rFonts w:ascii="Times New Roman" w:hAnsi="Times New Roman" w:cs="Times New Roman"/>
          <w:b/>
          <w:bCs/>
        </w:rPr>
      </w:pPr>
      <w:r w:rsidRPr="005459E6">
        <w:rPr>
          <w:rFonts w:ascii="Times New Roman" w:hAnsi="Times New Roman" w:cs="Times New Roman"/>
          <w:b/>
          <w:bCs/>
        </w:rPr>
        <w:t>Motion sensors</w:t>
      </w:r>
    </w:p>
    <w:p w14:paraId="24107C57" w14:textId="24A85C42"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Motion sensors </w:t>
      </w:r>
      <w:r w:rsidR="006C5E02" w:rsidRPr="005459E6">
        <w:rPr>
          <w:rFonts w:ascii="Times New Roman" w:hAnsi="Times New Roman" w:cs="Times New Roman"/>
        </w:rPr>
        <w:t xml:space="preserve">make use of </w:t>
      </w:r>
      <w:r w:rsidR="002B4DD8" w:rsidRPr="005459E6">
        <w:rPr>
          <w:rFonts w:ascii="Times New Roman" w:hAnsi="Times New Roman" w:cs="Times New Roman"/>
        </w:rPr>
        <w:t xml:space="preserve">a </w:t>
      </w:r>
      <w:r w:rsidR="006C5E02" w:rsidRPr="005459E6">
        <w:rPr>
          <w:rFonts w:ascii="Times New Roman" w:hAnsi="Times New Roman" w:cs="Times New Roman"/>
        </w:rPr>
        <w:t xml:space="preserve">9-axis and </w:t>
      </w:r>
      <w:r w:rsidRPr="005459E6">
        <w:rPr>
          <w:rFonts w:ascii="Times New Roman" w:hAnsi="Times New Roman" w:cs="Times New Roman"/>
        </w:rPr>
        <w:t>display data concerning your headset’s position and orientation using a combination of absolute orientation</w:t>
      </w:r>
      <w:r w:rsidR="0073318E" w:rsidRPr="005459E6">
        <w:rPr>
          <w:rFonts w:ascii="Times New Roman" w:hAnsi="Times New Roman" w:cs="Times New Roman"/>
        </w:rPr>
        <w:t xml:space="preserve"> </w:t>
      </w:r>
      <w:r w:rsidRPr="005459E6">
        <w:rPr>
          <w:rFonts w:ascii="Times New Roman" w:hAnsi="Times New Roman" w:cs="Times New Roman"/>
        </w:rPr>
        <w:t>&amp; acceleration</w:t>
      </w:r>
      <w:r w:rsidR="006C5E02" w:rsidRPr="005459E6">
        <w:rPr>
          <w:rFonts w:ascii="Times New Roman" w:hAnsi="Times New Roman" w:cs="Times New Roman"/>
        </w:rPr>
        <w:t xml:space="preserve"> </w:t>
      </w:r>
      <w:r w:rsidR="00363751" w:rsidRPr="005459E6">
        <w:rPr>
          <w:rFonts w:ascii="Times New Roman" w:hAnsi="Times New Roman" w:cs="Times New Roman"/>
        </w:rPr>
        <w:t xml:space="preserve">as per </w:t>
      </w:r>
      <w:r w:rsidR="00363751" w:rsidRPr="005459E6">
        <w:rPr>
          <w:rFonts w:ascii="Times New Roman" w:hAnsi="Times New Roman" w:cs="Times New Roman"/>
          <w:b/>
          <w:bCs/>
        </w:rPr>
        <w:t>Figure 1</w:t>
      </w:r>
      <w:r w:rsidR="003777A4" w:rsidRPr="005459E6">
        <w:rPr>
          <w:rFonts w:ascii="Times New Roman" w:hAnsi="Times New Roman" w:cs="Times New Roman"/>
          <w:b/>
          <w:bCs/>
        </w:rPr>
        <w:t>1</w:t>
      </w:r>
      <w:r w:rsidRPr="005459E6">
        <w:rPr>
          <w:rFonts w:ascii="Times New Roman" w:hAnsi="Times New Roman" w:cs="Times New Roman"/>
        </w:rPr>
        <w:t>:</w:t>
      </w:r>
    </w:p>
    <w:p w14:paraId="277ECB2E"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494E010" wp14:editId="0C2FC080">
            <wp:extent cx="3823607" cy="2078624"/>
            <wp:effectExtent l="171450" t="171450" r="177165" b="188595"/>
            <wp:docPr id="47" name="Picture 4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11255" b="11718"/>
                    <a:stretch/>
                  </pic:blipFill>
                  <pic:spPr bwMode="auto">
                    <a:xfrm>
                      <a:off x="0" y="0"/>
                      <a:ext cx="3841684" cy="2088451"/>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26E1196" w14:textId="49B9BB26" w:rsidR="005724D5" w:rsidRPr="005459E6" w:rsidRDefault="005724D5" w:rsidP="00042CB0">
      <w:pPr>
        <w:pStyle w:val="Didascalia"/>
        <w:spacing w:line="360" w:lineRule="auto"/>
        <w:jc w:val="both"/>
        <w:rPr>
          <w:rFonts w:ascii="Times New Roman" w:hAnsi="Times New Roman" w:cs="Times New Roman"/>
          <w:i w:val="0"/>
          <w:iCs w:val="0"/>
          <w:color w:val="auto"/>
          <w:sz w:val="22"/>
          <w:szCs w:val="22"/>
        </w:rPr>
      </w:pPr>
      <w:bookmarkStart w:id="236" w:name="_Toc96343305"/>
      <w:bookmarkStart w:id="237" w:name="_Toc99915980"/>
      <w:bookmarkStart w:id="238" w:name="_Toc104968797"/>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11</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Motion detection</w:t>
      </w:r>
      <w:bookmarkEnd w:id="236"/>
      <w:bookmarkEnd w:id="237"/>
      <w:bookmarkEnd w:id="238"/>
    </w:p>
    <w:p w14:paraId="262CFD04" w14:textId="77777777" w:rsidR="004D7E4A" w:rsidRPr="005459E6" w:rsidRDefault="004D7E4A" w:rsidP="00042CB0">
      <w:pPr>
        <w:numPr>
          <w:ilvl w:val="0"/>
          <w:numId w:val="3"/>
        </w:numPr>
        <w:spacing w:line="360" w:lineRule="auto"/>
        <w:jc w:val="both"/>
        <w:rPr>
          <w:rFonts w:ascii="Times New Roman" w:hAnsi="Times New Roman" w:cs="Times New Roman"/>
          <w:b/>
          <w:bCs/>
        </w:rPr>
      </w:pPr>
      <w:r w:rsidRPr="005459E6">
        <w:rPr>
          <w:rFonts w:ascii="Times New Roman" w:hAnsi="Times New Roman" w:cs="Times New Roman"/>
          <w:b/>
          <w:bCs/>
        </w:rPr>
        <w:lastRenderedPageBreak/>
        <w:t>Frequency analyses</w:t>
      </w:r>
    </w:p>
    <w:p w14:paraId="2B63B6E0" w14:textId="69E8174E" w:rsidR="00363751"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The frequency analysis view allows you to view </w:t>
      </w:r>
      <w:r w:rsidR="002B4DD8" w:rsidRPr="005459E6">
        <w:rPr>
          <w:rFonts w:ascii="Times New Roman" w:hAnsi="Times New Roman" w:cs="Times New Roman"/>
        </w:rPr>
        <w:t xml:space="preserve">the </w:t>
      </w:r>
      <w:r w:rsidRPr="005459E6">
        <w:rPr>
          <w:rFonts w:ascii="Times New Roman" w:hAnsi="Times New Roman" w:cs="Times New Roman"/>
        </w:rPr>
        <w:t>frequency information of a single EEG channel</w:t>
      </w:r>
      <w:r w:rsidR="001D1AD4" w:rsidRPr="005459E6">
        <w:rPr>
          <w:rFonts w:ascii="Times New Roman" w:hAnsi="Times New Roman" w:cs="Times New Roman"/>
        </w:rPr>
        <w:t>,</w:t>
      </w:r>
      <w:r w:rsidR="00363751" w:rsidRPr="005459E6">
        <w:rPr>
          <w:rFonts w:ascii="Times New Roman" w:hAnsi="Times New Roman" w:cs="Times New Roman"/>
        </w:rPr>
        <w:t xml:space="preserve"> as displayed in </w:t>
      </w:r>
      <w:r w:rsidR="00363751" w:rsidRPr="005459E6">
        <w:rPr>
          <w:rFonts w:ascii="Times New Roman" w:hAnsi="Times New Roman" w:cs="Times New Roman"/>
          <w:b/>
          <w:bCs/>
        </w:rPr>
        <w:t>Figure 1</w:t>
      </w:r>
      <w:r w:rsidR="003777A4" w:rsidRPr="005459E6">
        <w:rPr>
          <w:rFonts w:ascii="Times New Roman" w:hAnsi="Times New Roman" w:cs="Times New Roman"/>
          <w:b/>
          <w:bCs/>
        </w:rPr>
        <w:t>2</w:t>
      </w:r>
      <w:r w:rsidRPr="005459E6">
        <w:rPr>
          <w:rFonts w:ascii="Times New Roman" w:hAnsi="Times New Roman" w:cs="Times New Roman"/>
          <w:b/>
          <w:bCs/>
        </w:rPr>
        <w:t>.</w:t>
      </w:r>
    </w:p>
    <w:p w14:paraId="5E261D93"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1. </w:t>
      </w:r>
      <w:r w:rsidRPr="005459E6">
        <w:rPr>
          <w:rFonts w:ascii="Times New Roman" w:hAnsi="Times New Roman" w:cs="Times New Roman"/>
          <w:i/>
          <w:iCs/>
        </w:rPr>
        <w:t>Fast Fourier Transform (FFT) graph</w:t>
      </w:r>
    </w:p>
    <w:p w14:paraId="7749880F" w14:textId="4B1BB4CC" w:rsidR="004D7E4A" w:rsidRPr="005459E6" w:rsidRDefault="008417EA" w:rsidP="00042CB0">
      <w:pPr>
        <w:spacing w:line="360" w:lineRule="auto"/>
        <w:jc w:val="both"/>
        <w:rPr>
          <w:rFonts w:ascii="Times New Roman" w:hAnsi="Times New Roman" w:cs="Times New Roman"/>
        </w:rPr>
      </w:pPr>
      <w:r w:rsidRPr="005459E6">
        <w:rPr>
          <w:rFonts w:ascii="Times New Roman" w:hAnsi="Times New Roman" w:cs="Times New Roman"/>
        </w:rPr>
        <w:t>The top graph shows a dB over frequency FFT analysis of the selected EEG channel (Hz). The controls on the left upper side of the display can be used to change the following parameters.</w:t>
      </w:r>
    </w:p>
    <w:p w14:paraId="5AF5AAB9" w14:textId="77777777"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Amax, Amin</w:t>
      </w:r>
      <w:r w:rsidRPr="005459E6">
        <w:rPr>
          <w:rFonts w:ascii="Times New Roman" w:hAnsi="Times New Roman" w:cs="Times New Roman"/>
        </w:rPr>
        <w:t xml:space="preserve"> - adjust the maximum and minimum amplitude (dB) for the y-axis</w:t>
      </w:r>
    </w:p>
    <w:p w14:paraId="1DA35E0A" w14:textId="77777777"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Fmax, Fmin</w:t>
      </w:r>
      <w:r w:rsidRPr="005459E6">
        <w:rPr>
          <w:rFonts w:ascii="Times New Roman" w:hAnsi="Times New Roman" w:cs="Times New Roman"/>
        </w:rPr>
        <w:t xml:space="preserve"> - adjust the maximum and minimum frequency (Hz) for the x-axis</w:t>
      </w:r>
    </w:p>
    <w:p w14:paraId="1F5B6F84" w14:textId="77777777"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 xml:space="preserve">Length </w:t>
      </w:r>
      <w:r w:rsidRPr="005459E6">
        <w:rPr>
          <w:rFonts w:ascii="Times New Roman" w:hAnsi="Times New Roman" w:cs="Times New Roman"/>
        </w:rPr>
        <w:t>- adjust the transform length for the FFT analysis</w:t>
      </w:r>
    </w:p>
    <w:p w14:paraId="11D1D22E" w14:textId="77777777"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 xml:space="preserve">Step </w:t>
      </w:r>
      <w:r w:rsidRPr="005459E6">
        <w:rPr>
          <w:rFonts w:ascii="Times New Roman" w:hAnsi="Times New Roman" w:cs="Times New Roman"/>
        </w:rPr>
        <w:t>- adjust the step size for the FFT analysis</w:t>
      </w:r>
    </w:p>
    <w:p w14:paraId="3978DD2B"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1611128C" wp14:editId="08D327DC">
            <wp:extent cx="4239031" cy="2296633"/>
            <wp:effectExtent l="0" t="0" r="0" b="889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l="-1" t="7645" r="1056" b="9857"/>
                    <a:stretch/>
                  </pic:blipFill>
                  <pic:spPr bwMode="auto">
                    <a:xfrm>
                      <a:off x="0" y="0"/>
                      <a:ext cx="4277327" cy="2317381"/>
                    </a:xfrm>
                    <a:prstGeom prst="rect">
                      <a:avLst/>
                    </a:prstGeom>
                    <a:ln>
                      <a:noFill/>
                    </a:ln>
                    <a:extLst>
                      <a:ext uri="{53640926-AAD7-44D8-BBD7-CCE9431645EC}">
                        <a14:shadowObscured xmlns:a14="http://schemas.microsoft.com/office/drawing/2010/main"/>
                      </a:ext>
                    </a:extLst>
                  </pic:spPr>
                </pic:pic>
              </a:graphicData>
            </a:graphic>
          </wp:inline>
        </w:drawing>
      </w:r>
    </w:p>
    <w:p w14:paraId="39C82450" w14:textId="776392EC" w:rsidR="008B5620" w:rsidRPr="005459E6" w:rsidRDefault="008B5620" w:rsidP="00042CB0">
      <w:pPr>
        <w:pStyle w:val="Didascalia"/>
        <w:spacing w:line="360" w:lineRule="auto"/>
        <w:jc w:val="both"/>
        <w:rPr>
          <w:rFonts w:ascii="Times New Roman" w:hAnsi="Times New Roman" w:cs="Times New Roman"/>
          <w:i w:val="0"/>
          <w:iCs w:val="0"/>
          <w:color w:val="auto"/>
          <w:sz w:val="22"/>
          <w:szCs w:val="22"/>
        </w:rPr>
      </w:pPr>
      <w:bookmarkStart w:id="239" w:name="_Toc96343306"/>
      <w:bookmarkStart w:id="240" w:name="_Toc99915981"/>
      <w:bookmarkStart w:id="241" w:name="_Toc104968798"/>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12</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Frequency Graphs</w:t>
      </w:r>
      <w:bookmarkEnd w:id="239"/>
      <w:bookmarkEnd w:id="240"/>
      <w:bookmarkEnd w:id="241"/>
    </w:p>
    <w:p w14:paraId="36D6291A"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2. </w:t>
      </w:r>
      <w:r w:rsidRPr="005459E6">
        <w:rPr>
          <w:rFonts w:ascii="Times New Roman" w:hAnsi="Times New Roman" w:cs="Times New Roman"/>
          <w:i/>
          <w:iCs/>
        </w:rPr>
        <w:t>Band power graph</w:t>
      </w:r>
    </w:p>
    <w:p w14:paraId="3F678D23" w14:textId="4F1B5D10" w:rsidR="008417EA" w:rsidRPr="005459E6" w:rsidRDefault="00392B28" w:rsidP="00042CB0">
      <w:pPr>
        <w:spacing w:line="360" w:lineRule="auto"/>
        <w:jc w:val="both"/>
        <w:rPr>
          <w:rFonts w:ascii="Times New Roman" w:hAnsi="Times New Roman" w:cs="Times New Roman"/>
        </w:rPr>
      </w:pPr>
      <w:r w:rsidRPr="005459E6">
        <w:rPr>
          <w:rFonts w:ascii="Times New Roman" w:hAnsi="Times New Roman" w:cs="Times New Roman"/>
        </w:rPr>
        <w:t>In terms of frequency power, theta (4-8Hz), alpha (8-12Hz), low beta (12-16Hz), high beta (16-25Hz), and gamma (25-45Hz) are the five main frequencies</w:t>
      </w:r>
      <w:r w:rsidR="008417EA" w:rsidRPr="005459E6">
        <w:rPr>
          <w:rFonts w:ascii="Times New Roman" w:hAnsi="Times New Roman" w:cs="Times New Roman"/>
        </w:rPr>
        <w:t xml:space="preserve"> </w:t>
      </w:r>
      <w:r w:rsidRPr="005459E6">
        <w:rPr>
          <w:rFonts w:ascii="Times New Roman" w:hAnsi="Times New Roman" w:cs="Times New Roman"/>
        </w:rPr>
        <w:t>(</w:t>
      </w:r>
      <w:r w:rsidR="008417EA" w:rsidRPr="005459E6">
        <w:rPr>
          <w:rFonts w:ascii="Times New Roman" w:hAnsi="Times New Roman" w:cs="Times New Roman"/>
        </w:rPr>
        <w:t>for</w:t>
      </w:r>
      <w:r w:rsidRPr="005459E6">
        <w:rPr>
          <w:rFonts w:ascii="Times New Roman" w:hAnsi="Times New Roman" w:cs="Times New Roman"/>
        </w:rPr>
        <w:t xml:space="preserve"> </w:t>
      </w:r>
      <w:r w:rsidR="008417EA" w:rsidRPr="005459E6">
        <w:rPr>
          <w:rFonts w:ascii="Times New Roman" w:hAnsi="Times New Roman" w:cs="Times New Roman"/>
        </w:rPr>
        <w:t xml:space="preserve">the </w:t>
      </w:r>
      <w:r w:rsidRPr="005459E6">
        <w:rPr>
          <w:rFonts w:ascii="Times New Roman" w:hAnsi="Times New Roman" w:cs="Times New Roman"/>
        </w:rPr>
        <w:t xml:space="preserve">selected </w:t>
      </w:r>
      <w:r w:rsidR="003C7B00" w:rsidRPr="005459E6">
        <w:rPr>
          <w:rFonts w:ascii="Times New Roman" w:hAnsi="Times New Roman" w:cs="Times New Roman"/>
        </w:rPr>
        <w:t>channel)</w:t>
      </w:r>
      <w:r w:rsidRPr="005459E6">
        <w:rPr>
          <w:rFonts w:ascii="Times New Roman" w:hAnsi="Times New Roman" w:cs="Times New Roman"/>
        </w:rPr>
        <w:t xml:space="preserve"> </w:t>
      </w:r>
      <w:r w:rsidR="0016119D" w:rsidRPr="005459E6">
        <w:rPr>
          <w:rFonts w:ascii="Times New Roman" w:hAnsi="Times New Roman" w:cs="Times New Roman"/>
        </w:rPr>
        <w:t>that are</w:t>
      </w:r>
      <w:r w:rsidR="008417EA" w:rsidRPr="005459E6">
        <w:rPr>
          <w:rFonts w:ascii="Times New Roman" w:hAnsi="Times New Roman" w:cs="Times New Roman"/>
        </w:rPr>
        <w:t xml:space="preserve"> displayed in the bottom graph, which is a bar graph. The controls on the </w:t>
      </w:r>
      <w:r w:rsidR="00C30249" w:rsidRPr="005459E6">
        <w:rPr>
          <w:rFonts w:ascii="Times New Roman" w:hAnsi="Times New Roman" w:cs="Times New Roman"/>
        </w:rPr>
        <w:t>bottom left</w:t>
      </w:r>
      <w:r w:rsidR="008417EA" w:rsidRPr="005459E6">
        <w:rPr>
          <w:rFonts w:ascii="Times New Roman" w:hAnsi="Times New Roman" w:cs="Times New Roman"/>
        </w:rPr>
        <w:t xml:space="preserve"> side of the display can be used to change the following parameters.</w:t>
      </w:r>
    </w:p>
    <w:p w14:paraId="2EC9EC7E" w14:textId="696E16A4"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Pmax and Pmin</w:t>
      </w:r>
      <w:r w:rsidRPr="005459E6">
        <w:rPr>
          <w:rFonts w:ascii="Times New Roman" w:hAnsi="Times New Roman" w:cs="Times New Roman"/>
        </w:rPr>
        <w:t xml:space="preserve"> - adjust the maximum and minimum amplitude for the y-axis.</w:t>
      </w:r>
    </w:p>
    <w:p w14:paraId="138274FE" w14:textId="77777777" w:rsidR="004D7E4A" w:rsidRPr="005459E6" w:rsidRDefault="004D7E4A" w:rsidP="00042CB0">
      <w:pPr>
        <w:spacing w:line="360" w:lineRule="auto"/>
        <w:ind w:left="720"/>
        <w:jc w:val="both"/>
        <w:rPr>
          <w:rFonts w:ascii="Times New Roman" w:hAnsi="Times New Roman" w:cs="Times New Roman"/>
        </w:rPr>
      </w:pPr>
      <w:r w:rsidRPr="005459E6">
        <w:rPr>
          <w:rFonts w:ascii="Times New Roman" w:hAnsi="Times New Roman" w:cs="Times New Roman"/>
          <w:b/>
          <w:bCs/>
        </w:rPr>
        <w:t>Autoscale</w:t>
      </w:r>
      <w:r w:rsidRPr="005459E6">
        <w:rPr>
          <w:rFonts w:ascii="Times New Roman" w:hAnsi="Times New Roman" w:cs="Times New Roman"/>
        </w:rPr>
        <w:t xml:space="preserve"> - automatically scale the data to fit the max value on the y-axis and update the y-axis appropriately.</w:t>
      </w:r>
    </w:p>
    <w:p w14:paraId="0ECEF83D" w14:textId="77777777" w:rsidR="004D7E4A" w:rsidRPr="005459E6" w:rsidRDefault="004D7E4A" w:rsidP="00042CB0">
      <w:pPr>
        <w:pStyle w:val="Titolo3"/>
        <w:spacing w:line="360" w:lineRule="auto"/>
        <w:jc w:val="both"/>
        <w:rPr>
          <w:rFonts w:ascii="Times New Roman" w:hAnsi="Times New Roman" w:cs="Times New Roman"/>
          <w:color w:val="auto"/>
        </w:rPr>
      </w:pPr>
      <w:bookmarkStart w:id="242" w:name="_Toc73129019"/>
      <w:bookmarkStart w:id="243" w:name="_Toc85542435"/>
      <w:bookmarkStart w:id="244" w:name="_Toc87349518"/>
      <w:bookmarkStart w:id="245" w:name="_Toc87349631"/>
      <w:bookmarkStart w:id="246" w:name="_Toc87349738"/>
      <w:bookmarkStart w:id="247" w:name="_Toc107248309"/>
      <w:r w:rsidRPr="005459E6">
        <w:rPr>
          <w:rFonts w:ascii="Times New Roman" w:hAnsi="Times New Roman" w:cs="Times New Roman"/>
          <w:color w:val="auto"/>
        </w:rPr>
        <w:lastRenderedPageBreak/>
        <w:t>Brainwaves &amp; Frequency bands</w:t>
      </w:r>
      <w:bookmarkEnd w:id="242"/>
      <w:bookmarkEnd w:id="243"/>
      <w:bookmarkEnd w:id="244"/>
      <w:bookmarkEnd w:id="245"/>
      <w:bookmarkEnd w:id="246"/>
      <w:bookmarkEnd w:id="247"/>
    </w:p>
    <w:p w14:paraId="0F33F680" w14:textId="45FB83FA" w:rsidR="008417EA" w:rsidRPr="005459E6" w:rsidRDefault="008417EA" w:rsidP="00042CB0">
      <w:pPr>
        <w:autoSpaceDE w:val="0"/>
        <w:autoSpaceDN w:val="0"/>
        <w:adjustRightInd w:val="0"/>
        <w:spacing w:after="0" w:line="360" w:lineRule="auto"/>
        <w:jc w:val="both"/>
        <w:rPr>
          <w:rFonts w:ascii="Times New Roman" w:hAnsi="Times New Roman" w:cs="Times New Roman"/>
        </w:rPr>
      </w:pPr>
      <w:r w:rsidRPr="005459E6">
        <w:rPr>
          <w:rFonts w:ascii="Times New Roman" w:hAnsi="Times New Roman" w:cs="Times New Roman"/>
        </w:rPr>
        <w:t xml:space="preserve">Emotiv equipment records brainwaves (EEG) and has modern electronics that are tailored to provide reliable results. It transmits data at a rate of 128 samples per second, allowing for </w:t>
      </w:r>
      <w:r w:rsidR="00C30249" w:rsidRPr="005459E6">
        <w:rPr>
          <w:rFonts w:ascii="Times New Roman" w:hAnsi="Times New Roman" w:cs="Times New Roman"/>
        </w:rPr>
        <w:t xml:space="preserve">an </w:t>
      </w:r>
      <w:r w:rsidRPr="005459E6">
        <w:rPr>
          <w:rFonts w:ascii="Times New Roman" w:hAnsi="Times New Roman" w:cs="Times New Roman"/>
        </w:rPr>
        <w:t xml:space="preserve">in-depth examination of brain activity. With 5 EEG electrodes at AF3, AF4, T7, T8, Pz sites (Refer </w:t>
      </w:r>
      <w:r w:rsidR="002F3062" w:rsidRPr="005459E6">
        <w:rPr>
          <w:rFonts w:ascii="Times New Roman" w:hAnsi="Times New Roman" w:cs="Times New Roman"/>
        </w:rPr>
        <w:t xml:space="preserve">to </w:t>
      </w:r>
      <w:r w:rsidRPr="005459E6">
        <w:rPr>
          <w:rFonts w:ascii="Times New Roman" w:hAnsi="Times New Roman" w:cs="Times New Roman"/>
          <w:b/>
          <w:bCs/>
        </w:rPr>
        <w:t>Figure 1</w:t>
      </w:r>
      <w:r w:rsidR="003777A4" w:rsidRPr="005459E6">
        <w:rPr>
          <w:rFonts w:ascii="Times New Roman" w:hAnsi="Times New Roman" w:cs="Times New Roman"/>
          <w:b/>
          <w:bCs/>
        </w:rPr>
        <w:t>3</w:t>
      </w:r>
      <w:r w:rsidRPr="005459E6">
        <w:rPr>
          <w:rFonts w:ascii="Times New Roman" w:hAnsi="Times New Roman" w:cs="Times New Roman"/>
        </w:rPr>
        <w:t xml:space="preserve">) and </w:t>
      </w:r>
      <w:r w:rsidR="002B4DD8" w:rsidRPr="005459E6">
        <w:rPr>
          <w:rFonts w:ascii="Times New Roman" w:hAnsi="Times New Roman" w:cs="Times New Roman"/>
        </w:rPr>
        <w:t>two</w:t>
      </w:r>
      <w:r w:rsidRPr="005459E6">
        <w:rPr>
          <w:rFonts w:ascii="Times New Roman" w:hAnsi="Times New Roman" w:cs="Times New Roman"/>
        </w:rPr>
        <w:t xml:space="preserve"> reference electrodes, it provides a minimum voltage resolution of 0.51 volts.</w:t>
      </w:r>
    </w:p>
    <w:p w14:paraId="0B460114" w14:textId="77777777" w:rsidR="008417EA" w:rsidRPr="005459E6" w:rsidRDefault="008417EA" w:rsidP="00042CB0">
      <w:pPr>
        <w:autoSpaceDE w:val="0"/>
        <w:autoSpaceDN w:val="0"/>
        <w:adjustRightInd w:val="0"/>
        <w:spacing w:after="0" w:line="360" w:lineRule="auto"/>
        <w:jc w:val="both"/>
        <w:rPr>
          <w:rFonts w:ascii="Times New Roman" w:hAnsi="Times New Roman" w:cs="Times New Roman"/>
        </w:rPr>
      </w:pPr>
    </w:p>
    <w:p w14:paraId="24244292" w14:textId="7841CBCA" w:rsidR="004D7E4A" w:rsidRPr="005459E6" w:rsidRDefault="004D7E4A" w:rsidP="00042CB0">
      <w:pPr>
        <w:autoSpaceDE w:val="0"/>
        <w:autoSpaceDN w:val="0"/>
        <w:adjustRightInd w:val="0"/>
        <w:spacing w:after="0"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55C91FA6" wp14:editId="2B21C73D">
            <wp:extent cx="1924216" cy="2235723"/>
            <wp:effectExtent l="0" t="0" r="0" b="0"/>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7210" t="5564"/>
                    <a:stretch/>
                  </pic:blipFill>
                  <pic:spPr bwMode="auto">
                    <a:xfrm>
                      <a:off x="0" y="0"/>
                      <a:ext cx="1952925" cy="2269080"/>
                    </a:xfrm>
                    <a:prstGeom prst="rect">
                      <a:avLst/>
                    </a:prstGeom>
                    <a:ln>
                      <a:noFill/>
                    </a:ln>
                    <a:extLst>
                      <a:ext uri="{53640926-AAD7-44D8-BBD7-CCE9431645EC}">
                        <a14:shadowObscured xmlns:a14="http://schemas.microsoft.com/office/drawing/2010/main"/>
                      </a:ext>
                    </a:extLst>
                  </pic:spPr>
                </pic:pic>
              </a:graphicData>
            </a:graphic>
          </wp:inline>
        </w:drawing>
      </w:r>
    </w:p>
    <w:p w14:paraId="563F6C71" w14:textId="5021752C" w:rsidR="003661D7" w:rsidRPr="005459E6" w:rsidRDefault="008B5620" w:rsidP="00042CB0">
      <w:pPr>
        <w:pStyle w:val="Didascalia"/>
        <w:spacing w:line="360" w:lineRule="auto"/>
        <w:jc w:val="both"/>
        <w:rPr>
          <w:rFonts w:ascii="Times New Roman" w:hAnsi="Times New Roman" w:cs="Times New Roman"/>
          <w:i w:val="0"/>
          <w:iCs w:val="0"/>
          <w:color w:val="auto"/>
        </w:rPr>
      </w:pPr>
      <w:bookmarkStart w:id="248" w:name="_Toc96343307"/>
      <w:bookmarkStart w:id="249" w:name="_Toc99915982"/>
      <w:bookmarkStart w:id="250" w:name="_Toc104968799"/>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13</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 Sensor (Electrode’s) position</w:t>
      </w:r>
      <w:bookmarkEnd w:id="248"/>
      <w:bookmarkEnd w:id="249"/>
      <w:bookmarkEnd w:id="250"/>
    </w:p>
    <w:p w14:paraId="017B012D" w14:textId="6C267329" w:rsidR="004D7E4A" w:rsidRPr="005459E6" w:rsidRDefault="008417EA" w:rsidP="00042CB0">
      <w:pPr>
        <w:spacing w:line="360" w:lineRule="auto"/>
        <w:jc w:val="both"/>
        <w:rPr>
          <w:rFonts w:ascii="Times New Roman" w:hAnsi="Times New Roman" w:cs="Times New Roman"/>
          <w:lang w:val="en-IN"/>
        </w:rPr>
      </w:pPr>
      <w:r w:rsidRPr="005459E6">
        <w:rPr>
          <w:rFonts w:ascii="Times New Roman" w:hAnsi="Times New Roman" w:cs="Times New Roman"/>
          <w:noProof/>
          <w:lang w:val="en-IN"/>
        </w:rPr>
        <mc:AlternateContent>
          <mc:Choice Requires="wps">
            <w:drawing>
              <wp:anchor distT="45720" distB="45720" distL="114300" distR="114300" simplePos="0" relativeHeight="251646464" behindDoc="0" locked="0" layoutInCell="1" allowOverlap="1" wp14:anchorId="0B6E2C40" wp14:editId="76AF457A">
                <wp:simplePos x="0" y="0"/>
                <wp:positionH relativeFrom="column">
                  <wp:posOffset>2733675</wp:posOffset>
                </wp:positionH>
                <wp:positionV relativeFrom="paragraph">
                  <wp:posOffset>1832398</wp:posOffset>
                </wp:positionV>
                <wp:extent cx="845820" cy="2819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81940"/>
                        </a:xfrm>
                        <a:prstGeom prst="rect">
                          <a:avLst/>
                        </a:prstGeom>
                        <a:solidFill>
                          <a:schemeClr val="tx1"/>
                        </a:solidFill>
                        <a:ln w="9525">
                          <a:solidFill>
                            <a:schemeClr val="tx1"/>
                          </a:solidFill>
                          <a:miter lim="800000"/>
                          <a:headEnd/>
                          <a:tailEnd/>
                        </a:ln>
                      </wps:spPr>
                      <wps:txbx>
                        <w:txbxContent>
                          <w:p w14:paraId="4C6A2550" w14:textId="77777777" w:rsidR="004D7E4A" w:rsidRPr="004C416E" w:rsidRDefault="004D7E4A" w:rsidP="004D7E4A">
                            <w:pPr>
                              <w:rPr>
                                <w:rFonts w:ascii="Garamond" w:hAnsi="Garamond"/>
                                <w:b/>
                                <w:bCs/>
                              </w:rPr>
                            </w:pPr>
                            <w:r w:rsidRPr="004C416E">
                              <w:rPr>
                                <w:rFonts w:ascii="Garamond" w:hAnsi="Garamond"/>
                                <w:b/>
                                <w:bCs/>
                              </w:rPr>
                              <w:t>Electrodes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E2C40" id="_x0000_t202" coordsize="21600,21600" o:spt="202" path="m,l,21600r21600,l21600,xe">
                <v:stroke joinstyle="miter"/>
                <v:path gradientshapeok="t" o:connecttype="rect"/>
              </v:shapetype>
              <v:shape id="Text Box 2" o:spid="_x0000_s1026" type="#_x0000_t202" style="position:absolute;left:0;text-align:left;margin-left:215.25pt;margin-top:144.3pt;width:66.6pt;height:22.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" fillcolor="black [3213]" strokecolor="black [3213]">
                <v:textbox>
                  <w:txbxContent>
                    <w:p w14:paraId="4C6A2550" w14:textId="77777777" w:rsidR="004D7E4A" w:rsidRPr="004C416E" w:rsidRDefault="004D7E4A" w:rsidP="004D7E4A">
                      <w:pPr>
                        <w:rPr>
                          <w:rFonts w:ascii="Garamond" w:hAnsi="Garamond"/>
                          <w:b/>
                          <w:bCs/>
                        </w:rPr>
                      </w:pPr>
                      <w:r w:rsidRPr="004C416E">
                        <w:rPr>
                          <w:rFonts w:ascii="Garamond" w:hAnsi="Garamond"/>
                          <w:b/>
                          <w:bCs/>
                        </w:rPr>
                        <w:t>Electrodes</w:t>
                      </w:r>
                    </w:p>
                  </w:txbxContent>
                </v:textbox>
                <w10:wrap type="square"/>
              </v:shape>
            </w:pict>
          </mc:Fallback>
        </mc:AlternateContent>
      </w:r>
      <w:r w:rsidRPr="005459E6">
        <w:rPr>
          <w:rFonts w:ascii="Times New Roman" w:hAnsi="Times New Roman" w:cs="Times New Roman"/>
          <w:b/>
          <w:bCs/>
        </w:rPr>
        <w:t>Figure 1</w:t>
      </w:r>
      <w:r w:rsidR="003777A4" w:rsidRPr="005459E6">
        <w:rPr>
          <w:rFonts w:ascii="Times New Roman" w:hAnsi="Times New Roman" w:cs="Times New Roman"/>
          <w:b/>
          <w:bCs/>
        </w:rPr>
        <w:t>4</w:t>
      </w:r>
      <w:r w:rsidRPr="005459E6">
        <w:rPr>
          <w:rFonts w:ascii="Times New Roman" w:hAnsi="Times New Roman" w:cs="Times New Roman"/>
          <w:b/>
          <w:bCs/>
        </w:rPr>
        <w:t xml:space="preserve"> </w:t>
      </w:r>
      <w:r w:rsidRPr="005459E6">
        <w:rPr>
          <w:rFonts w:ascii="Times New Roman" w:hAnsi="Times New Roman" w:cs="Times New Roman"/>
        </w:rPr>
        <w:t>depicts the headset, with the five electrodes marked for reference. For quantization, the device uses 14 bits, where Two bits of instrumental noise are deleted during the 16-bit analog to digital conversion (ADC). The device can be seen placed on the left mastoid bone as reference electrodes.</w:t>
      </w:r>
      <w:r w:rsidR="004D7E4A" w:rsidRPr="005459E6">
        <w:rPr>
          <w:rFonts w:ascii="Times New Roman" w:hAnsi="Times New Roman" w:cs="Times New Roman"/>
          <w:noProof/>
          <w:lang w:val="en-IN"/>
        </w:rPr>
        <w:drawing>
          <wp:inline distT="0" distB="0" distL="0" distR="0" wp14:anchorId="681FBDE0" wp14:editId="53143EA7">
            <wp:extent cx="2603541" cy="2480733"/>
            <wp:effectExtent l="0" t="0" r="635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rotWithShape="1">
                    <a:blip r:embed="rId24">
                      <a:extLst>
                        <a:ext uri="{28A0092B-C50C-407E-A947-70E740481C1C}">
                          <a14:useLocalDpi xmlns:a14="http://schemas.microsoft.com/office/drawing/2010/main" val="0"/>
                        </a:ext>
                      </a:extLst>
                    </a:blip>
                    <a:srcRect t="13860"/>
                    <a:stretch/>
                  </pic:blipFill>
                  <pic:spPr bwMode="auto">
                    <a:xfrm>
                      <a:off x="0" y="0"/>
                      <a:ext cx="2603541" cy="2480733"/>
                    </a:xfrm>
                    <a:prstGeom prst="rect">
                      <a:avLst/>
                    </a:prstGeom>
                    <a:ln>
                      <a:noFill/>
                    </a:ln>
                    <a:extLst>
                      <a:ext uri="{53640926-AAD7-44D8-BBD7-CCE9431645EC}">
                        <a14:shadowObscured xmlns:a14="http://schemas.microsoft.com/office/drawing/2010/main"/>
                      </a:ext>
                    </a:extLst>
                  </pic:spPr>
                </pic:pic>
              </a:graphicData>
            </a:graphic>
          </wp:inline>
        </w:drawing>
      </w:r>
    </w:p>
    <w:p w14:paraId="66E8CBFA" w14:textId="34A35B77" w:rsidR="004D7E4A" w:rsidRPr="005459E6" w:rsidRDefault="004D7E4A" w:rsidP="00042CB0">
      <w:pPr>
        <w:pStyle w:val="Sommario1"/>
        <w:keepNext/>
        <w:rPr>
          <w:rFonts w:ascii="Times New Roman" w:hAnsi="Times New Roman" w:cs="Times New Roman"/>
        </w:rPr>
      </w:pPr>
    </w:p>
    <w:p w14:paraId="783F2FD2" w14:textId="06016E17" w:rsidR="008B5620" w:rsidRPr="005459E6" w:rsidRDefault="008B5620" w:rsidP="00042CB0">
      <w:pPr>
        <w:pStyle w:val="Didascalia"/>
        <w:spacing w:line="360" w:lineRule="auto"/>
        <w:jc w:val="both"/>
        <w:rPr>
          <w:rFonts w:ascii="Times New Roman" w:hAnsi="Times New Roman" w:cs="Times New Roman"/>
          <w:i w:val="0"/>
          <w:iCs w:val="0"/>
          <w:color w:val="auto"/>
          <w:sz w:val="22"/>
          <w:szCs w:val="22"/>
        </w:rPr>
      </w:pPr>
      <w:bookmarkStart w:id="251" w:name="_Toc96343308"/>
      <w:bookmarkStart w:id="252" w:name="_Toc99915983"/>
      <w:bookmarkStart w:id="253" w:name="_Toc104968800"/>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14</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 Electrodes marked at positions AF3, AF4, T7, T8, and Pz</w:t>
      </w:r>
      <w:bookmarkEnd w:id="251"/>
      <w:bookmarkEnd w:id="252"/>
      <w:bookmarkEnd w:id="253"/>
    </w:p>
    <w:p w14:paraId="5F2727CB" w14:textId="46BCC58D" w:rsidR="001F6CF6" w:rsidRPr="005459E6" w:rsidRDefault="001F6CF6" w:rsidP="001F6CF6">
      <w:pPr>
        <w:spacing w:line="360" w:lineRule="auto"/>
        <w:jc w:val="both"/>
        <w:rPr>
          <w:rFonts w:ascii="Times New Roman" w:hAnsi="Times New Roman" w:cs="Times New Roman"/>
        </w:rPr>
      </w:pPr>
      <w:r w:rsidRPr="005459E6">
        <w:rPr>
          <w:rFonts w:ascii="Times New Roman" w:hAnsi="Times New Roman" w:cs="Times New Roman"/>
        </w:rPr>
        <w:lastRenderedPageBreak/>
        <w:t>There are billions of trillions of connections in the brain, and each interaction occurs at its rate. EEG observations can only be made when numerous neurons in the same location operate as part of a large-scale activity that is indicative of a specific type of attribute (such as happiness or excitement); as a result, BCI frequently detect</w:t>
      </w:r>
      <w:r w:rsidR="001D4C97" w:rsidRPr="005459E6">
        <w:rPr>
          <w:rFonts w:ascii="Times New Roman" w:hAnsi="Times New Roman" w:cs="Times New Roman"/>
        </w:rPr>
        <w:t>s</w:t>
      </w:r>
      <w:r w:rsidRPr="005459E6">
        <w:rPr>
          <w:rFonts w:ascii="Times New Roman" w:hAnsi="Times New Roman" w:cs="Times New Roman"/>
        </w:rPr>
        <w:t xml:space="preserve"> significant activity on multiple frequency bands at the same time. The rate at which information is processed in the brain and how it interacts with other brain regions can be examined by using several frequency bands that are commonly used to explain observations of brain activity.</w:t>
      </w:r>
    </w:p>
    <w:p w14:paraId="35695CB6" w14:textId="4F8E6038" w:rsidR="00364EC6" w:rsidRPr="005459E6" w:rsidRDefault="00364EC6" w:rsidP="00364EC6">
      <w:pPr>
        <w:spacing w:line="360" w:lineRule="auto"/>
        <w:jc w:val="both"/>
        <w:rPr>
          <w:rFonts w:ascii="Times New Roman" w:hAnsi="Times New Roman" w:cs="Times New Roman"/>
        </w:rPr>
      </w:pPr>
      <w:r w:rsidRPr="005459E6">
        <w:rPr>
          <w:rFonts w:ascii="Times New Roman" w:hAnsi="Times New Roman" w:cs="Times New Roman"/>
        </w:rPr>
        <w:t xml:space="preserve">The frequency of interactions, as well as the precise location of the activity, can be used to identify brain function. Although Emotiv's detection suites are driven by activity in many areas of the brain, including frequency bands, as per </w:t>
      </w:r>
      <w:r w:rsidRPr="005459E6">
        <w:rPr>
          <w:rFonts w:ascii="Times New Roman" w:hAnsi="Times New Roman" w:cs="Times New Roman"/>
        </w:rPr>
        <w:fldChar w:fldCharType="begin" w:fldLock="1"/>
      </w:r>
      <w:r w:rsidR="00980576" w:rsidRPr="005459E6">
        <w:rPr>
          <w:rFonts w:ascii="Times New Roman" w:hAnsi="Times New Roman" w:cs="Times New Roman"/>
        </w:rPr>
        <w:instrText>ADDIN CSL_CITATION {"citationItems":[{"id":"ITEM-1","itemData":{"URL":"https://www.emotiv.com/knowledge-base/frequency-bands-what-are-they-and-how-do-i-access-them/","accessed":{"date-parts":[["2021","3","22"]]},"author":[{"dropping-particle":"","family":"Andrew","given":"Cassidy","non-dropping-particle":"","parse-names":false,"suffix":""}],"container-title":"Emotiv","id":"ITEM-1","issued":{"date-parts":[["2018"]]},"title":"Frequency Bands – What Are They And How Do I Access Them?","type":"webpage"},"uris":["http://www.mendeley.com/documents/?uuid=f204d648-e474-48dd-8089-55fbcf515e44"]}],"mendeley":{"formattedCitation":"(Andrew, 2018)","manualFormatting":"Andrew (2018)","plainTextFormattedCitation":"(Andrew, 2018)","previouslyFormattedCitation":"(Andrew,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Andrew (2018)</w:t>
      </w:r>
      <w:r w:rsidRPr="005459E6">
        <w:rPr>
          <w:rFonts w:ascii="Times New Roman" w:hAnsi="Times New Roman" w:cs="Times New Roman"/>
        </w:rPr>
        <w:fldChar w:fldCharType="end"/>
      </w:r>
      <w:r w:rsidRPr="005459E6">
        <w:rPr>
          <w:rFonts w:ascii="Times New Roman" w:hAnsi="Times New Roman" w:cs="Times New Roman"/>
        </w:rPr>
        <w:t xml:space="preserve"> most EEG researchers rely on the band activity described below -</w:t>
      </w:r>
    </w:p>
    <w:p w14:paraId="0BCE1850" w14:textId="77777777" w:rsidR="003E7AF2" w:rsidRPr="005459E6" w:rsidRDefault="003E7AF2" w:rsidP="00042CB0">
      <w:pPr>
        <w:spacing w:line="360" w:lineRule="auto"/>
        <w:ind w:left="720"/>
        <w:jc w:val="both"/>
        <w:rPr>
          <w:rFonts w:ascii="Times New Roman" w:hAnsi="Times New Roman" w:cs="Times New Roman"/>
        </w:rPr>
      </w:pPr>
    </w:p>
    <w:p w14:paraId="73896E3F" w14:textId="7257CBDB" w:rsidR="00C61AC1" w:rsidRPr="005459E6" w:rsidRDefault="003E7AF2" w:rsidP="00AC2FAE">
      <w:pPr>
        <w:pStyle w:val="Paragrafoelenco"/>
        <w:numPr>
          <w:ilvl w:val="0"/>
          <w:numId w:val="24"/>
        </w:numPr>
        <w:spacing w:line="360" w:lineRule="auto"/>
        <w:jc w:val="both"/>
        <w:rPr>
          <w:rFonts w:ascii="Times New Roman" w:hAnsi="Times New Roman" w:cs="Times New Roman"/>
          <w:sz w:val="22"/>
          <w:szCs w:val="22"/>
        </w:rPr>
      </w:pPr>
      <w:r w:rsidRPr="005459E6">
        <w:rPr>
          <w:rFonts w:ascii="Times New Roman" w:hAnsi="Times New Roman" w:cs="Times New Roman"/>
          <w:b/>
          <w:bCs/>
          <w:sz w:val="22"/>
          <w:szCs w:val="22"/>
        </w:rPr>
        <w:t>Theta</w:t>
      </w:r>
      <w:r w:rsidR="00197276" w:rsidRPr="005459E6">
        <w:rPr>
          <w:rFonts w:ascii="Times New Roman" w:hAnsi="Times New Roman" w:cs="Times New Roman"/>
          <w:b/>
          <w:bCs/>
          <w:sz w:val="22"/>
          <w:szCs w:val="22"/>
        </w:rPr>
        <w:t xml:space="preserve"> waves</w:t>
      </w:r>
      <w:r w:rsidRPr="005459E6">
        <w:rPr>
          <w:rFonts w:ascii="Times New Roman" w:hAnsi="Times New Roman" w:cs="Times New Roman"/>
          <w:b/>
          <w:bCs/>
          <w:sz w:val="22"/>
          <w:szCs w:val="22"/>
        </w:rPr>
        <w:t xml:space="preserve"> (4–8 Hz): </w:t>
      </w:r>
      <w:r w:rsidR="00C61AC1" w:rsidRPr="005459E6">
        <w:rPr>
          <w:rFonts w:ascii="Times New Roman" w:hAnsi="Times New Roman" w:cs="Times New Roman"/>
          <w:sz w:val="22"/>
          <w:szCs w:val="22"/>
        </w:rPr>
        <w:t xml:space="preserve"> Theta activity includes drowsiness, arousal, and meditation. There is a strong relationship between dominant Theta activity and memory recall, flow, meditative states, and creative states.</w:t>
      </w:r>
    </w:p>
    <w:p w14:paraId="0BA45223" w14:textId="77777777" w:rsidR="00B970FD" w:rsidRPr="005459E6" w:rsidRDefault="00B970FD" w:rsidP="00042CB0">
      <w:pPr>
        <w:pStyle w:val="Paragrafoelenco"/>
        <w:spacing w:line="360" w:lineRule="auto"/>
        <w:ind w:left="1440"/>
        <w:jc w:val="both"/>
        <w:rPr>
          <w:rFonts w:ascii="Times New Roman" w:hAnsi="Times New Roman" w:cs="Times New Roman"/>
          <w:sz w:val="22"/>
          <w:szCs w:val="22"/>
        </w:rPr>
      </w:pPr>
    </w:p>
    <w:p w14:paraId="188AEEAD" w14:textId="1A32AFF1" w:rsidR="00197276" w:rsidRPr="005459E6" w:rsidRDefault="003E7AF2" w:rsidP="00042CB0">
      <w:pPr>
        <w:pStyle w:val="Paragrafoelenco"/>
        <w:numPr>
          <w:ilvl w:val="0"/>
          <w:numId w:val="24"/>
        </w:numPr>
        <w:spacing w:line="360" w:lineRule="auto"/>
        <w:jc w:val="both"/>
        <w:rPr>
          <w:rFonts w:ascii="Times New Roman" w:hAnsi="Times New Roman" w:cs="Times New Roman"/>
          <w:sz w:val="22"/>
          <w:szCs w:val="22"/>
        </w:rPr>
      </w:pPr>
      <w:r w:rsidRPr="005459E6">
        <w:rPr>
          <w:rFonts w:ascii="Times New Roman" w:hAnsi="Times New Roman" w:cs="Times New Roman"/>
          <w:b/>
          <w:bCs/>
          <w:sz w:val="22"/>
          <w:szCs w:val="22"/>
        </w:rPr>
        <w:t xml:space="preserve">Alpha waves (8–12 Hz): </w:t>
      </w:r>
      <w:r w:rsidR="00AC2FAE" w:rsidRPr="005459E6">
        <w:rPr>
          <w:rFonts w:ascii="Times New Roman" w:hAnsi="Times New Roman" w:cs="Times New Roman"/>
          <w:sz w:val="22"/>
          <w:szCs w:val="22"/>
        </w:rPr>
        <w:t xml:space="preserve">The brain's default ‘relaxed’ and ‘alert’ state is represented by Alpha waves. When people are closed-eyed, high Alpha values are common in the rear channels (occipital and parietal sensors), which indicates that the visual processing system may not be actively engaged but is ready to receive information.  </w:t>
      </w:r>
    </w:p>
    <w:p w14:paraId="3E77E570" w14:textId="77777777" w:rsidR="00B970FD" w:rsidRPr="005459E6" w:rsidRDefault="00B970FD" w:rsidP="00042CB0">
      <w:pPr>
        <w:pStyle w:val="Paragrafoelenco"/>
        <w:spacing w:line="360" w:lineRule="auto"/>
        <w:ind w:left="1440"/>
        <w:jc w:val="both"/>
        <w:rPr>
          <w:rFonts w:ascii="Times New Roman" w:hAnsi="Times New Roman" w:cs="Times New Roman"/>
          <w:b/>
          <w:bCs/>
          <w:sz w:val="22"/>
          <w:szCs w:val="22"/>
        </w:rPr>
      </w:pPr>
    </w:p>
    <w:p w14:paraId="40565232" w14:textId="644873DF" w:rsidR="00CF1EE5" w:rsidRPr="005459E6" w:rsidRDefault="00197276" w:rsidP="00042CB0">
      <w:pPr>
        <w:pStyle w:val="Paragrafoelenco"/>
        <w:numPr>
          <w:ilvl w:val="0"/>
          <w:numId w:val="24"/>
        </w:numPr>
        <w:spacing w:line="360" w:lineRule="auto"/>
        <w:jc w:val="both"/>
        <w:rPr>
          <w:rFonts w:ascii="Times New Roman" w:hAnsi="Times New Roman" w:cs="Times New Roman"/>
          <w:b/>
          <w:bCs/>
          <w:sz w:val="22"/>
          <w:szCs w:val="22"/>
        </w:rPr>
      </w:pPr>
      <w:r w:rsidRPr="005459E6">
        <w:rPr>
          <w:rFonts w:ascii="Times New Roman" w:hAnsi="Times New Roman" w:cs="Times New Roman"/>
          <w:b/>
          <w:bCs/>
          <w:sz w:val="22"/>
          <w:szCs w:val="22"/>
        </w:rPr>
        <w:t xml:space="preserve">Beta waves </w:t>
      </w:r>
      <w:r w:rsidR="000304CD" w:rsidRPr="005459E6">
        <w:rPr>
          <w:rFonts w:ascii="Times New Roman" w:hAnsi="Times New Roman" w:cs="Times New Roman"/>
          <w:b/>
          <w:bCs/>
          <w:sz w:val="22"/>
          <w:szCs w:val="22"/>
        </w:rPr>
        <w:t xml:space="preserve">(12–25Hz): </w:t>
      </w:r>
      <w:r w:rsidR="005920A5" w:rsidRPr="005459E6">
        <w:rPr>
          <w:rFonts w:ascii="Times New Roman" w:hAnsi="Times New Roman" w:cs="Times New Roman"/>
          <w:sz w:val="22"/>
          <w:szCs w:val="22"/>
        </w:rPr>
        <w:t xml:space="preserve">Active attention, thinking, and activity of various types are considered to be associated with </w:t>
      </w:r>
      <w:r w:rsidR="00F42435" w:rsidRPr="005459E6">
        <w:rPr>
          <w:rFonts w:ascii="Times New Roman" w:hAnsi="Times New Roman" w:cs="Times New Roman"/>
          <w:sz w:val="22"/>
          <w:szCs w:val="22"/>
        </w:rPr>
        <w:t xml:space="preserve">a </w:t>
      </w:r>
      <w:r w:rsidR="005920A5" w:rsidRPr="005459E6">
        <w:rPr>
          <w:rFonts w:ascii="Times New Roman" w:hAnsi="Times New Roman" w:cs="Times New Roman"/>
          <w:sz w:val="22"/>
          <w:szCs w:val="22"/>
        </w:rPr>
        <w:t>beta, including energy, task</w:t>
      </w:r>
      <w:r w:rsidR="001D4C97" w:rsidRPr="005459E6">
        <w:rPr>
          <w:rFonts w:ascii="Times New Roman" w:hAnsi="Times New Roman" w:cs="Times New Roman"/>
          <w:sz w:val="22"/>
          <w:szCs w:val="22"/>
        </w:rPr>
        <w:t xml:space="preserve"> </w:t>
      </w:r>
      <w:r w:rsidR="005920A5" w:rsidRPr="005459E6">
        <w:rPr>
          <w:rFonts w:ascii="Times New Roman" w:hAnsi="Times New Roman" w:cs="Times New Roman"/>
          <w:sz w:val="22"/>
          <w:szCs w:val="22"/>
        </w:rPr>
        <w:t>orientation, busyness, and worry. Using Brain Computer Interface, we can access two beta sub-bands: 12-18Hz and 18-25Hz, allowing you to better understand the strength and type of processing.</w:t>
      </w:r>
    </w:p>
    <w:p w14:paraId="443C09B3" w14:textId="77777777" w:rsidR="00B970FD" w:rsidRPr="005459E6" w:rsidRDefault="00B970FD" w:rsidP="00042CB0">
      <w:pPr>
        <w:pStyle w:val="Paragrafoelenco"/>
        <w:spacing w:line="360" w:lineRule="auto"/>
        <w:ind w:left="1440"/>
        <w:jc w:val="both"/>
        <w:rPr>
          <w:rFonts w:ascii="Times New Roman" w:hAnsi="Times New Roman" w:cs="Times New Roman"/>
          <w:sz w:val="22"/>
          <w:szCs w:val="22"/>
        </w:rPr>
      </w:pPr>
    </w:p>
    <w:p w14:paraId="20E6031F" w14:textId="7D8FF73B" w:rsidR="00E64FA9" w:rsidRPr="005459E6" w:rsidRDefault="000304CD" w:rsidP="00042CB0">
      <w:pPr>
        <w:pStyle w:val="Paragrafoelenco"/>
        <w:numPr>
          <w:ilvl w:val="0"/>
          <w:numId w:val="24"/>
        </w:numPr>
        <w:spacing w:line="360" w:lineRule="auto"/>
        <w:jc w:val="both"/>
        <w:rPr>
          <w:rFonts w:ascii="Times New Roman" w:hAnsi="Times New Roman" w:cs="Times New Roman"/>
          <w:sz w:val="22"/>
          <w:szCs w:val="22"/>
        </w:rPr>
      </w:pPr>
      <w:r w:rsidRPr="005459E6">
        <w:rPr>
          <w:rFonts w:ascii="Times New Roman" w:hAnsi="Times New Roman" w:cs="Times New Roman"/>
          <w:b/>
          <w:bCs/>
          <w:sz w:val="22"/>
          <w:szCs w:val="22"/>
        </w:rPr>
        <w:t xml:space="preserve">Gamma </w:t>
      </w:r>
      <w:r w:rsidR="00197276" w:rsidRPr="005459E6">
        <w:rPr>
          <w:rFonts w:ascii="Times New Roman" w:hAnsi="Times New Roman" w:cs="Times New Roman"/>
          <w:b/>
          <w:bCs/>
          <w:sz w:val="22"/>
          <w:szCs w:val="22"/>
        </w:rPr>
        <w:t xml:space="preserve">waves </w:t>
      </w:r>
      <w:r w:rsidRPr="005459E6">
        <w:rPr>
          <w:rFonts w:ascii="Times New Roman" w:hAnsi="Times New Roman" w:cs="Times New Roman"/>
          <w:b/>
          <w:bCs/>
          <w:sz w:val="22"/>
          <w:szCs w:val="22"/>
        </w:rPr>
        <w:t xml:space="preserve">(more than 25Hz): </w:t>
      </w:r>
      <w:r w:rsidR="00471431" w:rsidRPr="005459E6">
        <w:rPr>
          <w:rFonts w:ascii="Times New Roman" w:hAnsi="Times New Roman" w:cs="Times New Roman"/>
          <w:sz w:val="22"/>
          <w:szCs w:val="22"/>
        </w:rPr>
        <w:t>When diverse populations of neurons collaborate to perform complex cognitive or motor tasks, Gamma rhythms emerge.  During fight-or-flight reactions or when switching tasks during multitasking, Gamma waves are predominantly seen in the frontal areas.  The Gamma waveform also appear</w:t>
      </w:r>
      <w:r w:rsidR="001D4C97" w:rsidRPr="005459E6">
        <w:rPr>
          <w:rFonts w:ascii="Times New Roman" w:hAnsi="Times New Roman" w:cs="Times New Roman"/>
          <w:sz w:val="22"/>
          <w:szCs w:val="22"/>
        </w:rPr>
        <w:t>s</w:t>
      </w:r>
      <w:r w:rsidR="00471431" w:rsidRPr="005459E6">
        <w:rPr>
          <w:rFonts w:ascii="Times New Roman" w:hAnsi="Times New Roman" w:cs="Times New Roman"/>
          <w:sz w:val="22"/>
          <w:szCs w:val="22"/>
        </w:rPr>
        <w:t xml:space="preserve"> when a task is archived in short-term memory and a new task is retrieved for a 'concurrent' process while switching tasks.</w:t>
      </w:r>
    </w:p>
    <w:p w14:paraId="2CE46886" w14:textId="0DAD9456" w:rsidR="004D7E4A" w:rsidRPr="005459E6" w:rsidRDefault="004D7E4A" w:rsidP="00042CB0">
      <w:pPr>
        <w:pStyle w:val="Titolo3"/>
        <w:spacing w:line="360" w:lineRule="auto"/>
        <w:jc w:val="both"/>
        <w:rPr>
          <w:rFonts w:ascii="Times New Roman" w:hAnsi="Times New Roman" w:cs="Times New Roman"/>
          <w:color w:val="auto"/>
          <w:sz w:val="22"/>
          <w:szCs w:val="22"/>
        </w:rPr>
      </w:pPr>
      <w:bookmarkStart w:id="254" w:name="_Toc107248310"/>
      <w:r w:rsidRPr="005459E6">
        <w:rPr>
          <w:rFonts w:ascii="Times New Roman" w:hAnsi="Times New Roman" w:cs="Times New Roman"/>
          <w:color w:val="auto"/>
          <w:sz w:val="22"/>
          <w:szCs w:val="22"/>
        </w:rPr>
        <w:lastRenderedPageBreak/>
        <w:t>Emotional States</w:t>
      </w:r>
      <w:bookmarkEnd w:id="254"/>
    </w:p>
    <w:p w14:paraId="2DE496B8" w14:textId="77777777" w:rsidR="006954C9" w:rsidRPr="005459E6" w:rsidRDefault="006954C9" w:rsidP="00042CB0">
      <w:pPr>
        <w:spacing w:line="360" w:lineRule="auto"/>
        <w:jc w:val="both"/>
        <w:rPr>
          <w:rFonts w:ascii="Times New Roman" w:hAnsi="Times New Roman" w:cs="Times New Roman"/>
          <w:szCs w:val="18"/>
        </w:rPr>
      </w:pPr>
      <w:r w:rsidRPr="005459E6">
        <w:rPr>
          <w:rFonts w:ascii="Times New Roman" w:hAnsi="Times New Roman" w:cs="Times New Roman"/>
          <w:szCs w:val="18"/>
        </w:rPr>
        <w:t xml:space="preserve">According to cognition </w:t>
      </w:r>
      <w:r w:rsidRPr="005459E6">
        <w:rPr>
          <w:rFonts w:ascii="Times New Roman" w:hAnsi="Times New Roman" w:cs="Times New Roman"/>
          <w:szCs w:val="18"/>
        </w:rPr>
        <w:fldChar w:fldCharType="begin" w:fldLock="1"/>
      </w:r>
      <w:r w:rsidRPr="005459E6">
        <w:rPr>
          <w:rFonts w:ascii="Times New Roman" w:hAnsi="Times New Roman" w:cs="Times New Roman"/>
          <w:szCs w:val="18"/>
        </w:rPr>
        <w:instrText>ADDIN CSL_CITATION {"citationItems":[{"id":"ITEM-1","itemData":{"DOI":"10.3389/fpsyg.2017.01454","ISSN":"16641078","PMID":"28883804","abstract":"Emotion has a substantial influence on the cognitive processes in humans, including perception, attention, learning, memory, reasoning, and problem solving. Emotion has a particularly strong influence on attention, especially modulating the selectivity of attention as well as motivating action and behavior. This attentional and executive control is intimately linked to learning processes, as intrinsically limited attentional capacities are better focused on relevant information. Emotion also facilitates encoding and helps retrieval of information efficiently. However, the effects of emotion on learning and memory are not always univalent, as studies have reported that emotion either enhances or impairs learning and long-term memory (LTM) retention, depending on a range of factors. Recent neuroimaging findings have indicated that the amygdala and prefrontal cortex cooperate with the medial temporal lobe in an integrated manner that affords (i) the amygdala modulating memory consolidation; (ii) the prefrontal cortex mediating memory encoding and formation; and (iii) the hippocampus for successful learning and LTM retention. We also review the nested hierarchies of circular emotional control and cognitive regulation (bottom-up and top-down influences) within the brain to achieve optimal integration of emotional and cognitive processing. This review highlights a basic evolutionary approach to emotion to understand the effects of emotion on learning and memory and the functional roles played by various brain regions and their mutual interactions in relation to emotional processing. We also summarize the current state of knowledge on the impact of emotion on memory and map implications for educational settings. In addition to elucidating the memory-enhancing effects of emotion, neuroimaging findings extend our understanding of emotional influences on learning and memory processes; this knowledge may be useful for the design of effective educational curricula to provide a conducive learning environment for both traditional \"live\" learning in classrooms and \"virtual\" learning through online-based educational technologies.","author":[{"dropping-particle":"","family":"Tyng","given":"Chai M.","non-dropping-particle":"","parse-names":false,"suffix":""},{"dropping-particle":"","family":"Amin","given":"Hafeez U.","non-dropping-particle":"","parse-names":false,"suffix":""},{"dropping-particle":"","family":"Saad","given":"Mohamad N.M.","non-dropping-particle":"","parse-names":false,"suffix":""},{"dropping-particle":"","family":"Malik","given":"Aamir S.","non-dropping-particle":"","parse-names":false,"suffix":""}],"container-title":"Frontiers in Psychology","id":"ITEM-1","issue":"AUG","issued":{"date-parts":[["2017"]]},"title":"The influences of emotion on learning and memory","type":"article-journal","volume":"8"},"uris":["http://www.mendeley.com/documents/?uuid=5ebc02a0-111f-4036-a8c8-910fcca9dee5"]}],"mendeley":{"formattedCitation":"(Tyng et al., 2017)","manualFormatting":"Tyng et al. (2017)","plainTextFormattedCitation":"(Tyng et al., 2017)","previouslyFormattedCitation":"(Tyng et al., 2017)"},"properties":{"noteIndex":0},"schema":"https://github.com/citation-style-language/schema/raw/master/csl-citation.json"}</w:instrText>
      </w:r>
      <w:r w:rsidRPr="005459E6">
        <w:rPr>
          <w:rFonts w:ascii="Times New Roman" w:hAnsi="Times New Roman" w:cs="Times New Roman"/>
          <w:szCs w:val="18"/>
        </w:rPr>
        <w:fldChar w:fldCharType="separate"/>
      </w:r>
      <w:r w:rsidRPr="005459E6">
        <w:rPr>
          <w:rFonts w:ascii="Times New Roman" w:hAnsi="Times New Roman" w:cs="Times New Roman"/>
          <w:noProof/>
          <w:szCs w:val="18"/>
        </w:rPr>
        <w:t>Tyng et al. (2017)</w:t>
      </w:r>
      <w:r w:rsidRPr="005459E6">
        <w:rPr>
          <w:rFonts w:ascii="Times New Roman" w:hAnsi="Times New Roman" w:cs="Times New Roman"/>
          <w:szCs w:val="18"/>
        </w:rPr>
        <w:fldChar w:fldCharType="end"/>
      </w:r>
      <w:r w:rsidRPr="005459E6">
        <w:rPr>
          <w:rFonts w:ascii="Times New Roman" w:hAnsi="Times New Roman" w:cs="Times New Roman"/>
          <w:szCs w:val="18"/>
        </w:rPr>
        <w:t xml:space="preserve">, emotional experiences are of great importance for a human. Certain emotions affect almost every other element, such as Stress, Excitement, Interest, Relaxation, Focus, and Engagement </w:t>
      </w:r>
      <w:r w:rsidRPr="005459E6">
        <w:rPr>
          <w:rFonts w:ascii="Times New Roman" w:hAnsi="Times New Roman" w:cs="Times New Roman"/>
          <w:szCs w:val="18"/>
        </w:rPr>
        <w:fldChar w:fldCharType="begin" w:fldLock="1"/>
      </w:r>
      <w:r w:rsidRPr="005459E6">
        <w:rPr>
          <w:rFonts w:ascii="Times New Roman" w:hAnsi="Times New Roman" w:cs="Times New Roman"/>
          <w:szCs w:val="18"/>
        </w:rPr>
        <w:instrText>ADDIN CSL_CITATION {"citationItems":[{"id":"ITEM-1","itemData":{"ISBN":"3030143228","author":[{"dropping-particle":"","family":"Nijholt","given":"Anton","non-dropping-particle":"","parse-names":false,"suffix":""}],"id":"ITEM-1","issued":{"date-parts":[["2019"]]},"publisher":"Springer","title":"Brain Art: Brain-computer Interfaces for Artistic Expression","type":"book"},"uris":["http://www.mendeley.com/documents/?uuid=37e0fddd-0df4-4c6c-b19d-e39895391e9d"]}],"mendeley":{"formattedCitation":"(Nijholt, 2019)","plainTextFormattedCitation":"(Nijholt, 2019)","previouslyFormattedCitation":"(Nijholt, 2019)"},"properties":{"noteIndex":0},"schema":"https://github.com/citation-style-language/schema/raw/master/csl-citation.json"}</w:instrText>
      </w:r>
      <w:r w:rsidRPr="005459E6">
        <w:rPr>
          <w:rFonts w:ascii="Times New Roman" w:hAnsi="Times New Roman" w:cs="Times New Roman"/>
          <w:szCs w:val="18"/>
        </w:rPr>
        <w:fldChar w:fldCharType="separate"/>
      </w:r>
      <w:r w:rsidRPr="005459E6">
        <w:rPr>
          <w:rFonts w:ascii="Times New Roman" w:hAnsi="Times New Roman" w:cs="Times New Roman"/>
          <w:noProof/>
          <w:szCs w:val="18"/>
        </w:rPr>
        <w:t>(Nijholt, 2019)</w:t>
      </w:r>
      <w:r w:rsidRPr="005459E6">
        <w:rPr>
          <w:rFonts w:ascii="Times New Roman" w:hAnsi="Times New Roman" w:cs="Times New Roman"/>
          <w:szCs w:val="18"/>
        </w:rPr>
        <w:fldChar w:fldCharType="end"/>
      </w:r>
      <w:r w:rsidRPr="005459E6">
        <w:rPr>
          <w:rFonts w:ascii="Times New Roman" w:hAnsi="Times New Roman" w:cs="Times New Roman"/>
          <w:szCs w:val="18"/>
        </w:rPr>
        <w:t xml:space="preserve">. </w:t>
      </w:r>
    </w:p>
    <w:p w14:paraId="203C140F" w14:textId="6A666ADF" w:rsidR="00E9137D" w:rsidRPr="005459E6" w:rsidRDefault="00565419" w:rsidP="00E9137D">
      <w:pPr>
        <w:spacing w:line="360" w:lineRule="auto"/>
        <w:jc w:val="both"/>
        <w:rPr>
          <w:rFonts w:ascii="Times New Roman" w:hAnsi="Times New Roman" w:cs="Times New Roman"/>
        </w:rPr>
      </w:pPr>
      <w:r w:rsidRPr="005459E6">
        <w:rPr>
          <w:rFonts w:ascii="Times New Roman" w:hAnsi="Times New Roman" w:cs="Times New Roman"/>
        </w:rPr>
        <w:t xml:space="preserve">These variables interact with subjective and objective variables in complex ways </w:t>
      </w:r>
      <w:r w:rsidR="00E9137D" w:rsidRPr="005459E6">
        <w:rPr>
          <w:rFonts w:ascii="Times New Roman" w:hAnsi="Times New Roman" w:cs="Times New Roman"/>
        </w:rPr>
        <w:t>that can (a) produce affective experiences of emotional valence (pleasure-displeasure) and emotional arousal (high-low activation/calming-arousing) and (b) cognitive processes such as emotionally relevant perceptual affect.</w:t>
      </w:r>
    </w:p>
    <w:p w14:paraId="713E02C4" w14:textId="3A3AA5F7" w:rsidR="006954C9" w:rsidRPr="005459E6" w:rsidRDefault="006954C9" w:rsidP="00042CB0">
      <w:pPr>
        <w:spacing w:line="360" w:lineRule="auto"/>
        <w:jc w:val="both"/>
        <w:rPr>
          <w:rFonts w:ascii="Times New Roman" w:hAnsi="Times New Roman" w:cs="Times New Roman"/>
          <w:szCs w:val="18"/>
        </w:rPr>
      </w:pPr>
      <w:r w:rsidRPr="005459E6">
        <w:rPr>
          <w:rFonts w:ascii="Times New Roman" w:hAnsi="Times New Roman" w:cs="Times New Roman"/>
          <w:szCs w:val="18"/>
        </w:rPr>
        <w:t>Based on the data drawn by Brain-Computer Interface following cognitive states can be observed.</w:t>
      </w:r>
    </w:p>
    <w:p w14:paraId="2AF13175" w14:textId="77777777"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8"/>
        </w:rPr>
      </w:pPr>
      <w:r w:rsidRPr="005459E6">
        <w:rPr>
          <w:rFonts w:ascii="Times New Roman" w:hAnsi="Times New Roman" w:cs="Times New Roman"/>
          <w:b/>
          <w:bCs/>
          <w:sz w:val="22"/>
          <w:szCs w:val="18"/>
        </w:rPr>
        <w:t xml:space="preserve">'Stress' </w:t>
      </w:r>
      <w:r w:rsidRPr="005459E6">
        <w:rPr>
          <w:rFonts w:ascii="Times New Roman" w:hAnsi="Times New Roman" w:cs="Times New Roman"/>
          <w:sz w:val="22"/>
          <w:szCs w:val="16"/>
        </w:rPr>
        <w:t>a</w:t>
      </w:r>
      <w:r w:rsidRPr="005459E6">
        <w:rPr>
          <w:rFonts w:ascii="Times New Roman" w:hAnsi="Times New Roman" w:cs="Times New Roman"/>
          <w:sz w:val="22"/>
          <w:szCs w:val="18"/>
        </w:rPr>
        <w:t>s a metric</w:t>
      </w:r>
      <w:r w:rsidRPr="005459E6">
        <w:rPr>
          <w:rFonts w:ascii="Times New Roman" w:hAnsi="Times New Roman" w:cs="Times New Roman"/>
          <w:sz w:val="22"/>
          <w:szCs w:val="16"/>
        </w:rPr>
        <w:t xml:space="preserve"> represents individual comfort levels. The inability to carry out tasks, dreadful experiences and overwhelmed state of mind can ignite higher stress levels. That said, low</w:t>
      </w:r>
      <w:r w:rsidRPr="005459E6">
        <w:rPr>
          <w:rFonts w:ascii="Times New Roman" w:hAnsi="Times New Roman" w:cs="Times New Roman"/>
          <w:sz w:val="22"/>
          <w:szCs w:val="18"/>
        </w:rPr>
        <w:t xml:space="preserve"> to moderate levels of stress can </w:t>
      </w:r>
      <w:r w:rsidRPr="005459E6">
        <w:rPr>
          <w:rFonts w:ascii="Times New Roman" w:hAnsi="Times New Roman" w:cs="Times New Roman"/>
          <w:sz w:val="22"/>
          <w:szCs w:val="16"/>
        </w:rPr>
        <w:t>be supportive for productivity, but when the stress levels exceed certain limits (for a long time), it may affect well-being.</w:t>
      </w:r>
    </w:p>
    <w:p w14:paraId="020331E5" w14:textId="1A63C6CF"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6"/>
        </w:rPr>
      </w:pPr>
      <w:r w:rsidRPr="005459E6">
        <w:rPr>
          <w:rFonts w:ascii="Times New Roman" w:hAnsi="Times New Roman" w:cs="Times New Roman"/>
          <w:b/>
          <w:bCs/>
          <w:sz w:val="22"/>
          <w:szCs w:val="18"/>
        </w:rPr>
        <w:t xml:space="preserve">'Engagement' </w:t>
      </w:r>
      <w:r w:rsidRPr="005459E6">
        <w:rPr>
          <w:rFonts w:ascii="Times New Roman" w:hAnsi="Times New Roman" w:cs="Times New Roman"/>
          <w:sz w:val="22"/>
          <w:szCs w:val="18"/>
        </w:rPr>
        <w:t xml:space="preserve">is </w:t>
      </w:r>
      <w:r w:rsidRPr="005459E6">
        <w:rPr>
          <w:rFonts w:ascii="Times New Roman" w:hAnsi="Times New Roman" w:cs="Times New Roman"/>
          <w:sz w:val="22"/>
          <w:szCs w:val="16"/>
        </w:rPr>
        <w:t xml:space="preserve">nothing but the state that relates to awareness and attention towards task-related input. </w:t>
      </w:r>
      <w:r w:rsidRPr="005459E6">
        <w:rPr>
          <w:rFonts w:ascii="Times New Roman" w:hAnsi="Times New Roman" w:cs="Times New Roman"/>
          <w:sz w:val="22"/>
          <w:szCs w:val="18"/>
        </w:rPr>
        <w:t xml:space="preserve">It is a mixture of </w:t>
      </w:r>
      <w:r w:rsidR="005B3561" w:rsidRPr="005459E6">
        <w:rPr>
          <w:rFonts w:ascii="Times New Roman" w:hAnsi="Times New Roman" w:cs="Times New Roman"/>
          <w:sz w:val="22"/>
          <w:szCs w:val="18"/>
        </w:rPr>
        <w:t>‘</w:t>
      </w:r>
      <w:r w:rsidRPr="005459E6">
        <w:rPr>
          <w:rFonts w:ascii="Times New Roman" w:hAnsi="Times New Roman" w:cs="Times New Roman"/>
          <w:sz w:val="22"/>
          <w:szCs w:val="18"/>
        </w:rPr>
        <w:t>attention</w:t>
      </w:r>
      <w:r w:rsidR="005B3561" w:rsidRPr="005459E6">
        <w:rPr>
          <w:rFonts w:ascii="Times New Roman" w:hAnsi="Times New Roman" w:cs="Times New Roman"/>
          <w:sz w:val="22"/>
          <w:szCs w:val="18"/>
        </w:rPr>
        <w:t>’</w:t>
      </w:r>
      <w:r w:rsidRPr="005459E6">
        <w:rPr>
          <w:rFonts w:ascii="Times New Roman" w:hAnsi="Times New Roman" w:cs="Times New Roman"/>
          <w:sz w:val="22"/>
          <w:szCs w:val="18"/>
        </w:rPr>
        <w:t xml:space="preserve"> and </w:t>
      </w:r>
      <w:r w:rsidR="005B3561" w:rsidRPr="005459E6">
        <w:rPr>
          <w:rFonts w:ascii="Times New Roman" w:hAnsi="Times New Roman" w:cs="Times New Roman"/>
          <w:sz w:val="22"/>
          <w:szCs w:val="18"/>
        </w:rPr>
        <w:t>‘</w:t>
      </w:r>
      <w:r w:rsidRPr="005459E6">
        <w:rPr>
          <w:rFonts w:ascii="Times New Roman" w:hAnsi="Times New Roman" w:cs="Times New Roman"/>
          <w:sz w:val="22"/>
          <w:szCs w:val="18"/>
        </w:rPr>
        <w:t>focus</w:t>
      </w:r>
      <w:r w:rsidR="005B3561" w:rsidRPr="005459E6">
        <w:rPr>
          <w:rFonts w:ascii="Times New Roman" w:hAnsi="Times New Roman" w:cs="Times New Roman"/>
          <w:sz w:val="22"/>
          <w:szCs w:val="18"/>
        </w:rPr>
        <w:t>’</w:t>
      </w:r>
      <w:r w:rsidRPr="005459E6">
        <w:rPr>
          <w:rFonts w:ascii="Times New Roman" w:hAnsi="Times New Roman" w:cs="Times New Roman"/>
          <w:sz w:val="22"/>
          <w:szCs w:val="18"/>
        </w:rPr>
        <w:t xml:space="preserve"> that contrasts with boredom and measures the level of involvement in </w:t>
      </w:r>
      <w:r w:rsidRPr="005459E6">
        <w:rPr>
          <w:rFonts w:ascii="Times New Roman" w:hAnsi="Times New Roman" w:cs="Times New Roman"/>
          <w:sz w:val="22"/>
          <w:szCs w:val="16"/>
        </w:rPr>
        <w:t>a particular scenario. This state is the outcome of increased</w:t>
      </w:r>
      <w:r w:rsidRPr="005459E6">
        <w:rPr>
          <w:rFonts w:ascii="Times New Roman" w:hAnsi="Times New Roman" w:cs="Times New Roman"/>
          <w:sz w:val="22"/>
          <w:szCs w:val="18"/>
        </w:rPr>
        <w:t xml:space="preserve"> physiological arousal and beta waves, as well as reduced alpha waves.</w:t>
      </w:r>
    </w:p>
    <w:p w14:paraId="4F9DD03E" w14:textId="1A862CB8"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8"/>
        </w:rPr>
      </w:pPr>
      <w:r w:rsidRPr="005459E6">
        <w:rPr>
          <w:rFonts w:ascii="Times New Roman" w:hAnsi="Times New Roman" w:cs="Times New Roman"/>
          <w:sz w:val="22"/>
          <w:szCs w:val="18"/>
        </w:rPr>
        <w:t xml:space="preserve">Also termed ‘valance’; </w:t>
      </w:r>
      <w:r w:rsidRPr="005459E6">
        <w:rPr>
          <w:rFonts w:ascii="Times New Roman" w:hAnsi="Times New Roman" w:cs="Times New Roman"/>
          <w:b/>
          <w:sz w:val="22"/>
          <w:szCs w:val="18"/>
        </w:rPr>
        <w:t>‘Interest</w:t>
      </w:r>
      <w:r w:rsidRPr="005459E6">
        <w:rPr>
          <w:rFonts w:ascii="Times New Roman" w:hAnsi="Times New Roman" w:cs="Times New Roman"/>
          <w:b/>
          <w:bCs/>
          <w:sz w:val="22"/>
          <w:szCs w:val="18"/>
        </w:rPr>
        <w:t xml:space="preserve">' </w:t>
      </w:r>
      <w:r w:rsidRPr="005459E6">
        <w:rPr>
          <w:rFonts w:ascii="Times New Roman" w:hAnsi="Times New Roman" w:cs="Times New Roman"/>
          <w:sz w:val="22"/>
          <w:szCs w:val="18"/>
        </w:rPr>
        <w:t>is the degree of attraction or aversion to the current stimuli or activity. Low interest suggests a strong disdain for the task; high interest indicates a great affinity for the task</w:t>
      </w:r>
      <w:r w:rsidR="005B3561" w:rsidRPr="005459E6">
        <w:rPr>
          <w:rFonts w:ascii="Times New Roman" w:hAnsi="Times New Roman" w:cs="Times New Roman"/>
          <w:sz w:val="22"/>
          <w:szCs w:val="18"/>
        </w:rPr>
        <w:t>,</w:t>
      </w:r>
      <w:r w:rsidRPr="005459E6">
        <w:rPr>
          <w:rFonts w:ascii="Times New Roman" w:hAnsi="Times New Roman" w:cs="Times New Roman"/>
          <w:sz w:val="22"/>
          <w:szCs w:val="18"/>
        </w:rPr>
        <w:t xml:space="preserve"> and mid-range scores indicate that you are undecided about the activity.</w:t>
      </w:r>
    </w:p>
    <w:p w14:paraId="744AC140" w14:textId="07B99ADD"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6"/>
        </w:rPr>
      </w:pPr>
      <w:r w:rsidRPr="005459E6">
        <w:rPr>
          <w:rFonts w:ascii="Times New Roman" w:hAnsi="Times New Roman" w:cs="Times New Roman"/>
          <w:b/>
          <w:bCs/>
          <w:sz w:val="22"/>
          <w:szCs w:val="18"/>
        </w:rPr>
        <w:t>‘Excitement’ is</w:t>
      </w:r>
      <w:r w:rsidRPr="005459E6">
        <w:rPr>
          <w:rFonts w:ascii="Times New Roman" w:hAnsi="Times New Roman" w:cs="Times New Roman"/>
          <w:sz w:val="22"/>
          <w:szCs w:val="18"/>
        </w:rPr>
        <w:t xml:space="preserve"> a positive-valued</w:t>
      </w:r>
      <w:r w:rsidRPr="005459E6">
        <w:rPr>
          <w:rFonts w:ascii="Times New Roman" w:hAnsi="Times New Roman" w:cs="Times New Roman"/>
          <w:sz w:val="22"/>
          <w:szCs w:val="16"/>
        </w:rPr>
        <w:t xml:space="preserve"> experience that is about </w:t>
      </w:r>
      <w:r w:rsidRPr="005459E6">
        <w:rPr>
          <w:rFonts w:ascii="Times New Roman" w:hAnsi="Times New Roman" w:cs="Times New Roman"/>
          <w:sz w:val="22"/>
          <w:szCs w:val="18"/>
        </w:rPr>
        <w:t>physiological stimulation</w:t>
      </w:r>
      <w:r w:rsidRPr="005459E6">
        <w:rPr>
          <w:rFonts w:ascii="Times New Roman" w:hAnsi="Times New Roman" w:cs="Times New Roman"/>
          <w:sz w:val="22"/>
          <w:szCs w:val="16"/>
        </w:rPr>
        <w:t xml:space="preserve">. In comparison, experiencing this state, the </w:t>
      </w:r>
      <w:r w:rsidRPr="005459E6">
        <w:rPr>
          <w:rFonts w:ascii="Times New Roman" w:hAnsi="Times New Roman" w:cs="Times New Roman"/>
          <w:sz w:val="22"/>
          <w:szCs w:val="18"/>
        </w:rPr>
        <w:t>sympathetic nervous system is activated</w:t>
      </w:r>
      <w:r w:rsidRPr="005459E6">
        <w:rPr>
          <w:rFonts w:ascii="Times New Roman" w:hAnsi="Times New Roman" w:cs="Times New Roman"/>
          <w:sz w:val="22"/>
          <w:szCs w:val="16"/>
        </w:rPr>
        <w:t xml:space="preserve"> and results in </w:t>
      </w:r>
      <w:r w:rsidRPr="005459E6">
        <w:rPr>
          <w:rFonts w:ascii="Times New Roman" w:hAnsi="Times New Roman" w:cs="Times New Roman"/>
          <w:sz w:val="22"/>
          <w:szCs w:val="18"/>
        </w:rPr>
        <w:t>increased heart rate and muscle tension, blood diversion, and digestion suppression</w:t>
      </w:r>
      <w:r w:rsidRPr="005459E6">
        <w:rPr>
          <w:rFonts w:ascii="Times New Roman" w:hAnsi="Times New Roman" w:cs="Times New Roman"/>
          <w:sz w:val="22"/>
          <w:szCs w:val="16"/>
        </w:rPr>
        <w:t>. This specific state can also be classified into short-term excitement and long-term excitement based on the period.</w:t>
      </w:r>
    </w:p>
    <w:p w14:paraId="72E4A637" w14:textId="77777777"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8"/>
        </w:rPr>
      </w:pPr>
      <w:r w:rsidRPr="005459E6">
        <w:rPr>
          <w:rFonts w:ascii="Times New Roman" w:hAnsi="Times New Roman" w:cs="Times New Roman"/>
          <w:b/>
          <w:bCs/>
          <w:sz w:val="22"/>
          <w:szCs w:val="18"/>
        </w:rPr>
        <w:t xml:space="preserve">'Focus' </w:t>
      </w:r>
      <w:r w:rsidRPr="005459E6">
        <w:rPr>
          <w:rFonts w:ascii="Times New Roman" w:hAnsi="Times New Roman" w:cs="Times New Roman"/>
          <w:sz w:val="22"/>
          <w:szCs w:val="18"/>
        </w:rPr>
        <w:t>iterates how much attention is being paid to a particular task. It measures both depths of attention as well as the frequency with which attention transitions between tasks being carried out. A high level of task switching represents a low score as a distraction.</w:t>
      </w:r>
    </w:p>
    <w:p w14:paraId="48C97076" w14:textId="0DDBC34D" w:rsidR="006954C9" w:rsidRPr="005459E6" w:rsidRDefault="006954C9" w:rsidP="00042CB0">
      <w:pPr>
        <w:pStyle w:val="Paragrafoelenco"/>
        <w:numPr>
          <w:ilvl w:val="0"/>
          <w:numId w:val="26"/>
        </w:numPr>
        <w:spacing w:line="360" w:lineRule="auto"/>
        <w:jc w:val="both"/>
        <w:rPr>
          <w:rFonts w:ascii="Times New Roman" w:hAnsi="Times New Roman" w:cs="Times New Roman"/>
          <w:sz w:val="22"/>
          <w:szCs w:val="18"/>
        </w:rPr>
      </w:pPr>
      <w:r w:rsidRPr="005459E6">
        <w:rPr>
          <w:rFonts w:ascii="Times New Roman" w:hAnsi="Times New Roman" w:cs="Times New Roman"/>
          <w:sz w:val="22"/>
          <w:szCs w:val="16"/>
        </w:rPr>
        <w:t xml:space="preserve">A very significant cognitive state called </w:t>
      </w:r>
      <w:r w:rsidRPr="005459E6">
        <w:rPr>
          <w:rFonts w:ascii="Times New Roman" w:hAnsi="Times New Roman" w:cs="Times New Roman"/>
          <w:b/>
          <w:bCs/>
          <w:sz w:val="22"/>
          <w:szCs w:val="18"/>
        </w:rPr>
        <w:t xml:space="preserve">'Relaxation' </w:t>
      </w:r>
      <w:r w:rsidRPr="005459E6">
        <w:rPr>
          <w:rFonts w:ascii="Times New Roman" w:hAnsi="Times New Roman" w:cs="Times New Roman"/>
          <w:sz w:val="22"/>
          <w:szCs w:val="16"/>
        </w:rPr>
        <w:t xml:space="preserve">shows the person's ability to switch off and </w:t>
      </w:r>
      <w:r w:rsidRPr="005459E6">
        <w:rPr>
          <w:rFonts w:ascii="Times New Roman" w:hAnsi="Times New Roman" w:cs="Times New Roman"/>
          <w:sz w:val="22"/>
          <w:szCs w:val="18"/>
        </w:rPr>
        <w:t>recuperate from strong concentration</w:t>
      </w:r>
      <w:r w:rsidRPr="005459E6">
        <w:rPr>
          <w:rFonts w:ascii="Times New Roman" w:hAnsi="Times New Roman" w:cs="Times New Roman"/>
          <w:sz w:val="22"/>
          <w:szCs w:val="16"/>
        </w:rPr>
        <w:t xml:space="preserve"> levels. Practices like mediation can be used to gain </w:t>
      </w:r>
      <w:r w:rsidRPr="005459E6">
        <w:rPr>
          <w:rFonts w:ascii="Times New Roman" w:hAnsi="Times New Roman" w:cs="Times New Roman"/>
          <w:sz w:val="22"/>
          <w:szCs w:val="18"/>
        </w:rPr>
        <w:t>exceptionally high levels of calmness and relaxation levels.</w:t>
      </w:r>
    </w:p>
    <w:p w14:paraId="699C8468" w14:textId="77777777" w:rsidR="00E61028" w:rsidRPr="005459E6" w:rsidRDefault="00E61028" w:rsidP="00042CB0">
      <w:pPr>
        <w:spacing w:line="360" w:lineRule="auto"/>
        <w:jc w:val="both"/>
        <w:rPr>
          <w:rFonts w:ascii="Times New Roman" w:hAnsi="Times New Roman" w:cs="Times New Roman"/>
        </w:rPr>
      </w:pPr>
    </w:p>
    <w:p w14:paraId="58D117B2" w14:textId="530FB124" w:rsidR="00BA1924" w:rsidRPr="005459E6" w:rsidRDefault="00436486" w:rsidP="00042CB0">
      <w:pPr>
        <w:pStyle w:val="Titolo2"/>
        <w:spacing w:line="360" w:lineRule="auto"/>
        <w:jc w:val="both"/>
        <w:rPr>
          <w:rFonts w:ascii="Times New Roman" w:hAnsi="Times New Roman" w:cs="Times New Roman"/>
          <w:color w:val="auto"/>
          <w:sz w:val="22"/>
          <w:szCs w:val="22"/>
        </w:rPr>
      </w:pPr>
      <w:bookmarkStart w:id="255" w:name="_Toc107248311"/>
      <w:r w:rsidRPr="005459E6">
        <w:rPr>
          <w:rFonts w:ascii="Times New Roman" w:hAnsi="Times New Roman" w:cs="Times New Roman"/>
          <w:color w:val="auto"/>
          <w:sz w:val="22"/>
          <w:szCs w:val="22"/>
        </w:rPr>
        <w:lastRenderedPageBreak/>
        <w:t>Relationship between Well-being &amp; Productivity</w:t>
      </w:r>
      <w:bookmarkEnd w:id="255"/>
      <w:r w:rsidRPr="005459E6">
        <w:rPr>
          <w:rFonts w:ascii="Times New Roman" w:hAnsi="Times New Roman" w:cs="Times New Roman"/>
          <w:color w:val="auto"/>
          <w:sz w:val="22"/>
          <w:szCs w:val="22"/>
        </w:rPr>
        <w:t xml:space="preserve">  </w:t>
      </w:r>
    </w:p>
    <w:p w14:paraId="352A1A47" w14:textId="23824D02" w:rsidR="00BA1924" w:rsidRPr="005459E6" w:rsidRDefault="00991478" w:rsidP="00042CB0">
      <w:pPr>
        <w:spacing w:line="360" w:lineRule="auto"/>
        <w:jc w:val="both"/>
        <w:rPr>
          <w:rFonts w:ascii="Times New Roman" w:hAnsi="Times New Roman" w:cs="Times New Roman"/>
        </w:rPr>
      </w:pPr>
      <w:r w:rsidRPr="005459E6">
        <w:rPr>
          <w:rFonts w:ascii="Times New Roman" w:hAnsi="Times New Roman" w:cs="Times New Roman"/>
          <w:shd w:val="clear" w:color="auto" w:fill="FFFFFF"/>
        </w:rPr>
        <w:t xml:space="preserve">Conforming to </w:t>
      </w:r>
      <w:r w:rsidRPr="005459E6">
        <w:rPr>
          <w:rFonts w:ascii="Times New Roman" w:hAnsi="Times New Roman" w:cs="Times New Roman"/>
          <w:shd w:val="clear" w:color="auto" w:fill="FFFFFF"/>
        </w:rPr>
        <w:fldChar w:fldCharType="begin" w:fldLock="1"/>
      </w:r>
      <w:r w:rsidRPr="005459E6">
        <w:rPr>
          <w:rFonts w:ascii="Times New Roman" w:hAnsi="Times New Roman" w:cs="Times New Roman"/>
          <w:shd w:val="clear" w:color="auto" w:fill="FFFFFF"/>
        </w:rPr>
        <w:instrText>ADDIN CSL_CITATION {"citationItems":[{"id":"ITEM-1","itemData":{"DOI":"10.1177/2055102920933072","ISSN":"20551029","abstract":"Despite the strong evidence linking psychological stress to disease risk, health researchers often fail to include psychological stress in models of health. One reason for this is the incorrect perception that the construct of psychological stress is too vague and broad to accurately measure. This article describes best practices in stress measurement, detailing which dimensions of stressor exposures and stress responses to capture, and how. We describe when to use psychological versus physiological indicators of stress. It is crucial that researchers across disciplines utilize the latest methods for measuring and describing psychological stress in order to build a cumulative science.","author":[{"dropping-particle":"","family":"Crosswell","given":"Alexandra D.","non-dropping-particle":"","parse-names":false,"suffix":""},{"dropping-particle":"","family":"Lockwood","given":"Kimberly G.","non-dropping-particle":"","parse-names":false,"suffix":""}],"container-title":"Health Psychology Open","id":"ITEM-1","issue":"2","issued":{"date-parts":[["2020"]]},"title":"Best practices for stress measurement: How to measure psychological stress in health research","type":"article-journal","volume":"7"},"uris":["http://www.mendeley.com/documents/?uuid=a0ee29c3-53e1-4e24-b39e-8d319e4f8ae6"]}],"mendeley":{"formattedCitation":"(Crosswell &amp; Lockwood, 2020)","manualFormatting":"Crosswell &amp; Lockwood (2020)","plainTextFormattedCitation":"(Crosswell &amp; Lockwood, 2020)","previouslyFormattedCitation":"(Crosswell &amp; Lockwood, 2020)"},"properties":{"noteIndex":0},"schema":"https://github.com/citation-style-language/schema/raw/master/csl-citation.json"}</w:instrText>
      </w:r>
      <w:r w:rsidRPr="005459E6">
        <w:rPr>
          <w:rFonts w:ascii="Times New Roman" w:hAnsi="Times New Roman" w:cs="Times New Roman"/>
          <w:shd w:val="clear" w:color="auto" w:fill="FFFFFF"/>
        </w:rPr>
        <w:fldChar w:fldCharType="separate"/>
      </w:r>
      <w:r w:rsidRPr="005459E6">
        <w:rPr>
          <w:rFonts w:ascii="Times New Roman" w:hAnsi="Times New Roman" w:cs="Times New Roman"/>
          <w:noProof/>
          <w:shd w:val="clear" w:color="auto" w:fill="FFFFFF"/>
        </w:rPr>
        <w:t>Crosswell &amp; Lockwood (2020)</w:t>
      </w:r>
      <w:r w:rsidRPr="005459E6">
        <w:rPr>
          <w:rFonts w:ascii="Times New Roman" w:hAnsi="Times New Roman" w:cs="Times New Roman"/>
          <w:shd w:val="clear" w:color="auto" w:fill="FFFFFF"/>
        </w:rPr>
        <w:fldChar w:fldCharType="end"/>
      </w:r>
      <w:r w:rsidRPr="005459E6">
        <w:rPr>
          <w:rFonts w:ascii="Times New Roman" w:hAnsi="Times New Roman" w:cs="Times New Roman"/>
          <w:shd w:val="clear" w:color="auto" w:fill="FFFFFF"/>
        </w:rPr>
        <w:t xml:space="preserve">, there are numerous considerations for selecting the measures related to stress. </w:t>
      </w:r>
      <w:r w:rsidRPr="005459E6">
        <w:rPr>
          <w:rFonts w:ascii="Times New Roman" w:hAnsi="Times New Roman" w:cs="Times New Roman"/>
        </w:rPr>
        <w:t xml:space="preserve">As per their advice, the selection of stress </w:t>
      </w:r>
      <w:r w:rsidRPr="005459E6">
        <w:rPr>
          <w:rFonts w:ascii="Times New Roman" w:hAnsi="Times New Roman" w:cs="Times New Roman"/>
          <w:shd w:val="clear" w:color="auto" w:fill="FFFFFF"/>
        </w:rPr>
        <w:t>measures</w:t>
      </w:r>
      <w:r w:rsidRPr="005459E6">
        <w:rPr>
          <w:rFonts w:ascii="Times New Roman" w:hAnsi="Times New Roman" w:cs="Times New Roman"/>
        </w:rPr>
        <w:t xml:space="preserve"> accounted for measurement characteristics, such as the lifestyle (as a student) during stressor exposure and the measurement assessment window (during the occurrence of a pandemic). </w:t>
      </w:r>
    </w:p>
    <w:p w14:paraId="247C9991" w14:textId="72E29035" w:rsidR="00BA1924" w:rsidRPr="005459E6" w:rsidRDefault="00991478" w:rsidP="00042CB0">
      <w:pPr>
        <w:spacing w:line="360" w:lineRule="auto"/>
        <w:jc w:val="both"/>
        <w:rPr>
          <w:rFonts w:ascii="Times New Roman" w:hAnsi="Times New Roman" w:cs="Times New Roman"/>
        </w:rPr>
      </w:pPr>
      <w:r w:rsidRPr="005459E6">
        <w:rPr>
          <w:rFonts w:ascii="Times New Roman" w:hAnsi="Times New Roman" w:cs="Times New Roman"/>
          <w:shd w:val="clear" w:color="auto" w:fill="FFFFFF"/>
        </w:rPr>
        <w:t xml:space="preserve">As suggested by </w:t>
      </w:r>
      <w:r w:rsidRPr="005459E6">
        <w:rPr>
          <w:rFonts w:ascii="Times New Roman" w:hAnsi="Times New Roman" w:cs="Times New Roman"/>
          <w:shd w:val="clear" w:color="auto" w:fill="FFFFFF"/>
        </w:rPr>
        <w:fldChar w:fldCharType="begin" w:fldLock="1"/>
      </w:r>
      <w:r w:rsidRPr="005459E6">
        <w:rPr>
          <w:rFonts w:ascii="Times New Roman" w:hAnsi="Times New Roman" w:cs="Times New Roman"/>
          <w:shd w:val="clear" w:color="auto" w:fill="FFFFFF"/>
        </w:rPr>
        <w:instrText>ADDIN CSL_CITATION {"citationItems":[{"id":"ITEM-1","itemData":{"DOI":"10.1002/oby.20423","ISSN":"19307381","PMID":"23512679","abstract":"Objective Emerging evidence suggests that psychosocial stress may influence weight gain. The relationship between stress and weight change and whether this was influenced by demographic and behavioral factors was explored. Design and Methods A total of 5,118 participants of AusDiab were prospectively followed from 2000 to 2005. The relationship between stress at baseline and BMI change was assessed using linear regression. Results Among those who maintained/gained weight, individuals with high levels of perceived stress at baseline experienced a 0.20 kg/m2 (95% CI: 0.07-0.33) greater mean change in BMI compared with those with low stress. Additionally, individuals who experienced 2 or ≥3 stressful life events had a 0.13 kg/m2 (0.00-0.26) and 0.26 kg/m2 (0.14-0.38) greater increase in BMI compared with people with none. These relationships differed by age, smoking, and baseline BMI. Further, those with multiple sources of stressors were at the greatest risk of weight gain. Conclusion Psychosocial stress, including both perceived stress and life events stress, was positively associated with weight gain but not weight loss. These associations varied by age, smoking, obesity, and multiple sources of stressors. Future treatment and interventions for overweight and obese people should consider the psychosocial factors that may influence weight gain. Copyright © 2013 The Obesity Society.","author":[{"dropping-particle":"","family":"Harding","given":"Jessica L.","non-dropping-particle":"","parse-names":false,"suffix":""},{"dropping-particle":"","family":"Backholer","given":"Kathryn","non-dropping-particle":"","parse-names":false,"suffix":""},{"dropping-particle":"","family":"Williams","given":"Emily D.","non-dropping-particle":"","parse-names":false,"suffix":""},{"dropping-particle":"","family":"Peeters","given":"Anna","non-dropping-particle":"","parse-names":false,"suffix":""},{"dropping-particle":"","family":"Cameron","given":"Adrian J.","non-dropping-particle":"","parse-names":false,"suffix":""},{"dropping-particle":"","family":"Hare","given":"Matthew J.L.","non-dropping-particle":"","parse-names":false,"suffix":""},{"dropping-particle":"","family":"Shaw","given":"Jonathan E.","non-dropping-particle":"","parse-names":false,"suffix":""},{"dropping-particle":"","family":"Magliano","given":"Dianna J.","non-dropping-particle":"","parse-names":false,"suffix":""}],"container-title":"Obesity","id":"ITEM-1","issue":"1","issued":{"date-parts":[["2014"]]},"page":"277-286","title":"Psychosocial stress is positively associated with body mass index gain over 5 years: Evidence from the longitudinal AusDiab study","type":"article-journal","volume":"22"},"uris":["http://www.mendeley.com/documents/?uuid=0a39da7b-d636-48b5-82a1-19fc6bfbc719"]}],"mendeley":{"formattedCitation":"(Harding et al., 2014)","manualFormatting":"Harding et al. (2014)","plainTextFormattedCitation":"(Harding et al., 2014)","previouslyFormattedCitation":"(Harding et al., 2014)"},"properties":{"noteIndex":0},"schema":"https://github.com/citation-style-language/schema/raw/master/csl-citation.json"}</w:instrText>
      </w:r>
      <w:r w:rsidRPr="005459E6">
        <w:rPr>
          <w:rFonts w:ascii="Times New Roman" w:hAnsi="Times New Roman" w:cs="Times New Roman"/>
          <w:shd w:val="clear" w:color="auto" w:fill="FFFFFF"/>
        </w:rPr>
        <w:fldChar w:fldCharType="separate"/>
      </w:r>
      <w:r w:rsidRPr="005459E6">
        <w:rPr>
          <w:rFonts w:ascii="Times New Roman" w:hAnsi="Times New Roman" w:cs="Times New Roman"/>
          <w:noProof/>
          <w:shd w:val="clear" w:color="auto" w:fill="FFFFFF"/>
        </w:rPr>
        <w:t>Harding et al. (2014)</w:t>
      </w:r>
      <w:r w:rsidRPr="005459E6">
        <w:rPr>
          <w:rFonts w:ascii="Times New Roman" w:hAnsi="Times New Roman" w:cs="Times New Roman"/>
          <w:shd w:val="clear" w:color="auto" w:fill="FFFFFF"/>
        </w:rPr>
        <w:fldChar w:fldCharType="end"/>
      </w:r>
      <w:r w:rsidRPr="005459E6">
        <w:rPr>
          <w:rFonts w:ascii="Times New Roman" w:hAnsi="Times New Roman" w:cs="Times New Roman"/>
          <w:shd w:val="clear" w:color="auto" w:fill="FFFFFF"/>
        </w:rPr>
        <w:t xml:space="preserve">, </w:t>
      </w:r>
      <w:r w:rsidRPr="005459E6">
        <w:rPr>
          <w:rFonts w:ascii="Times New Roman" w:hAnsi="Times New Roman" w:cs="Times New Roman"/>
        </w:rPr>
        <w:t xml:space="preserve">apart from AGE, </w:t>
      </w:r>
      <w:r w:rsidR="00D272BD" w:rsidRPr="005459E6">
        <w:rPr>
          <w:rFonts w:ascii="Times New Roman" w:hAnsi="Times New Roman" w:cs="Times New Roman"/>
        </w:rPr>
        <w:t xml:space="preserve">and </w:t>
      </w:r>
      <w:r w:rsidRPr="005459E6">
        <w:rPr>
          <w:rFonts w:ascii="Times New Roman" w:hAnsi="Times New Roman" w:cs="Times New Roman"/>
        </w:rPr>
        <w:t>GENDER, the Body Mass Index (BMI) was used as one of the significant variables in the study</w:t>
      </w:r>
      <w:r w:rsidRPr="005459E6">
        <w:rPr>
          <w:rFonts w:ascii="Times New Roman" w:hAnsi="Times New Roman" w:cs="Times New Roman"/>
          <w:shd w:val="clear" w:color="auto" w:fill="FFFFFF"/>
        </w:rPr>
        <w:t>.</w:t>
      </w:r>
      <w:r w:rsidRPr="005459E6">
        <w:rPr>
          <w:rFonts w:ascii="Times New Roman" w:hAnsi="Times New Roman" w:cs="Times New Roman"/>
        </w:rPr>
        <w:t xml:space="preserve"> Research also considered the students' LIFESTYLE (Early riser and Late sleeper) and STATE OF MIND (history of prior exposure to depression) to understand how they responded to stressors.  </w:t>
      </w:r>
    </w:p>
    <w:p w14:paraId="6D8AFEC7" w14:textId="5B1C0BFE" w:rsidR="00991478" w:rsidRPr="005459E6" w:rsidRDefault="00991478" w:rsidP="00042CB0">
      <w:pPr>
        <w:spacing w:line="360" w:lineRule="auto"/>
        <w:jc w:val="both"/>
        <w:rPr>
          <w:rFonts w:ascii="Times New Roman" w:hAnsi="Times New Roman" w:cs="Times New Roman"/>
        </w:rPr>
      </w:pPr>
      <w:r w:rsidRPr="005459E6">
        <w:rPr>
          <w:rFonts w:ascii="Times New Roman" w:hAnsi="Times New Roman" w:cs="Times New Roman"/>
        </w:rPr>
        <w:t xml:space="preserve">The study further included measures such as SLEEP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{"citationItems":[{"id":"ITEM-1","itemData":{"DOI":"10.1098/rsfs.2019.0092","ISBN":"0000000181396","ISSN":"20428901","abstract":"Sleep is highly conserved across evolution, suggesting vital biological functions that are yet to be fully understood. Animals and humans experiencing partial sleep restriction usually exhibit detrimental physiological responses, while total and prolonged sleep loss could lead to death. The perturbation of sleep homeostasis is usually accompanied by an increase in hypothalamic-pituitary-adrenal (HPA) axis activity, leading to a rise in circulating levels of stress hormones (e.g. cortisol in humans, corticosterone in rodents). Such hormones follow a circadian release pattern under undisturbed conditions and participate in the regulation of sleep. The investigation of the consequences of sleep deprivation, from molecular changes to behavioural alterations, has been used to study the fundamental functions of sleep. However, the reciprocal relationship between sleep and the activity of the HPA axis is problematic when investigating sleep using traditional sleep-deprivation protocols that can induce stress per se. This is especially true in studies using rodents in which sleep deprivation is achieved by exogenous, and potentially stressful, sensory-motor stimulations that can undoubtedly confuse their conclusions. While more research is needed to explore the mechanisms underlying sleep loss and health, avoiding stress as a confounding factor in sleep-deprivation studies is therefore crucial. This review examines the evidence of the intricate links between sleep and stress in the context of experimental sleep deprivation, and proposes a more sophisticated research framework for sleep-deprivation procedures that could benefit from recent progress in biotechnological tools for precise neuromodulation, such as chemogenetics and optogenetics, as well as improved automated real-time sleep-scoring algorithms.","author":[{"dropping-particle":"","family":"Nollet","given":"Mathieu","non-dropping-particle":"","parse-names":false,"suffix":""},{"dropping-particle":"","family":"Wisden","given":"William","non-dropping-particle":"","parse-names":false,"suffix":""},{"dropping-particle":"","family":"Franks","given":"Nicholas P.","non-dropping-particle":"","parse-names":false,"suffix":""}],"container-title":"Interface Focus","id":"ITEM-1","issue":"3","issued":{"date-parts":[["2020"]]},"title":"Sleep deprivation and stress: A reciprocal relationship","type":"article-journal","volume":"10"},"uris":["http://www.mendeley.com/documents/?uuid=4de6a85d-3e3e-4240-8808-898c3e6e9668"]},{"id":"ITEM-2","itemData":{"DOI":"10.1080/15402000701557383.The","ISBN":"6176321972","ISSN":"15378276","PMID":"1000000221","abstract":"Ceramide</w:instrText>
      </w:r>
      <w:r w:rsidRPr="005459E6">
        <w:rPr>
          <w:rFonts w:ascii="Times New Roman" w:eastAsia="MS Gothic" w:hAnsi="Times New Roman" w:cs="Times New Roman"/>
        </w:rPr>
        <w:instrText>代</w:instrText>
      </w:r>
      <w:r w:rsidRPr="005459E6">
        <w:rPr>
          <w:rFonts w:ascii="Times New Roman" w:eastAsia="Microsoft JhengHei" w:hAnsi="Times New Roman" w:cs="Times New Roman"/>
        </w:rPr>
        <w:instrText>谢综述</w:instrText>
      </w:r>
      <w:r w:rsidRPr="005459E6">
        <w:rPr>
          <w:rFonts w:ascii="Times New Roman" w:hAnsi="Times New Roman" w:cs="Times New Roman"/>
        </w:rPr>
        <w:instrText>","author":[{"dropping-particle":"","family":"Kim","given":"Eui-Joong","non-dropping-particle":"","parse-names":false,"suffix":""},{"dropping-particle":"","family":"Dimsdale","given":"Joel E.","non-dropping-particle":"","parse-names":false,"suffix":""}],"container-title":"Behav Sleep Med","id":"ITEM-2","issue":"4","issued":{"date-parts":[["2007"]]},"page":"256-278","title":"The Effect of Psychosocial Stress on Sleep: A Review of Polysomnographic Evidence","type":"article-journal","volume":"5"},"uris":["http://www.mendeley.com/documents/?uuid=39b23b3d-3a0a-4b5f-8ac1-fcea81b5aef0"]}],"mendeley":{"formattedCitation":"(Kim &amp; Dimsdale, 2007; Nollet et al., 2020)","manualFormatting":"(Kim &amp; Dimsdale, 2007; Nollet et al., 2020)","plainTextFormattedCitation":"(Kim &amp; Dimsdale, 2007; Nollet et al., 2020)","previouslyFormattedCitation":"(Kim &amp; Dimsdale, 2007; Nollet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(Kim &amp; Dimsdale, 2007; Nollet et al., 2020)</w:t>
      </w:r>
      <w:r w:rsidRPr="005459E6">
        <w:rPr>
          <w:rFonts w:ascii="Times New Roman" w:hAnsi="Times New Roman" w:cs="Times New Roman"/>
        </w:rPr>
        <w:fldChar w:fldCharType="end"/>
      </w:r>
      <w:r w:rsidRPr="005459E6">
        <w:rPr>
          <w:rFonts w:ascii="Times New Roman" w:hAnsi="Times New Roman" w:cs="Times New Roman"/>
        </w:rPr>
        <w:t xml:space="preserve"> and HEART RATE (including Heart Rate Variability) in calculating STRESS INDEX</w:t>
      </w:r>
      <w:r w:rsidRPr="005459E6">
        <w:rPr>
          <w:rFonts w:ascii="Times New Roman" w:hAnsi="Times New Roman" w:cs="Times New Roman"/>
          <w:shd w:val="clear" w:color="auto" w:fill="FFFFFF"/>
        </w:rPr>
        <w:t xml:space="preserve"> </w:t>
      </w:r>
      <w:r w:rsidRPr="005459E6">
        <w:rPr>
          <w:rFonts w:ascii="Times New Roman" w:hAnsi="Times New Roman" w:cs="Times New Roman"/>
          <w:shd w:val="clear" w:color="auto" w:fill="FFFFFF"/>
        </w:rPr>
        <w:fldChar w:fldCharType="begin" w:fldLock="1"/>
      </w:r>
      <w:r w:rsidRPr="005459E6">
        <w:rPr>
          <w:rFonts w:ascii="Times New Roman" w:hAnsi="Times New Roman" w:cs="Times New Roman"/>
          <w:shd w:val="clear" w:color="auto" w:fill="FFFFFF"/>
        </w:rPr>
        <w:instrText>ADDIN CSL_CITATION {"citationItems":[{"id":"ITEM-1","itemData":{"DOI":"10.1007/s00420-020-01525-6","ISBN":"0042002001","ISSN":"14321246","PMID":"32215713","abstract":"Purpose: There is increasing interest in the use of heart rate variability (HRV) as an objective measurement of mental stress in the surgical setting. To identify areas of improvement, the aim of our study was to review current use of HRV measurements in the surgical setting, evaluate the different methods used for the analysis of HRV, and to assess whether HRV is being measured correctly. Methods: A systematic review was performed according to the Preferred Reporting Items for Systematic reviews and Meta-Analyses (PRISMA). 17 studies regarding HRV as a measurement of mental stress in the surgical setting were included and analysed. Results: 24% of the studies performed long-term measurements (24 h and longer) to assess the long-term effects of and recovery from mental stress. In 24% of the studies, artefact correction took place. Conclusions: HRV showed to be a good objective assessment method of stress induced in the workplace environment: it was able to pinpoint stressors during operations, determine which operating techniques induced most stress for surgeons, and indicate differences in stress levels between performing and assisting surgery. For future research, this review recommends using singular guidelines to standardize research, and performing artefact correction. This will improve further evaluation of the long-term effects of mental stress and its recovery.","author":[{"dropping-particle":"","family":"The","given":"Anne Fleur","non-dropping-particle":"","parse-names":false,"suffix":""},{"dropping-particle":"","family":"Reijmerink","given":"Iris","non-dropping-particle":"","parse-names":false,"suffix":""},{"dropping-particle":"","family":"Laan","given":"Maarten","non-dropping-particle":"van der","parse-names":false,"suffix":""},{"dropping-particle":"","family":"Cnossen","given":"Fokie","non-dropping-particle":"","parse-names":false,"suffix":""}],"container-title":"International Archives of Occupational and Environmental Health","id":"ITEM-1","issue":"7","issued":{"date-parts":[["2020"]]},"page":"805-821","publisher":"Springer Berlin Heidelberg","title":"Heart rate variability as a measure of mental stress in surgery: a systematic review","type":"article-journal","volume":"93"},"uris":["http://www.mendeley.com/documents/?uuid=bc9d6136-d214-473c-845d-17e298a3ceb0"]}],"mendeley":{"formattedCitation":"(The et al., 2020)","plainTextFormattedCitation":"(The et al., 2020)","previouslyFormattedCitation":"(The et al., 2020)"},"properties":{"noteIndex":0},"schema":"https://github.com/citation-style-language/schema/raw/master/csl-citation.json"}</w:instrText>
      </w:r>
      <w:r w:rsidRPr="005459E6">
        <w:rPr>
          <w:rFonts w:ascii="Times New Roman" w:hAnsi="Times New Roman" w:cs="Times New Roman"/>
          <w:shd w:val="clear" w:color="auto" w:fill="FFFFFF"/>
        </w:rPr>
        <w:fldChar w:fldCharType="separate"/>
      </w:r>
      <w:r w:rsidRPr="005459E6">
        <w:rPr>
          <w:rFonts w:ascii="Times New Roman" w:hAnsi="Times New Roman" w:cs="Times New Roman"/>
          <w:noProof/>
          <w:shd w:val="clear" w:color="auto" w:fill="FFFFFF"/>
        </w:rPr>
        <w:t>(The et al., 2020)</w:t>
      </w:r>
      <w:r w:rsidRPr="005459E6">
        <w:rPr>
          <w:rFonts w:ascii="Times New Roman" w:hAnsi="Times New Roman" w:cs="Times New Roman"/>
          <w:shd w:val="clear" w:color="auto" w:fill="FFFFFF"/>
        </w:rPr>
        <w:fldChar w:fldCharType="end"/>
      </w:r>
      <w:r w:rsidRPr="005459E6">
        <w:rPr>
          <w:rFonts w:ascii="Times New Roman" w:hAnsi="Times New Roman" w:cs="Times New Roman"/>
          <w:shd w:val="clear" w:color="auto" w:fill="FFFFFF"/>
        </w:rPr>
        <w:t xml:space="preserve">. </w:t>
      </w:r>
      <w:r w:rsidRPr="005459E6">
        <w:rPr>
          <w:rFonts w:ascii="Times New Roman" w:hAnsi="Times New Roman" w:cs="Times New Roman"/>
        </w:rPr>
        <w:t xml:space="preserve">During data collection, the GENDER, STATE OF MIND, and LIFESTYLE followed nominal scales while BMI was represented as ordinal categories (including Underweight/Normal/Overweight/Obese). </w:t>
      </w:r>
    </w:p>
    <w:p w14:paraId="7A755EA5" w14:textId="77777777" w:rsidR="007A5174" w:rsidRPr="005459E6" w:rsidRDefault="007A5174" w:rsidP="00042CB0">
      <w:pPr>
        <w:spacing w:line="360" w:lineRule="auto"/>
        <w:jc w:val="both"/>
        <w:rPr>
          <w:rFonts w:ascii="Times New Roman" w:hAnsi="Times New Roman" w:cs="Times New Roman"/>
        </w:rPr>
      </w:pPr>
    </w:p>
    <w:p w14:paraId="01F6D1A5" w14:textId="08DBA664" w:rsidR="004D7E4A" w:rsidRPr="005459E6" w:rsidRDefault="004D7E4A" w:rsidP="00042CB0">
      <w:pPr>
        <w:spacing w:line="360" w:lineRule="auto"/>
        <w:jc w:val="both"/>
        <w:rPr>
          <w:rFonts w:ascii="Times New Roman" w:hAnsi="Times New Roman" w:cs="Times New Roman"/>
          <w:b/>
          <w:bCs/>
        </w:rPr>
      </w:pPr>
      <w:r w:rsidRPr="005459E6">
        <w:rPr>
          <w:rFonts w:ascii="Times New Roman" w:hAnsi="Times New Roman" w:cs="Times New Roman"/>
          <w:b/>
          <w:bCs/>
        </w:rPr>
        <w:t>Construct [A] depicting ‘Stress’</w:t>
      </w:r>
    </w:p>
    <w:p w14:paraId="74D563A1"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{Age} AGE</w:t>
      </w:r>
    </w:p>
    <w:p w14:paraId="395C1CA4" w14:textId="59F5FB9C"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{Individual Lifestyle} GENDER</w:t>
      </w:r>
      <w:r w:rsidRPr="005459E6">
        <w:rPr>
          <w:rFonts w:ascii="Times New Roman" w:hAnsi="Times New Roman" w:cs="Times New Roman"/>
        </w:rPr>
        <w:tab/>
        <w:t xml:space="preserve">   LIFESTYLE</w:t>
      </w:r>
      <w:r w:rsidR="00DB31B2" w:rsidRPr="005459E6">
        <w:rPr>
          <w:rFonts w:ascii="Times New Roman" w:hAnsi="Times New Roman" w:cs="Times New Roman"/>
        </w:rPr>
        <w:tab/>
        <w:t xml:space="preserve"> WEIGHT</w:t>
      </w:r>
      <w:r w:rsidRPr="005459E6">
        <w:rPr>
          <w:rFonts w:ascii="Times New Roman" w:hAnsi="Times New Roman" w:cs="Times New Roman"/>
        </w:rPr>
        <w:tab/>
        <w:t xml:space="preserve">HEIGHT   </w:t>
      </w:r>
      <w:r w:rsidRPr="005459E6">
        <w:rPr>
          <w:rFonts w:ascii="Times New Roman" w:hAnsi="Times New Roman" w:cs="Times New Roman"/>
        </w:rPr>
        <w:tab/>
        <w:t>STATE OF HEALTH</w:t>
      </w:r>
    </w:p>
    <w:p w14:paraId="704998ED" w14:textId="56A373DD"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 xml:space="preserve">{Emotional </w:t>
      </w:r>
      <w:r w:rsidR="00C80F03" w:rsidRPr="005459E6">
        <w:rPr>
          <w:rFonts w:ascii="Times New Roman" w:hAnsi="Times New Roman" w:cs="Times New Roman"/>
        </w:rPr>
        <w:t>states} EXCITEMENT</w:t>
      </w:r>
      <w:r w:rsidRPr="005459E6">
        <w:rPr>
          <w:rFonts w:ascii="Times New Roman" w:hAnsi="Times New Roman" w:cs="Times New Roman"/>
        </w:rPr>
        <w:t>INTEREST</w:t>
      </w:r>
      <w:r w:rsidRPr="005459E6">
        <w:rPr>
          <w:rFonts w:ascii="Times New Roman" w:hAnsi="Times New Roman" w:cs="Times New Roman"/>
        </w:rPr>
        <w:tab/>
        <w:t>RELAXATION</w:t>
      </w:r>
      <w:r w:rsidRPr="005459E6">
        <w:rPr>
          <w:rFonts w:ascii="Times New Roman" w:hAnsi="Times New Roman" w:cs="Times New Roman"/>
        </w:rPr>
        <w:tab/>
        <w:t xml:space="preserve">     ENGAGEMENT</w:t>
      </w:r>
      <w:r w:rsidRPr="005459E6">
        <w:rPr>
          <w:rFonts w:ascii="Times New Roman" w:hAnsi="Times New Roman" w:cs="Times New Roman"/>
        </w:rPr>
        <w:tab/>
        <w:t xml:space="preserve"> </w:t>
      </w:r>
      <w:r w:rsidR="003867F6" w:rsidRPr="005459E6">
        <w:rPr>
          <w:rFonts w:ascii="Times New Roman" w:hAnsi="Times New Roman" w:cs="Times New Roman"/>
        </w:rPr>
        <w:t>FOCUS</w:t>
      </w:r>
      <w:r w:rsidRPr="005459E6">
        <w:rPr>
          <w:rFonts w:ascii="Times New Roman" w:hAnsi="Times New Roman" w:cs="Times New Roman"/>
        </w:rPr>
        <w:t xml:space="preserve">                                                                                                                  </w:t>
      </w:r>
    </w:p>
    <w:p w14:paraId="419445D8" w14:textId="64ED3C6D"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{Psychological Well-being} STRESS</w:t>
      </w:r>
    </w:p>
    <w:p w14:paraId="22F7206A" w14:textId="77777777" w:rsidR="004970FE" w:rsidRDefault="004970FE" w:rsidP="00042CB0">
      <w:pPr>
        <w:spacing w:line="360" w:lineRule="auto"/>
        <w:jc w:val="both"/>
        <w:rPr>
          <w:rFonts w:ascii="Times New Roman" w:hAnsi="Times New Roman" w:cs="Times New Roman"/>
          <w:b/>
          <w:bCs/>
        </w:rPr>
      </w:pPr>
    </w:p>
    <w:p w14:paraId="20346F5A" w14:textId="77777777" w:rsidR="00186153" w:rsidRPr="005459E6" w:rsidRDefault="00186153" w:rsidP="00042CB0">
      <w:pPr>
        <w:spacing w:line="360" w:lineRule="auto"/>
        <w:jc w:val="both"/>
        <w:rPr>
          <w:rFonts w:ascii="Times New Roman" w:hAnsi="Times New Roman" w:cs="Times New Roman"/>
          <w:b/>
          <w:bCs/>
        </w:rPr>
      </w:pPr>
    </w:p>
    <w:p w14:paraId="704858E4" w14:textId="7EB4A097" w:rsidR="004D7E4A" w:rsidRPr="005459E6" w:rsidRDefault="004D7E4A" w:rsidP="00042CB0">
      <w:pPr>
        <w:spacing w:line="360" w:lineRule="auto"/>
        <w:jc w:val="both"/>
        <w:rPr>
          <w:rFonts w:ascii="Times New Roman" w:hAnsi="Times New Roman" w:cs="Times New Roman"/>
          <w:b/>
          <w:bCs/>
        </w:rPr>
      </w:pPr>
      <w:r w:rsidRPr="005459E6">
        <w:rPr>
          <w:rFonts w:ascii="Times New Roman" w:hAnsi="Times New Roman" w:cs="Times New Roman"/>
          <w:b/>
          <w:bCs/>
        </w:rPr>
        <w:t>Construct [B] depicting ‘Energy’</w:t>
      </w:r>
    </w:p>
    <w:p w14:paraId="22871279"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{Sleep Pattern} SLEEP</w:t>
      </w:r>
      <w:r w:rsidRPr="005459E6">
        <w:rPr>
          <w:rFonts w:ascii="Times New Roman" w:hAnsi="Times New Roman" w:cs="Times New Roman"/>
        </w:rPr>
        <w:tab/>
      </w:r>
    </w:p>
    <w:p w14:paraId="53F77332" w14:textId="101C3A1A" w:rsidR="00C80F03"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{Circadian Rhythm} BODY CLOCK (Or CIRCADIAN RHYTHM)</w:t>
      </w:r>
    </w:p>
    <w:p w14:paraId="227ED417" w14:textId="7C33FCA2"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{Energy Level} ENERGY LEVEL</w:t>
      </w:r>
    </w:p>
    <w:p w14:paraId="733E380B" w14:textId="46183A2E" w:rsidR="00537E0E" w:rsidRPr="005459E6" w:rsidRDefault="00537E0E" w:rsidP="00042CB0">
      <w:pPr>
        <w:spacing w:line="360" w:lineRule="auto"/>
        <w:jc w:val="both"/>
        <w:rPr>
          <w:rFonts w:ascii="Times New Roman" w:hAnsi="Times New Roman" w:cs="Times New Roman"/>
          <w:b/>
          <w:bCs/>
        </w:rPr>
      </w:pPr>
    </w:p>
    <w:p w14:paraId="769B2FD3" w14:textId="75FAD83A" w:rsidR="004D7E4A" w:rsidRPr="005459E6" w:rsidRDefault="004D7E4A" w:rsidP="00042CB0">
      <w:pPr>
        <w:spacing w:line="360" w:lineRule="auto"/>
        <w:jc w:val="both"/>
        <w:rPr>
          <w:rFonts w:ascii="Times New Roman" w:hAnsi="Times New Roman" w:cs="Times New Roman"/>
          <w:b/>
          <w:bCs/>
        </w:rPr>
      </w:pPr>
      <w:r w:rsidRPr="005459E6">
        <w:rPr>
          <w:rFonts w:ascii="Times New Roman" w:hAnsi="Times New Roman" w:cs="Times New Roman"/>
          <w:b/>
          <w:bCs/>
        </w:rPr>
        <w:lastRenderedPageBreak/>
        <w:t>Construct [C] depicting ‘Productivity’</w:t>
      </w:r>
    </w:p>
    <w:p w14:paraId="3A8697B5" w14:textId="77777777"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{Psychological Well-being} STRESS</w:t>
      </w:r>
      <w:r w:rsidRPr="005459E6">
        <w:rPr>
          <w:rFonts w:ascii="Times New Roman" w:hAnsi="Times New Roman" w:cs="Times New Roman"/>
        </w:rPr>
        <w:tab/>
      </w:r>
    </w:p>
    <w:p w14:paraId="6468B03A" w14:textId="12C45B87" w:rsidR="00C80F03"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{Energy Level} ENERGY LEVEL</w:t>
      </w:r>
      <w:r w:rsidRPr="005459E6">
        <w:rPr>
          <w:rFonts w:ascii="Times New Roman" w:hAnsi="Times New Roman" w:cs="Times New Roman"/>
        </w:rPr>
        <w:tab/>
      </w:r>
    </w:p>
    <w:p w14:paraId="5E5144B9" w14:textId="716FC74A" w:rsidR="004D7E4A" w:rsidRPr="005459E6" w:rsidRDefault="004D7E4A" w:rsidP="00042CB0">
      <w:pPr>
        <w:spacing w:line="360" w:lineRule="auto"/>
        <w:jc w:val="both"/>
        <w:rPr>
          <w:rFonts w:ascii="Times New Roman" w:hAnsi="Times New Roman" w:cs="Times New Roman"/>
        </w:rPr>
      </w:pPr>
      <w:r w:rsidRPr="005459E6">
        <w:rPr>
          <w:rFonts w:ascii="Times New Roman" w:hAnsi="Times New Roman" w:cs="Times New Roman"/>
        </w:rPr>
        <w:t>{Workplace Productivity} OBSERVED PRODUCTIVITY</w:t>
      </w:r>
    </w:p>
    <w:p w14:paraId="6EC649E4" w14:textId="41955B7C" w:rsidR="004D7E4A" w:rsidRPr="005459E6" w:rsidRDefault="004D7E4A" w:rsidP="00042CB0">
      <w:pPr>
        <w:spacing w:line="360" w:lineRule="auto"/>
        <w:jc w:val="both"/>
        <w:rPr>
          <w:rFonts w:ascii="Times New Roman" w:hAnsi="Times New Roman" w:cs="Times New Roman"/>
        </w:rPr>
      </w:pPr>
    </w:p>
    <w:p w14:paraId="4EC121C2" w14:textId="5336EB17" w:rsidR="00537E0E" w:rsidRPr="005459E6" w:rsidRDefault="00537E0E" w:rsidP="00042CB0">
      <w:pPr>
        <w:spacing w:line="360" w:lineRule="auto"/>
        <w:jc w:val="both"/>
        <w:rPr>
          <w:rFonts w:ascii="Times New Roman" w:hAnsi="Times New Roman" w:cs="Times New Roman"/>
          <w:b/>
          <w:bCs/>
        </w:rPr>
      </w:pPr>
      <w:r w:rsidRPr="005459E6">
        <w:rPr>
          <w:rFonts w:ascii="Times New Roman" w:hAnsi="Times New Roman" w:cs="Times New Roman"/>
        </w:rPr>
        <w:t xml:space="preserve">The same can be seen </w:t>
      </w:r>
      <w:r w:rsidR="005C48ED" w:rsidRPr="005459E6">
        <w:rPr>
          <w:rFonts w:ascii="Times New Roman" w:hAnsi="Times New Roman" w:cs="Times New Roman"/>
        </w:rPr>
        <w:t>in</w:t>
      </w:r>
      <w:r w:rsidRPr="005459E6">
        <w:rPr>
          <w:rFonts w:ascii="Times New Roman" w:hAnsi="Times New Roman" w:cs="Times New Roman"/>
        </w:rPr>
        <w:t xml:space="preserve"> </w:t>
      </w:r>
      <w:r w:rsidRPr="005459E6">
        <w:rPr>
          <w:rFonts w:ascii="Times New Roman" w:hAnsi="Times New Roman" w:cs="Times New Roman"/>
          <w:b/>
          <w:bCs/>
        </w:rPr>
        <w:t>Figure 1</w:t>
      </w:r>
      <w:r w:rsidR="003777A4" w:rsidRPr="005459E6">
        <w:rPr>
          <w:rFonts w:ascii="Times New Roman" w:hAnsi="Times New Roman" w:cs="Times New Roman"/>
          <w:b/>
          <w:bCs/>
        </w:rPr>
        <w:t>5</w:t>
      </w:r>
      <w:r w:rsidRPr="005459E6">
        <w:rPr>
          <w:rFonts w:ascii="Times New Roman" w:hAnsi="Times New Roman" w:cs="Times New Roman"/>
          <w:b/>
          <w:bCs/>
        </w:rPr>
        <w:t>.</w:t>
      </w:r>
    </w:p>
    <w:p w14:paraId="22ABCB6C" w14:textId="0876C2A7" w:rsidR="00537E0E" w:rsidRPr="005459E6" w:rsidRDefault="00113AED"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516B8F7C" wp14:editId="7E5F5189">
            <wp:extent cx="5581078" cy="3324795"/>
            <wp:effectExtent l="0" t="0" r="635" b="9525"/>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3228" cy="3332033"/>
                    </a:xfrm>
                    <a:prstGeom prst="rect">
                      <a:avLst/>
                    </a:prstGeom>
                  </pic:spPr>
                </pic:pic>
              </a:graphicData>
            </a:graphic>
          </wp:inline>
        </w:drawing>
      </w:r>
    </w:p>
    <w:p w14:paraId="36219031" w14:textId="6213CB2F" w:rsidR="006B79B8" w:rsidRPr="005459E6" w:rsidRDefault="00A52418" w:rsidP="00042CB0">
      <w:pPr>
        <w:pStyle w:val="Didascalia"/>
        <w:spacing w:line="360" w:lineRule="auto"/>
        <w:jc w:val="both"/>
        <w:rPr>
          <w:rFonts w:ascii="Times New Roman" w:hAnsi="Times New Roman" w:cs="Times New Roman"/>
          <w:i w:val="0"/>
          <w:iCs w:val="0"/>
          <w:color w:val="auto"/>
          <w:sz w:val="22"/>
          <w:szCs w:val="22"/>
        </w:rPr>
      </w:pPr>
      <w:bookmarkStart w:id="256" w:name="_Toc96343309"/>
      <w:bookmarkStart w:id="257" w:name="_Toc99915984"/>
      <w:bookmarkStart w:id="258" w:name="_Toc104968801"/>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15</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Pictorial representation of Constructs in the study</w:t>
      </w:r>
      <w:bookmarkEnd w:id="256"/>
      <w:bookmarkEnd w:id="257"/>
      <w:bookmarkEnd w:id="258"/>
    </w:p>
    <w:p w14:paraId="4AFDB656" w14:textId="7225FB2B" w:rsidR="00F42E0F" w:rsidRPr="005459E6" w:rsidRDefault="00F42E0F" w:rsidP="00042CB0">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{"citationItems":[{"id":"ITEM-1","itemData":{"DOI":"10.15405/epsbs.2019.02.02.18","abstract":"Association between stress and psychological well-being are well established in a solid body of research, still the mechanisms of this association stay unrevealed. We hypothesized that emotional stability can affect the association between perceived stress and psychological well-being. In many concepts, emotions are associated with stress and coping, but most of these studies pay attention to the immediate response to stressful event. We approached this question from a perspective of a more stable emotional characteristic - emotional stability. Methods: Scale of perceived stress (Ababkov et.al.), Psychological well-being scale (Ryff), 16 PF personality test (Cattell) - factor C. Sample: 323 adults aged 20-60. First, using regression analysis we confirmed that emotional stability was associated with both perceived stress and psychological well-being. Second, we assessed associations between perceived stress, psychological well-being and emotional stability using structural analysis. Results suggest that perceived stress decreases one's emotional stability that in turn affects psychological well-being. Retest using random subsamples confirmed structural analysis. Our results showed that perceived stress can be associated not only with immediate emotional reactions but with relatively stable personality characteristics such as emotional stability. Our results suggest that associations between perceived stress and psychological well-being can be moderated by emotional stability. Thus high levels of emotional stability can prevent or delay the effect of stress on psychological well-being.","author":[{"dropping-particle":"","family":"Strizhitskaya","given":"O.","non-dropping-particle":"","parse-names":false,"suffix":""}],"id":"ITEM-1","issued":{"date-parts":[["2019"]]},"page":"155-162","title":"Perceived Stress And Psychological Well-Being: The Role Of The Emotional Stability","type":"article-journal"},"uris":["http://www.mendeley.com/documents/?uuid=3eac10ee-ae06-44a6-a033-937d23b9c2d9"]}],"mendeley":{"formattedCitation":"(Strizhitskaya, 2019)","manualFormatting":"Strizhitskaya (2019)","plainTextFormattedCitation":"(Strizhitskaya, 2019)","previouslyFormattedCitation":"(Strizhitskaya,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Strizhitskaya</w:t>
      </w:r>
      <w:r w:rsidR="009033B7" w:rsidRPr="005459E6">
        <w:rPr>
          <w:rFonts w:ascii="Times New Roman" w:hAnsi="Times New Roman" w:cs="Times New Roman"/>
          <w:noProof/>
        </w:rPr>
        <w:t xml:space="preserve"> </w:t>
      </w:r>
      <w:r w:rsidR="0037608F" w:rsidRPr="005459E6">
        <w:rPr>
          <w:rFonts w:ascii="Times New Roman" w:hAnsi="Times New Roman" w:cs="Times New Roman"/>
          <w:noProof/>
        </w:rPr>
        <w:t>(</w:t>
      </w:r>
      <w:r w:rsidRPr="005459E6">
        <w:rPr>
          <w:rFonts w:ascii="Times New Roman" w:hAnsi="Times New Roman" w:cs="Times New Roman"/>
          <w:noProof/>
        </w:rPr>
        <w:t>2019)</w:t>
      </w:r>
      <w:r w:rsidRPr="005459E6">
        <w:rPr>
          <w:rFonts w:ascii="Times New Roman" w:hAnsi="Times New Roman" w:cs="Times New Roman"/>
        </w:rPr>
        <w:fldChar w:fldCharType="end"/>
      </w:r>
      <w:r w:rsidR="009033B7" w:rsidRPr="005459E6">
        <w:rPr>
          <w:rFonts w:ascii="Times New Roman" w:hAnsi="Times New Roman" w:cs="Times New Roman"/>
        </w:rPr>
        <w:t xml:space="preserve"> </w:t>
      </w:r>
      <w:r w:rsidR="0037608F" w:rsidRPr="005459E6">
        <w:rPr>
          <w:rFonts w:ascii="Times New Roman" w:hAnsi="Times New Roman" w:cs="Times New Roman"/>
        </w:rPr>
        <w:t>c</w:t>
      </w:r>
      <w:r w:rsidRPr="005459E6">
        <w:rPr>
          <w:rFonts w:ascii="Times New Roman" w:hAnsi="Times New Roman" w:cs="Times New Roman"/>
        </w:rPr>
        <w:t xml:space="preserve">onfirms that </w:t>
      </w:r>
      <w:r w:rsidR="004970FE" w:rsidRPr="005459E6">
        <w:rPr>
          <w:rFonts w:ascii="Times New Roman" w:hAnsi="Times New Roman" w:cs="Times New Roman"/>
        </w:rPr>
        <w:t xml:space="preserve">the </w:t>
      </w:r>
      <w:r w:rsidRPr="005459E6">
        <w:rPr>
          <w:rFonts w:ascii="Times New Roman" w:hAnsi="Times New Roman" w:cs="Times New Roman"/>
        </w:rPr>
        <w:t xml:space="preserve">association between stress and psychological well-being </w:t>
      </w:r>
      <w:r w:rsidR="00C30249" w:rsidRPr="005459E6">
        <w:rPr>
          <w:rFonts w:ascii="Times New Roman" w:hAnsi="Times New Roman" w:cs="Times New Roman"/>
        </w:rPr>
        <w:t>is</w:t>
      </w:r>
      <w:r w:rsidRPr="005459E6">
        <w:rPr>
          <w:rFonts w:ascii="Times New Roman" w:hAnsi="Times New Roman" w:cs="Times New Roman"/>
        </w:rPr>
        <w:t xml:space="preserve"> well established in a solid body of research. As per </w:t>
      </w:r>
      <w:r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DOI":"10.6007/ijarbss/v10-i14/7366","author":[{"dropping-particle":"","family":"Malik","given":"Melissa","non-dropping-particle":"","parse-names":false,"suffix":""},{"dropping-particle":"","family":"Saidin","given":"Norshiha","non-dropping-particle":"","parse-names":false,"suffix":""},{"dropping-particle":"","family":"Abd Wab","given":"Roslinda","non-dropping-particle":"","parse-names":false,"suffix":""},{"dropping-particle":"","family":"Nordin","given":"Norshidah","non-dropping-particle":"","parse-names":false,"suffix":""}],"container-title":"International Journal of Academic Research in Business and Social Sciences","id":"ITEM-1","issue":"14","issued":{"date-parts":[["2020"]]},"page":"93-101","title":"Investigating the Relationship Between Stress and Psychological Well-Being among Foundation Students of UiTM","type":"article-journal","volume":"10"},"uris":["http://www.mendeley.com/documents/?uuid=c3cc3323-3a43-40fc-84d6-9314eeff2c2b"]}],"mendeley":{"formattedCitation":"(Malik et al., 2020)","manualFormatting":"Malik et al. (2020)","plainTextFormattedCitation":"(Malik et al., 2020)","previouslyFormattedCitation":"(Malik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Malik et al. </w:t>
      </w:r>
      <w:r w:rsidR="0037608F" w:rsidRPr="005459E6">
        <w:rPr>
          <w:rFonts w:ascii="Times New Roman" w:hAnsi="Times New Roman" w:cs="Times New Roman"/>
          <w:noProof/>
        </w:rPr>
        <w:t>(</w:t>
      </w:r>
      <w:r w:rsidRPr="005459E6">
        <w:rPr>
          <w:rFonts w:ascii="Times New Roman" w:hAnsi="Times New Roman" w:cs="Times New Roman"/>
          <w:noProof/>
        </w:rPr>
        <w:t>2020)</w:t>
      </w:r>
      <w:r w:rsidRPr="005459E6">
        <w:rPr>
          <w:rFonts w:ascii="Times New Roman" w:hAnsi="Times New Roman" w:cs="Times New Roman"/>
        </w:rPr>
        <w:fldChar w:fldCharType="end"/>
      </w:r>
      <w:r w:rsidR="004970FE" w:rsidRPr="005459E6">
        <w:rPr>
          <w:rFonts w:ascii="Times New Roman" w:hAnsi="Times New Roman" w:cs="Times New Roman"/>
        </w:rPr>
        <w:t>,</w:t>
      </w:r>
      <w:r w:rsidRPr="005459E6">
        <w:rPr>
          <w:rFonts w:ascii="Times New Roman" w:hAnsi="Times New Roman" w:cs="Times New Roman"/>
        </w:rPr>
        <w:t xml:space="preserve"> stress level negatively influences psychological well-being. </w:t>
      </w:r>
      <w:r w:rsidR="008417EA" w:rsidRPr="005459E6">
        <w:rPr>
          <w:rFonts w:ascii="Times New Roman" w:hAnsi="Times New Roman" w:cs="Times New Roman"/>
        </w:rPr>
        <w:t xml:space="preserve">The data revealed that perceived job stress and psychological well-being have a strong negative relationship. Furthermore, all sub-scales of perceived occupational stress and psychological well-being had a moderate negative connection </w:t>
      </w:r>
      <w:r w:rsidR="003867F6"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{"citationItems":[{"id":"ITEM-1","itemData":{"ISBN":"1111111111","abstract":"The purpose of the study was to examine the relationship between perceived occupational stress and psychological well-being among secondary school heads in Khyber Pakhtunkhwa. A sample of 402 secondary school heads (male n = 260, female n = 142) was selected through multistage sampling technique. A descriptive, quantitative and correlative research design was used. For gathering information from the participants, two standardized tools i.e., “Occupational Stress Index (OSI)” and “Ryff’s Psychological Wellbeing Scale (RPWB)” were used for measuring perceived occupational stress and psychological wellbeing respectively. For statistical analysis, mean, standard deviation, Pearson’s product-moment correlation and multiple regression were employed. The findings revealed that there is a strong negative correlation between perceived occupational stress and psychological well-being. Furthermore, moderate negative correlation was found between all the subscales of perceived occupational stress and psychological well-being. All the subscales of occupational stress except low status were found significant predictors and have negative effect on psychological well-being of secondary school heads. So, it was suggested that Elementary &amp; Secondary Education Department Khyber Pakhtunkhwa should have a collaboration with policy makers to formulate a comprehensive strategy for stress reduction management for secondary school heads so that they may develop good psychological well-being and perform their duties effectively.","author":[{"dropping-particle":"","family":"Qaiser Suleman","given":"","non-dropping-particle":"","parse-names":false,"suffix":""},{"dropping-particle":"","family":"Ishtiaq Hussain","given":"","non-dropping-particle":"","parse-names":false,"suffix":""},{"dropping-particle":"","family":"Saqib Shehzad","given":"","non-dropping-particle":"","parse-names":false,"suffix":""},{"dropping-particle":"","family":"Makhdoom Ali Syed","given":"","non-dropping-particle":"","parse-names":false,"suffix":""},{"dropping-particle":"","family":"Sadaf Ayub Raja","given":"","non-dropping-particle":"","parse-names":false,"suffix":""}],"container-title":"PLoS ONE","id":"ITEM-1","issue":"12","issued":{"date-parts":[["2018"]]},"page":"1-22","title":"Relationship between perceived occupational stress and psychological well-being among secondary school heads in Khyber Pakhtunkhwa, Pakistan","type":"article-journal","volume":"13"},"uris":["http://www.mendeley.com/documents/?uuid=dd800989-73ab-446b-b0c2-7ab768ce4828"]}],"mendeley":{"formattedCitation":"(Qaiser Suleman et al., 2018)","manualFormatting":"(Suleman et al., 2018)","plainTextFormattedCitation":"(Qaiser Suleman et al., 2018)","previouslyFormattedCitation":"(Qaiser Suleman et al., 2018)"},"properties":{"noteIndex":0},"schema":"https://github.com/citation-style-language/schema/raw/master/csl-citation.json"}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(Suleman et al., 2018)</w:t>
      </w:r>
      <w:r w:rsidR="003867F6" w:rsidRPr="005459E6">
        <w:rPr>
          <w:rFonts w:ascii="Times New Roman" w:hAnsi="Times New Roman" w:cs="Times New Roman"/>
        </w:rPr>
        <w:fldChar w:fldCharType="end"/>
      </w:r>
      <w:r w:rsidR="003867F6" w:rsidRPr="005459E6">
        <w:rPr>
          <w:rFonts w:ascii="Times New Roman" w:hAnsi="Times New Roman" w:cs="Times New Roman"/>
        </w:rPr>
        <w:t xml:space="preserve">. </w:t>
      </w:r>
      <w:r w:rsidR="004970FE" w:rsidRPr="005459E6">
        <w:rPr>
          <w:rFonts w:ascii="Times New Roman" w:hAnsi="Times New Roman" w:cs="Times New Roman"/>
        </w:rPr>
        <w:t>In a</w:t>
      </w:r>
      <w:r w:rsidRPr="005459E6">
        <w:rPr>
          <w:rFonts w:ascii="Times New Roman" w:hAnsi="Times New Roman" w:cs="Times New Roman"/>
        </w:rPr>
        <w:t xml:space="preserve">nother study by </w:t>
      </w:r>
      <w:r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{"citationItems":[{"id":"ITEM-1","itemData":{"DOI":"10.4172/2375-4494.1000282","abstract":"Objective: Female adolescents are suffering a higher prevalence of psychological disorder such as depression, anxiety and stress. Also they have high prevalent poor dietary behaviors and physical inactivity especially in low income countries. This study aimed to measure students’ stress and psychological well-being status among sample female adolescents among a sample of girls in an Islamic country. Methods: The cross-sectional study was carried out on a sample of 289 female students in the ninth grades randomly selected high school students in Tabriz, Iran. Numerous psychological variables including general health status, happiness, self-efficacy, perceived stress, hopefulness and life satisfaction were measured by using selfreport written questionnaires. Results: It was found that an inversely significant relation exists between stress and psychological well-being (r = -0.68). Findings also indicated that students, who had good relation with teachers, had 54% less probability of low psychological well-being than those who had not. No causal inferences were drawn due to non-experimental nature of the study. Conclusion: This study concluded that the prevalence rates of mental disorders and stress reported for high school females of Iran, Thus there it is needed to develop effective strategies to promote psychological well-being and stress management, especially for female adolescence.","author":[{"dropping-particle":"","family":"Clemente","given":"Miguel","non-dropping-particle":"","parse-names":false,"suffix":""},{"dropping-particle":"","family":"Hezomi","given":"Haleh","non-dropping-particle":"","parse-names":false,"suffix":""}],"container-title":"Journal of Child and Adolescent Behaviour","id":"ITEM-1","issue":"01","issued":{"date-parts":[["2016"]]},"page":"1-5","title":"Stress and Psychological Well-being: An Explanatory Study of the Iranian Female Adolescents","type":"article-journal","volume":"04"},"uris":["http://www.mendeley.com/documents/?uuid=36064918-a114-4e63-b805-6f8c30ccbe04"]}],"mendeley":{"formattedCitation":"(Clemente &amp; Hezomi, 2016)","manualFormatting":"Clemente &amp; Hezomi (2016)","plainTextFormattedCitation":"(Clemente &amp; Hezomi, 2016)","previouslyFormattedCitation":"(Clemente &amp; Hezomi,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Clemente &amp; Hezomi </w:t>
      </w:r>
      <w:r w:rsidR="0037608F" w:rsidRPr="005459E6">
        <w:rPr>
          <w:rFonts w:ascii="Times New Roman" w:hAnsi="Times New Roman" w:cs="Times New Roman"/>
          <w:noProof/>
        </w:rPr>
        <w:t>(</w:t>
      </w:r>
      <w:r w:rsidRPr="005459E6">
        <w:rPr>
          <w:rFonts w:ascii="Times New Roman" w:hAnsi="Times New Roman" w:cs="Times New Roman"/>
          <w:noProof/>
        </w:rPr>
        <w:t>2016)</w:t>
      </w:r>
      <w:r w:rsidRPr="005459E6">
        <w:rPr>
          <w:rFonts w:ascii="Times New Roman" w:hAnsi="Times New Roman" w:cs="Times New Roman"/>
        </w:rPr>
        <w:fldChar w:fldCharType="end"/>
      </w:r>
      <w:r w:rsidR="001D1AD4" w:rsidRPr="005459E6">
        <w:rPr>
          <w:rFonts w:ascii="Times New Roman" w:hAnsi="Times New Roman" w:cs="Times New Roman"/>
        </w:rPr>
        <w:t>,</w:t>
      </w:r>
      <w:r w:rsidRPr="005459E6">
        <w:rPr>
          <w:rFonts w:ascii="Times New Roman" w:hAnsi="Times New Roman" w:cs="Times New Roman"/>
        </w:rPr>
        <w:t xml:space="preserve"> it was found that an inversely significant relation exists between stress and psychological well-being and the same was re-confirmed with empirical support for decreasing stress and promoting psychological well-being </w:t>
      </w:r>
      <w:r w:rsidRPr="005459E6">
        <w:rPr>
          <w:rFonts w:ascii="Times New Roman" w:hAnsi="Times New Roman" w:cs="Times New Roman"/>
        </w:rPr>
        <w:fldChar w:fldCharType="begin" w:fldLock="1"/>
      </w:r>
      <w:r w:rsidR="008A4B9D" w:rsidRPr="005459E6">
        <w:rPr>
          <w:rFonts w:ascii="Times New Roman" w:hAnsi="Times New Roman" w:cs="Times New Roman"/>
        </w:rPr>
        <w:instrText>ADDIN CSL_CITATION {"citationItems":[{"id":"ITEM-1","itemData":{"DOI":"10.1016/j.ijchp.2017.09.002","ISSN":"16972600","abstract":"© 2017 Asociación Española de Psicología Conductual Background/Objective: Prolonged stress can overwhelm coping resources, leading people to seek mental health care. Acceptance and commitment therapy (ACT) is an intervention that enhances well-being and reduces distress, assumedly by means of increasing psychological flexibility (PF). We examined the association between a total increase in PF during an intervention and decreases in stress and increases in well-being during and after the intervention. Method: The intervention was a randomized controlled trial of an ACT-based self-help intervention. Participants were 91 individuals reporting elevated levels of work-related stress. Measurements were completed at preintervention, postintervention, and 3-month follow-up. Results: Structural equation models revealed that the total increase in PF during the intervention was negatively associated with a decrease in stress (b = -0.63, SE = 0.14, p &lt;.001) and positively associated with an increase in well-being during the intervention (b = 0.48, SE = 0.11, p &lt;.001), but not with a decrease in stress (b = 0.03, SE = 0.27, p &gt;.05) and well-being (b = -0.04, SE = 0.39, p &gt;.05) following the intervention. Conclusions: Our study provides empirical support for decreasing stress and promoting well-being through ACT and emphasizes the potential of PF in promoting well-being.","author":[{"dropping-particle":"","family":"Wersebe","given":"Hanna","non-dropping-particle":"","parse-names":false,"suffix":""},{"dropping-particle":"","family":"Lieb","given":"Roselind","non-dropping-particle":"","parse-names":false,"suffix":""},{"dropping-particle":"","family":"Meyer","given":"Andrea H.","non-dropping-particle":"","parse-names":false,"suffix":""},{"dropping-particle":"","family":"Hofer","given":"Patrizia","non-dropping-particle":"","parse-names":false,"suffix":""},{"dropping-particle":"","family":"Gloster","given":"Andrew T.","non-dropping-particle":"","parse-names":false,"suffix":""}],"container-title":"International Journal of Clinical and Health Psychology","id":"ITEM-1","issue":"1","issued":{"date-parts":[["2018"]]},"page":"60-68","title":"The link between stress, well-being, and psychological flexibility during an Acceptance and Commitment Therapy self-help intervention","type":"article-journal","volume":"18"},"uris":["http://www.mendeley.com/documents/?uuid=989e1940-07cf-4aff-9796-a5549abd5dac"]}],"mendeley":{"formattedCitation":"(Wersebe et al., 2018b)","manualFormatting":"(Wersebe et al., 2018)","plainTextFormattedCitation":"(Wersebe et al., 2018b)","previouslyFormattedCitation":"(Wersebe et al., 2018b)"},"properties":{"noteIndex":0},"schema":"https://github.com/citation-style-language/schema/raw/master/csl-citation.json"}</w:instrText>
      </w:r>
      <w:r w:rsidRPr="005459E6">
        <w:rPr>
          <w:rFonts w:ascii="Times New Roman" w:hAnsi="Times New Roman" w:cs="Times New Roman"/>
        </w:rPr>
        <w:fldChar w:fldCharType="separate"/>
      </w:r>
      <w:r w:rsidR="009B48F7" w:rsidRPr="005459E6">
        <w:rPr>
          <w:rFonts w:ascii="Times New Roman" w:hAnsi="Times New Roman" w:cs="Times New Roman"/>
          <w:noProof/>
        </w:rPr>
        <w:t>(Wersebe et al., 2018)</w:t>
      </w:r>
      <w:r w:rsidRPr="005459E6">
        <w:rPr>
          <w:rFonts w:ascii="Times New Roman" w:hAnsi="Times New Roman" w:cs="Times New Roman"/>
        </w:rPr>
        <w:fldChar w:fldCharType="end"/>
      </w:r>
      <w:r w:rsidRPr="005459E6">
        <w:rPr>
          <w:rFonts w:ascii="Times New Roman" w:hAnsi="Times New Roman" w:cs="Times New Roman"/>
        </w:rPr>
        <w:t>.</w:t>
      </w:r>
    </w:p>
    <w:p w14:paraId="0AB7FBFB" w14:textId="60F49AF5" w:rsidR="008C61A4" w:rsidRPr="005459E6" w:rsidRDefault="00864DC8" w:rsidP="00042CB0">
      <w:pPr>
        <w:pStyle w:val="Titolo1"/>
        <w:spacing w:line="360" w:lineRule="auto"/>
        <w:jc w:val="both"/>
        <w:rPr>
          <w:rFonts w:ascii="Times New Roman" w:hAnsi="Times New Roman" w:cs="Times New Roman"/>
          <w:b/>
          <w:bCs/>
          <w:color w:val="auto"/>
          <w:sz w:val="22"/>
          <w:szCs w:val="22"/>
        </w:rPr>
      </w:pPr>
      <w:bookmarkStart w:id="259" w:name="_Toc87349520"/>
      <w:bookmarkStart w:id="260" w:name="_Toc87349633"/>
      <w:bookmarkStart w:id="261" w:name="_Toc87349740"/>
      <w:bookmarkStart w:id="262" w:name="_Hlk87779516"/>
      <w:bookmarkStart w:id="263" w:name="_Toc107248312"/>
      <w:r w:rsidRPr="005459E6">
        <w:rPr>
          <w:rFonts w:ascii="Times New Roman" w:hAnsi="Times New Roman" w:cs="Times New Roman"/>
          <w:b/>
          <w:bCs/>
          <w:color w:val="auto"/>
          <w:sz w:val="22"/>
          <w:szCs w:val="22"/>
        </w:rPr>
        <w:lastRenderedPageBreak/>
        <w:t>DATA ANALYSIS</w:t>
      </w:r>
      <w:bookmarkEnd w:id="259"/>
      <w:bookmarkEnd w:id="260"/>
      <w:bookmarkEnd w:id="261"/>
      <w:bookmarkEnd w:id="262"/>
      <w:bookmarkEnd w:id="263"/>
    </w:p>
    <w:p w14:paraId="07773CDE" w14:textId="3FD5E51B"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264" w:name="_Toc85542439"/>
      <w:bookmarkStart w:id="265" w:name="_Toc87349524"/>
      <w:bookmarkStart w:id="266" w:name="_Toc87349637"/>
      <w:bookmarkStart w:id="267" w:name="_Toc87349744"/>
      <w:bookmarkStart w:id="268" w:name="_Toc107248313"/>
      <w:r w:rsidRPr="005459E6">
        <w:rPr>
          <w:rFonts w:ascii="Times New Roman" w:hAnsi="Times New Roman" w:cs="Times New Roman"/>
          <w:color w:val="auto"/>
          <w:sz w:val="22"/>
          <w:szCs w:val="22"/>
        </w:rPr>
        <w:t>Pearson correlation</w:t>
      </w:r>
      <w:bookmarkEnd w:id="264"/>
      <w:bookmarkEnd w:id="265"/>
      <w:bookmarkEnd w:id="266"/>
      <w:bookmarkEnd w:id="267"/>
      <w:bookmarkEnd w:id="268"/>
    </w:p>
    <w:p w14:paraId="18EE5391" w14:textId="2CE3B700" w:rsidR="005D6048" w:rsidRPr="005459E6" w:rsidRDefault="005D6048" w:rsidP="00042CB0">
      <w:pPr>
        <w:spacing w:line="360" w:lineRule="auto"/>
        <w:jc w:val="both"/>
        <w:rPr>
          <w:rFonts w:ascii="Times New Roman" w:hAnsi="Times New Roman" w:cs="Times New Roman"/>
        </w:rPr>
      </w:pPr>
      <w:r w:rsidRPr="005459E6">
        <w:rPr>
          <w:rFonts w:ascii="Times New Roman" w:hAnsi="Times New Roman" w:cs="Times New Roman"/>
        </w:rPr>
        <w:t xml:space="preserve">To determine the link between variables 1 and 2, a Pearson product-moment correlation </w:t>
      </w:r>
      <w:r w:rsidR="000A4E3D" w:rsidRPr="005459E6">
        <w:rPr>
          <w:rFonts w:ascii="Times New Roman" w:hAnsi="Times New Roman" w:cs="Times New Roman"/>
        </w:rPr>
        <w:t>was</w:t>
      </w:r>
      <w:r w:rsidRPr="005459E6">
        <w:rPr>
          <w:rFonts w:ascii="Times New Roman" w:hAnsi="Times New Roman" w:cs="Times New Roman"/>
        </w:rPr>
        <w:t xml:space="preserve"> used. The Pearson correlation coefficient (</w:t>
      </w:r>
      <w:r w:rsidR="00765E48" w:rsidRPr="005459E6">
        <w:rPr>
          <w:rFonts w:ascii="Times New Roman" w:hAnsi="Times New Roman" w:cs="Times New Roman"/>
        </w:rPr>
        <w:t>p</w:t>
      </w:r>
      <w:r w:rsidRPr="005459E6">
        <w:rPr>
          <w:rFonts w:ascii="Times New Roman" w:hAnsi="Times New Roman" w:cs="Times New Roman"/>
        </w:rPr>
        <w:t xml:space="preserve">) is a metric for determining the strength of a linear relationship between two continuous variables. The Pearson correlation presupposes that the variables are related in a linear fashion </w:t>
      </w:r>
      <w:r w:rsidR="003867F6" w:rsidRPr="005459E6">
        <w:rPr>
          <w:rFonts w:ascii="Times New Roman" w:hAnsi="Times New Roman" w:cs="Times New Roman"/>
        </w:rPr>
        <w:fldChar w:fldCharType="begin" w:fldLock="1"/>
      </w:r>
      <w:r w:rsidR="003867F6" w:rsidRPr="005459E6">
        <w:rPr>
          <w:rFonts w:ascii="Times New Roman" w:hAnsi="Times New Roman" w:cs="Times New Roman"/>
        </w:rPr>
        <w:instrText>ADDIN CSL_CITATION {"citationItems":[{"id":"ITEM-1","itemData":{"ISSN":"0003-1305","author":[{"dropping-particle":"","family":"Conover","given":"William J","non-dropping-particle":"","parse-names":false,"suffix":""},{"dropping-particle":"","family":"Iman","given":"Ronald L","non-dropping-particle":"","parse-names":false,"suffix":""}],"container-title":"The American Statistician","id":"ITEM-1","issue":"3","issued":{"date-parts":[["1981"]]},"page":"124-129","publisher":"Taylor &amp; Francis","title":"Rank transformations as a bridge between parametric and nonparametric statistics","type":"article-journal","volume":"35"},"uris":["http://www.mendeley.com/documents/?uuid=a43e91e0-c1af-4923-a053-ca0e16d7b808"]}],"mendeley":{"formattedCitation":"(Conover &amp; Iman, 1981)","plainTextFormattedCitation":"(Conover &amp; Iman, 1981)","previouslyFormattedCitation":"(Conover &amp; Iman, 1981)"},"properties":{"noteIndex":0},"schema":"https://github.com/citation-style-language/schema/raw/master/csl-citation.json"}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(Conover &amp; Iman, 1981)</w:t>
      </w:r>
      <w:r w:rsidR="003867F6" w:rsidRPr="005459E6">
        <w:rPr>
          <w:rFonts w:ascii="Times New Roman" w:hAnsi="Times New Roman" w:cs="Times New Roman"/>
        </w:rPr>
        <w:fldChar w:fldCharType="end"/>
      </w:r>
      <w:r w:rsidR="003867F6" w:rsidRPr="005459E6">
        <w:rPr>
          <w:rFonts w:ascii="Times New Roman" w:hAnsi="Times New Roman" w:cs="Times New Roman"/>
        </w:rPr>
        <w:t xml:space="preserve">. </w:t>
      </w:r>
      <w:r w:rsidRPr="005459E6">
        <w:rPr>
          <w:rFonts w:ascii="Times New Roman" w:hAnsi="Times New Roman" w:cs="Times New Roman"/>
        </w:rPr>
        <w:t>A scatterplot will be used to evaluate the linearity assumption graphically. When both input variables are continuous and linearly connected, a Pearson r correlation is the suitable bivariate statistic.</w:t>
      </w:r>
    </w:p>
    <w:p w14:paraId="055795F7" w14:textId="62CBB15D" w:rsidR="005D6048" w:rsidRPr="005459E6" w:rsidRDefault="005D6048" w:rsidP="00042CB0">
      <w:pPr>
        <w:spacing w:line="360" w:lineRule="auto"/>
        <w:jc w:val="both"/>
        <w:rPr>
          <w:rFonts w:ascii="Times New Roman" w:hAnsi="Times New Roman" w:cs="Times New Roman"/>
        </w:rPr>
      </w:pPr>
      <w:r w:rsidRPr="005459E6">
        <w:rPr>
          <w:rFonts w:ascii="Times New Roman" w:hAnsi="Times New Roman" w:cs="Times New Roman"/>
        </w:rPr>
        <w:t>The Pearson correlation coefficient is a number that goes from one to one hundred. Positive values imply that while one variable increases, the other tends to increase as well. Inverse relationships are shown by negative values where one variable tends to decrease as the other increases.</w:t>
      </w:r>
    </w:p>
    <w:p w14:paraId="6303340C" w14:textId="2E43FDEA" w:rsidR="00760413" w:rsidRPr="005459E6" w:rsidRDefault="00760413" w:rsidP="00760413">
      <w:pPr>
        <w:spacing w:line="360" w:lineRule="auto"/>
        <w:jc w:val="both"/>
        <w:rPr>
          <w:rFonts w:ascii="Times New Roman" w:hAnsi="Times New Roman" w:cs="Times New Roman"/>
        </w:rPr>
      </w:pPr>
      <w:r w:rsidRPr="005459E6">
        <w:rPr>
          <w:rFonts w:ascii="Times New Roman" w:hAnsi="Times New Roman" w:cs="Times New Roman"/>
        </w:rPr>
        <w:t>A correlation of zero shows no relationship between the variables.</w:t>
      </w:r>
      <w:r w:rsidR="0024091A" w:rsidRPr="005459E6">
        <w:rPr>
          <w:rFonts w:ascii="Times New Roman" w:hAnsi="Times New Roman" w:cs="Times New Roman"/>
        </w:rPr>
        <w:t xml:space="preserve"> </w:t>
      </w:r>
      <w:r w:rsidRPr="005459E6">
        <w:rPr>
          <w:rFonts w:ascii="Times New Roman" w:hAnsi="Times New Roman" w:cs="Times New Roman"/>
        </w:rPr>
        <w:fldChar w:fldCharType="begin" w:fldLock="1"/>
      </w:r>
      <w:r w:rsidR="00C812F7" w:rsidRPr="005459E6">
        <w:rPr>
          <w:rFonts w:ascii="Times New Roman" w:hAnsi="Times New Roman" w:cs="Times New Roman"/>
        </w:rPr>
        <w:instrText>ADDIN CSL_CITATION {"citationItems":[{"id":"ITEM-1","itemData":{"author":[{"dropping-particle":"","family":"Cohen","given":"J","non-dropping-particle":"","parse-names":false,"suffix":""}],"id":"ITEM-1","issued":{"date-parts":[["1988"]]},"publisher":"Erlbaum. Conner, BE (1988). The Box in the Barn. Columbus: Highlights for …","title":"Statistical Power Analysis for the Behavioral Sciences. Hillsdle","type":"article"},"uris":["http://www.mendeley.com/documents/?uuid=84c2f1af-0a97-41a3-86ff-a791d882c201"]}],"mendeley":{"formattedCitation":"(J. Cohen, 1988)","manualFormatting":"Cohen (1988)","plainTextFormattedCitation":"(J. Cohen, 1988)","previouslyFormattedCitation":"(J. Cohen, 1988)"},"properties":{"noteIndex":0},"schema":"https://github.com/citation-style-language/schema/raw/master/csl-citation.json"}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Cohen </w:t>
      </w:r>
      <w:r w:rsidR="0024091A" w:rsidRPr="005459E6">
        <w:rPr>
          <w:rFonts w:ascii="Times New Roman" w:hAnsi="Times New Roman" w:cs="Times New Roman"/>
          <w:noProof/>
        </w:rPr>
        <w:t>(</w:t>
      </w:r>
      <w:r w:rsidRPr="005459E6">
        <w:rPr>
          <w:rFonts w:ascii="Times New Roman" w:hAnsi="Times New Roman" w:cs="Times New Roman"/>
          <w:noProof/>
        </w:rPr>
        <w:t>1988)</w:t>
      </w:r>
      <w:r w:rsidRPr="005459E6">
        <w:rPr>
          <w:rFonts w:ascii="Times New Roman" w:hAnsi="Times New Roman" w:cs="Times New Roman"/>
        </w:rPr>
        <w:fldChar w:fldCharType="end"/>
      </w:r>
      <w:r w:rsidR="0024091A" w:rsidRPr="005459E6">
        <w:rPr>
          <w:rFonts w:ascii="Times New Roman" w:hAnsi="Times New Roman" w:cs="Times New Roman"/>
        </w:rPr>
        <w:t xml:space="preserve"> </w:t>
      </w:r>
      <w:r w:rsidRPr="005459E6">
        <w:rPr>
          <w:rFonts w:ascii="Times New Roman" w:hAnsi="Times New Roman" w:cs="Times New Roman"/>
        </w:rPr>
        <w:t>provides heuristics for determining the effect size of ρ, where values within the ±.10 to ±.29 range are considered weak associations, values within the *.30 to *.49 range are considered moderate associations, and values more than *.50 are associated with strong associations.</w:t>
      </w:r>
    </w:p>
    <w:p w14:paraId="56A728E2" w14:textId="331FB8D9" w:rsidR="003C0C38" w:rsidRPr="005459E6" w:rsidRDefault="003C0C38" w:rsidP="00760413">
      <w:pPr>
        <w:spacing w:line="360" w:lineRule="auto"/>
        <w:jc w:val="both"/>
        <w:rPr>
          <w:rFonts w:ascii="Times New Roman" w:hAnsi="Times New Roman" w:cs="Times New Roman"/>
        </w:rPr>
      </w:pPr>
      <w:r w:rsidRPr="005459E6">
        <w:rPr>
          <w:rFonts w:ascii="Times New Roman" w:hAnsi="Times New Roman" w:cs="Times New Roman"/>
        </w:rPr>
        <w:t xml:space="preserve">The suggested analysis for this kind of analysis was either a Pearson correlation or a Spearman correlation. Both analyses are used to examine the relationship between two variables, but Pearson correlations require the relationship to be linear. Spearman correlations can be used when the relationship is nonlinear as long as it is monotonic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{"citationItems":[{"id":"ITEM-1","itemData":{"DOI":"10.1213/ANE.0000000000002864","ISBN":"0000000000","ISSN":"15267598","PMID":"29481436","abstract":"Correlation in the broadest sense is a measure of an association between variables. In correlated data, the change in the magnitude of 1 variable is associated with a change in the magnitude of another variable, either in the same (positive correlation) or in the opposite (negative correlation) direction. Most often, the term correlation is used in the context of a linear relationship between 2 continuous variables and expressed as Pearson product-moment correlation. The Pearson correlation coefficient is typically used for jointly normally distributed data (data that follow a bivariate normal distribution). For nonnormally distributed continuous data, for ordinal data, or for data with relevant outliers, a Spearman rank correlation can be used as a measure of a monotonic association. Both correlation coefficients are scaled such that they range from –1 to +1, where 0 indicates that there is no linear or monotonic association, and the relationship gets stronger and ultimately approaches a straight line (Pearson correlation) or a constantly increasing or decreasing curve (Spearman correlation) as the coefficient approaches an absolute value of 1. Hypothesis tests and confidence intervals can be used to address the statistical significance of the results and to estimate the strength of the relationship in the population from which the data were sampled. The aim of this tutorial is to guide researchers and clinicians in the appropriate use and interpretation of correlation coefficients. (Anesth Analg 2018;126:1763–8.","author":[{"dropping-particle":"","family":"Schober","given":"Patrick","non-dropping-particle":"","parse-names":false,"suffix":""},{"dropping-particle":"","family":"Schwarte","given":"Lothar A.","non-dropping-particle":"","parse-names":false,"suffix":""}],"container-title":"Anesthesia and Analgesia","id":"ITEM-1","issue":"5","issued":{"date-parts":[["2018"]]},"page":"1763-1768","title":"Correlation coefficients: Appropriate use and interpretation","type":"article-journal","volume":"126"},"uris":["http://www.mendeley.com/documents/?uuid=10a37f0a-09f8-4f7b-beb7-04e3957b8704"]}],"mendeley":{"formattedCitation":"(Schober &amp; Schwarte, 2018)","plainTextFormattedCitation":"(Schober &amp; Schwarte, 2018)","previouslyFormattedCitation":"(Schober &amp; Schwarte,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(Schober &amp; Schwarte, 2018)</w:t>
      </w:r>
      <w:r w:rsidRPr="005459E6">
        <w:rPr>
          <w:rFonts w:ascii="Times New Roman" w:hAnsi="Times New Roman" w:cs="Times New Roman"/>
        </w:rPr>
        <w:fldChar w:fldCharType="end"/>
      </w:r>
      <w:r w:rsidRPr="005459E6">
        <w:rPr>
          <w:rFonts w:ascii="Times New Roman" w:hAnsi="Times New Roman" w:cs="Times New Roman"/>
        </w:rPr>
        <w:t xml:space="preserve">. Hence Pearson correlation was adopted to be able to reflect on </w:t>
      </w:r>
      <w:r w:rsidR="004970FE" w:rsidRPr="005459E6">
        <w:rPr>
          <w:rFonts w:ascii="Times New Roman" w:hAnsi="Times New Roman" w:cs="Times New Roman"/>
        </w:rPr>
        <w:t>the r</w:t>
      </w:r>
      <w:r w:rsidRPr="005459E6">
        <w:rPr>
          <w:rFonts w:ascii="Times New Roman" w:hAnsi="Times New Roman" w:cs="Times New Roman"/>
        </w:rPr>
        <w:t xml:space="preserve">ole of technology </w:t>
      </w:r>
      <w:r w:rsidR="005C48ED" w:rsidRPr="005459E6">
        <w:rPr>
          <w:rFonts w:ascii="Times New Roman" w:hAnsi="Times New Roman" w:cs="Times New Roman"/>
        </w:rPr>
        <w:t>in</w:t>
      </w:r>
      <w:r w:rsidRPr="005459E6">
        <w:rPr>
          <w:rFonts w:ascii="Times New Roman" w:hAnsi="Times New Roman" w:cs="Times New Roman"/>
        </w:rPr>
        <w:t xml:space="preserve"> Well-being and to ascertain the confirmation of Psychosomatic Health.</w:t>
      </w:r>
    </w:p>
    <w:p w14:paraId="65D839A5" w14:textId="2124DDD7"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Qualitative comments suggested that mental health impacts physical health. Insights from Qualitative Content analysis of Case studies (Refer to </w:t>
      </w:r>
      <w:r w:rsidR="00135FB1" w:rsidRPr="005459E6">
        <w:rPr>
          <w:rFonts w:ascii="Times New Roman" w:hAnsi="Times New Roman" w:cs="Times New Roman"/>
          <w:bCs/>
        </w:rPr>
        <w:t>Table</w:t>
      </w:r>
      <w:r w:rsidRPr="005459E6">
        <w:rPr>
          <w:rFonts w:ascii="Times New Roman" w:hAnsi="Times New Roman" w:cs="Times New Roman"/>
          <w:bCs/>
        </w:rPr>
        <w:t xml:space="preserve"> 1</w:t>
      </w:r>
      <w:r w:rsidRPr="005459E6">
        <w:rPr>
          <w:rFonts w:ascii="Times New Roman" w:hAnsi="Times New Roman" w:cs="Times New Roman"/>
        </w:rPr>
        <w:t>) accentuate the significant ‘role of technology for mental health’.  As mental health impacts individual well</w:t>
      </w:r>
      <w:r w:rsidR="002F3062" w:rsidRPr="005459E6">
        <w:rPr>
          <w:rFonts w:ascii="Times New Roman" w:hAnsi="Times New Roman" w:cs="Times New Roman"/>
        </w:rPr>
        <w:t>-</w:t>
      </w:r>
      <w:r w:rsidRPr="005459E6">
        <w:rPr>
          <w:rFonts w:ascii="Times New Roman" w:hAnsi="Times New Roman" w:cs="Times New Roman"/>
        </w:rPr>
        <w:t>being</w:t>
      </w:r>
      <w:r w:rsidR="004970FE" w:rsidRPr="005459E6">
        <w:rPr>
          <w:rFonts w:ascii="Times New Roman" w:hAnsi="Times New Roman" w:cs="Times New Roman"/>
        </w:rPr>
        <w:t>,</w:t>
      </w:r>
      <w:r w:rsidRPr="005459E6">
        <w:rPr>
          <w:rFonts w:ascii="Times New Roman" w:hAnsi="Times New Roman" w:cs="Times New Roman"/>
        </w:rPr>
        <w:t xml:space="preserve"> we can ascertain that technology can support individuals’ well</w:t>
      </w:r>
      <w:r w:rsidR="005C48ED" w:rsidRPr="005459E6">
        <w:rPr>
          <w:rFonts w:ascii="Times New Roman" w:hAnsi="Times New Roman" w:cs="Times New Roman"/>
        </w:rPr>
        <w:t>-</w:t>
      </w:r>
      <w:r w:rsidRPr="005459E6">
        <w:rPr>
          <w:rFonts w:ascii="Times New Roman" w:hAnsi="Times New Roman" w:cs="Times New Roman"/>
        </w:rPr>
        <w:t xml:space="preserve">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{"citationItems":[{"id":"ITEM-1","itemData":{"ISBN":"0197506275","author":[{"dropping-particle":"","family":"Eyre","given":"Harris A","non-dropping-particle":"","parse-names":false,"suffix":""},{"dropping-particle":"","family":"Berk","given":"Michael","non-dropping-particle":"","parse-names":false,"suffix":""},{"dropping-particle":"","family":"Lavretsky","given":"Helen","non-dropping-particle":"","parse-names":false,"suffix":""}],"id":"ITEM-1","issued":{"date-parts":[["2021"]]},"publisher":"Oxford University Press, USA","title":"Convergence Mental Health: A Transdisciplinary Approach to Innovation","type":"book"},"uris":["http://www.mendeley.com/documents/?uuid=b74a5f21-8f4e-4985-b457-908fc3a006ef"]}],"mendeley":{"formattedCitation":"(Eyre et al., 2021)","plainTextFormattedCitation":"(Eyre et al., 2021)","previouslyFormattedCitation":"(Eyre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(Eyre et al., 2021)</w:t>
      </w:r>
      <w:r w:rsidRPr="005459E6">
        <w:rPr>
          <w:rFonts w:ascii="Times New Roman" w:hAnsi="Times New Roman" w:cs="Times New Roman"/>
        </w:rPr>
        <w:fldChar w:fldCharType="end"/>
      </w:r>
      <w:r w:rsidRPr="005459E6">
        <w:rPr>
          <w:rFonts w:ascii="Times New Roman" w:hAnsi="Times New Roman" w:cs="Times New Roman"/>
        </w:rPr>
        <w:t>.</w:t>
      </w:r>
    </w:p>
    <w:p w14:paraId="33285D16" w14:textId="77777777" w:rsidR="003C0C38" w:rsidRPr="005459E6" w:rsidRDefault="003C0C38" w:rsidP="00042CB0">
      <w:pPr>
        <w:spacing w:line="360" w:lineRule="auto"/>
        <w:jc w:val="both"/>
        <w:rPr>
          <w:rFonts w:ascii="Times New Roman" w:hAnsi="Times New Roman" w:cs="Times New Roman"/>
        </w:rPr>
      </w:pPr>
    </w:p>
    <w:p w14:paraId="2E87EF48" w14:textId="6DF57A12"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The dataset included </w:t>
      </w:r>
      <w:r w:rsidR="004970FE" w:rsidRPr="005459E6">
        <w:rPr>
          <w:rFonts w:ascii="Times New Roman" w:hAnsi="Times New Roman" w:cs="Times New Roman"/>
        </w:rPr>
        <w:t xml:space="preserve">the </w:t>
      </w:r>
      <w:r w:rsidRPr="005459E6">
        <w:rPr>
          <w:rFonts w:ascii="Times New Roman" w:hAnsi="Times New Roman" w:cs="Times New Roman"/>
        </w:rPr>
        <w:t xml:space="preserve">following variables: </w:t>
      </w:r>
    </w:p>
    <w:p w14:paraId="4F8730D1" w14:textId="4F5610B0" w:rsidR="009943FB" w:rsidRPr="005459E6" w:rsidRDefault="00000000" w:rsidP="00042CB0">
      <w:pPr>
        <w:pStyle w:val="ListParagraphPHPDOCX"/>
        <w:numPr>
          <w:ilvl w:val="0"/>
          <w:numId w:val="6"/>
        </w:numPr>
        <w:spacing w:line="360" w:lineRule="auto"/>
        <w:jc w:val="both"/>
        <w:rPr>
          <w:rFonts w:ascii="Times New Roman" w:hAnsi="Times New Roman" w:cs="Times New Roman"/>
        </w:rPr>
      </w:pPr>
      <w:hyperlink w:anchor="B5Gh5sm3" w:history="1">
        <w:r w:rsidR="003C0C38" w:rsidRPr="005459E6">
          <w:rPr>
            <w:rFonts w:ascii="Times New Roman" w:hAnsi="Times New Roman" w:cs="Times New Roman"/>
            <w:u w:val="single"/>
          </w:rPr>
          <w:t>Pearson Correlation Analysis for Psychological_Issue, Role_of_Technology, Personality_Dimensions, Bio_Signatures, Subconscious_Mind, Physical_Issue, Psychosomatic_Health, Conscious_Mind, and Therapeutic_Intervention</w:t>
        </w:r>
      </w:hyperlink>
    </w:p>
    <w:p w14:paraId="33CB067B" w14:textId="4AAF1B91" w:rsidR="00733DDB" w:rsidRPr="005459E6" w:rsidRDefault="00733DDB" w:rsidP="00042CB0">
      <w:pPr>
        <w:pStyle w:val="ListParagraphPHPDOCX"/>
        <w:spacing w:line="360" w:lineRule="auto"/>
        <w:jc w:val="both"/>
        <w:rPr>
          <w:rFonts w:ascii="Times New Roman" w:hAnsi="Times New Roman" w:cs="Times New Roman"/>
          <w:u w:val="single"/>
        </w:rPr>
      </w:pPr>
    </w:p>
    <w:p w14:paraId="3AC156ED" w14:textId="77777777" w:rsidR="00733DDB" w:rsidRPr="005459E6" w:rsidRDefault="00733DDB" w:rsidP="00042CB0">
      <w:pPr>
        <w:pStyle w:val="ListParagraphPHPDOCX"/>
        <w:spacing w:line="360" w:lineRule="auto"/>
        <w:jc w:val="both"/>
        <w:rPr>
          <w:rFonts w:ascii="Times New Roman" w:hAnsi="Times New Roman" w:cs="Times New Roman"/>
        </w:rPr>
      </w:pPr>
    </w:p>
    <w:p w14:paraId="636A835A" w14:textId="2B1EE3DA" w:rsidR="00396660" w:rsidRPr="005459E6" w:rsidRDefault="003C0C38" w:rsidP="00042CB0">
      <w:pPr>
        <w:spacing w:before="240" w:after="120" w:line="360" w:lineRule="auto"/>
        <w:jc w:val="both"/>
        <w:rPr>
          <w:rFonts w:ascii="Times New Roman" w:hAnsi="Times New Roman" w:cs="Times New Roman"/>
          <w:b/>
          <w:bCs/>
        </w:rPr>
      </w:pPr>
      <w:bookmarkStart w:id="269" w:name="B5Gh5sm3"/>
      <w:r w:rsidRPr="005459E6">
        <w:rPr>
          <w:rFonts w:ascii="Times New Roman" w:hAnsi="Times New Roman" w:cs="Times New Roman"/>
          <w:b/>
          <w:bCs/>
        </w:rPr>
        <w:lastRenderedPageBreak/>
        <w:t>Pearson Correlation Analysis</w:t>
      </w:r>
    </w:p>
    <w:p w14:paraId="6B860962" w14:textId="77777777" w:rsidR="00741DD0" w:rsidRPr="005459E6" w:rsidRDefault="00741DD0" w:rsidP="00042CB0">
      <w:pPr>
        <w:spacing w:before="240" w:after="120" w:line="360" w:lineRule="auto"/>
        <w:jc w:val="both"/>
        <w:rPr>
          <w:rFonts w:ascii="Times New Roman" w:hAnsi="Times New Roman" w:cs="Times New Roman"/>
        </w:rPr>
      </w:pPr>
      <w:bookmarkStart w:id="270" w:name="BdPXmfOo"/>
      <w:bookmarkStart w:id="271" w:name="_Toc73129036"/>
      <w:bookmarkEnd w:id="269"/>
      <w:r w:rsidRPr="005459E6">
        <w:rPr>
          <w:rFonts w:ascii="Times New Roman" w:hAnsi="Times New Roman" w:cs="Times New Roman"/>
          <w:b/>
          <w:bCs/>
          <w:i/>
          <w:iCs/>
        </w:rPr>
        <w:t>Introduction</w:t>
      </w:r>
    </w:p>
    <w:p w14:paraId="5754DD64" w14:textId="4CF59E7C" w:rsidR="00895510" w:rsidRPr="005459E6" w:rsidRDefault="00741DD0"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A Pearson correlation analysis was conducted among Psychological_Issue, Subconscious_Mind, Bio_Signatures, Physical_Issue, Conscious_Mind, Therapeutic_Intervention, Role_of_Technology, Personality_Dimensions, and Psychosomatic_Health. </w:t>
      </w:r>
      <w:r w:rsidR="009C5F81" w:rsidRPr="005459E6">
        <w:rPr>
          <w:rFonts w:ascii="Times New Roman" w:hAnsi="Times New Roman" w:cs="Times New Roman"/>
        </w:rPr>
        <w:t>The strength of the correlations was assessed using Cohen's standard, with coefficients between</w:t>
      </w:r>
      <w:r w:rsidR="001D1AD4" w:rsidRPr="005459E6">
        <w:rPr>
          <w:rFonts w:ascii="Times New Roman" w:hAnsi="Times New Roman" w:cs="Times New Roman"/>
        </w:rPr>
        <w:t xml:space="preserve"> </w:t>
      </w:r>
      <w:r w:rsidR="009C5F81" w:rsidRPr="005459E6">
        <w:rPr>
          <w:rFonts w:ascii="Times New Roman" w:hAnsi="Times New Roman" w:cs="Times New Roman"/>
        </w:rPr>
        <w:t xml:space="preserve">.10 and.29 indicating a minor impact size, coefficients between.30 and.49 indicating a moderate effect size, and coefficients above.50 indicating a big effect size </w:t>
      </w:r>
      <w:r w:rsidR="003867F6" w:rsidRPr="005459E6">
        <w:rPr>
          <w:rFonts w:ascii="Times New Roman" w:hAnsi="Times New Roman" w:cs="Times New Roman"/>
        </w:rPr>
        <w:fldChar w:fldCharType="begin" w:fldLock="1"/>
      </w:r>
      <w:r w:rsidR="00B15119" w:rsidRPr="005459E6">
        <w:rPr>
          <w:rFonts w:ascii="Times New Roman" w:hAnsi="Times New Roman" w:cs="Times New Roman"/>
        </w:rPr>
        <w:instrText>ADDIN CSL_CITATION {"citationItems":[{"id":"ITEM-1","itemData":{"author":[{"dropping-particle":"","family":"Cohen","given":"J","non-dropping-particle":"","parse-names":false,"suffix":""}],"id":"ITEM-1","issued":{"date-parts":[["1988"]]},"publisher":"Erlbaum. Conner, BE (1988). The Box in the Barn. Columbus: Highlights for …","title":"Statistical Power Analysis for the Behavioral Sciences. Hillsdle","type":"article"},"uris":["http://www.mendeley.com/documents/?uuid=84c2f1af-0a97-41a3-86ff-a791d882c201"]}],"mendeley":{"formattedCitation":"(J. Cohen, 1988)","manualFormatting":"(Cohen, 1988)","plainTextFormattedCitation":"(J. Cohen, 1988)","previouslyFormattedCitation":"(J. Cohen, 1988)"},"properties":{"noteIndex":0},"schema":"https://github.com/citation-style-language/schema/raw/master/csl-citation.json"}</w:instrText>
      </w:r>
      <w:r w:rsidR="003867F6" w:rsidRPr="005459E6">
        <w:rPr>
          <w:rFonts w:ascii="Times New Roman" w:hAnsi="Times New Roman" w:cs="Times New Roman"/>
        </w:rPr>
        <w:fldChar w:fldCharType="separate"/>
      </w:r>
      <w:r w:rsidR="003867F6" w:rsidRPr="005459E6">
        <w:rPr>
          <w:rFonts w:ascii="Times New Roman" w:hAnsi="Times New Roman" w:cs="Times New Roman"/>
          <w:noProof/>
        </w:rPr>
        <w:t>(Cohen, 1988)</w:t>
      </w:r>
      <w:r w:rsidR="003867F6" w:rsidRPr="005459E6">
        <w:rPr>
          <w:rFonts w:ascii="Times New Roman" w:hAnsi="Times New Roman" w:cs="Times New Roman"/>
        </w:rPr>
        <w:fldChar w:fldCharType="end"/>
      </w:r>
      <w:r w:rsidR="003867F6" w:rsidRPr="005459E6">
        <w:rPr>
          <w:rFonts w:ascii="Times New Roman" w:hAnsi="Times New Roman" w:cs="Times New Roman"/>
        </w:rPr>
        <w:t>.</w:t>
      </w:r>
    </w:p>
    <w:p w14:paraId="245EDF51" w14:textId="2ED5B386"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i/>
          <w:iCs/>
        </w:rPr>
        <w:t>Assumptions</w:t>
      </w:r>
    </w:p>
    <w:p w14:paraId="66A9EECE" w14:textId="05267A6F" w:rsidR="00741DD0" w:rsidRPr="005459E6" w:rsidRDefault="00741DD0"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b/>
          <w:bCs/>
        </w:rPr>
        <w:t>Linearity.</w:t>
      </w:r>
      <w:r w:rsidRPr="005459E6">
        <w:rPr>
          <w:rFonts w:ascii="Times New Roman" w:hAnsi="Times New Roman" w:cs="Times New Roman"/>
        </w:rPr>
        <w:t xml:space="preserve"> </w:t>
      </w:r>
      <w:r w:rsidR="002A1D3F" w:rsidRPr="005459E6">
        <w:rPr>
          <w:rFonts w:ascii="Times New Roman" w:hAnsi="Times New Roman" w:cs="Times New Roman"/>
        </w:rPr>
        <w:t xml:space="preserve">A Pearson correlation requires that each pair of variables have a linear connection </w:t>
      </w:r>
      <w:r w:rsidR="00AA70B3" w:rsidRPr="005459E6">
        <w:rPr>
          <w:rFonts w:ascii="Times New Roman" w:hAnsi="Times New Roman" w:cs="Times New Roman"/>
        </w:rPr>
        <w:fldChar w:fldCharType="begin" w:fldLock="1"/>
      </w:r>
      <w:r w:rsidR="00E3174A" w:rsidRPr="005459E6">
        <w:rPr>
          <w:rFonts w:ascii="Times New Roman" w:hAnsi="Times New Roman" w:cs="Times New Roman"/>
        </w:rPr>
        <w:instrText>ADDIN CSL_CITATION {"citationItems":[{"id":"ITEM-1","itemData":{"ISSN":"0003-1305","author":[{"dropping-particle":"","family":"Conover","given":"William J","non-dropping-particle":"","parse-names":false,"suffix":""},{"dropping-particle":"","family":"Iman","given":"Ronald L","non-dropping-particle":"","parse-names":false,"suffix":""}],"container-title":"The American Statistician","id":"ITEM-1","issue":"3","issued":{"date-parts":[["1981"]]},"page":"124-129","publisher":"Taylor &amp; Francis","title":"Rank transformations as a bridge between parametric and nonparametric statistics","type":"article-journal","volume":"35"},"uris":["http://www.mendeley.com/documents/?uuid=a43e91e0-c1af-4923-a053-ca0e16d7b808"]}],"mendeley":{"formattedCitation":"(Conover &amp; Iman, 1981)","plainTextFormattedCitation":"(Conover &amp; Iman, 1981)","previouslyFormattedCitation":"(Conover &amp; Iman, 1981)"},"properties":{"noteIndex":0},"schema":"https://github.com/citation-style-language/schema/raw/master/csl-citation.json"}</w:instrText>
      </w:r>
      <w:r w:rsidR="00AA70B3" w:rsidRPr="005459E6">
        <w:rPr>
          <w:rFonts w:ascii="Times New Roman" w:hAnsi="Times New Roman" w:cs="Times New Roman"/>
        </w:rPr>
        <w:fldChar w:fldCharType="separate"/>
      </w:r>
      <w:r w:rsidR="00AA70B3" w:rsidRPr="005459E6">
        <w:rPr>
          <w:rFonts w:ascii="Times New Roman" w:hAnsi="Times New Roman" w:cs="Times New Roman"/>
          <w:noProof/>
        </w:rPr>
        <w:t>(Conover &amp; Iman, 1981)</w:t>
      </w:r>
      <w:r w:rsidR="00AA70B3" w:rsidRPr="005459E6">
        <w:rPr>
          <w:rFonts w:ascii="Times New Roman" w:hAnsi="Times New Roman" w:cs="Times New Roman"/>
        </w:rPr>
        <w:fldChar w:fldCharType="end"/>
      </w:r>
      <w:r w:rsidR="00F64307" w:rsidRPr="005459E6">
        <w:rPr>
          <w:rFonts w:ascii="Times New Roman" w:hAnsi="Times New Roman" w:cs="Times New Roman"/>
        </w:rPr>
        <w:t xml:space="preserve">. </w:t>
      </w:r>
      <w:r w:rsidR="002A1D3F" w:rsidRPr="005459E6">
        <w:rPr>
          <w:rFonts w:ascii="Times New Roman" w:hAnsi="Times New Roman" w:cs="Times New Roman"/>
        </w:rPr>
        <w:t>If there is curvature among the dots on the scatterplot between any two variables, this assumption is broken. The scatterplots of the relationships are shown in Figure 1</w:t>
      </w:r>
      <w:r w:rsidR="00AA5CE0" w:rsidRPr="005459E6">
        <w:rPr>
          <w:rFonts w:ascii="Times New Roman" w:hAnsi="Times New Roman" w:cs="Times New Roman"/>
        </w:rPr>
        <w:t>.1</w:t>
      </w:r>
      <w:r w:rsidR="002A1D3F" w:rsidRPr="005459E6">
        <w:rPr>
          <w:rFonts w:ascii="Times New Roman" w:hAnsi="Times New Roman" w:cs="Times New Roman"/>
        </w:rPr>
        <w:t xml:space="preserve"> and Figure </w:t>
      </w:r>
      <w:r w:rsidR="00AA5CE0" w:rsidRPr="005459E6">
        <w:rPr>
          <w:rFonts w:ascii="Times New Roman" w:hAnsi="Times New Roman" w:cs="Times New Roman"/>
        </w:rPr>
        <w:t>1.</w:t>
      </w:r>
      <w:r w:rsidR="002A1D3F" w:rsidRPr="005459E6">
        <w:rPr>
          <w:rFonts w:ascii="Times New Roman" w:hAnsi="Times New Roman" w:cs="Times New Roman"/>
        </w:rPr>
        <w:t>18. To aid interpretation, a regression line has been included.</w:t>
      </w:r>
    </w:p>
    <w:p w14:paraId="6ED3B877" w14:textId="77777777" w:rsidR="00765E48" w:rsidRPr="005459E6" w:rsidRDefault="00765E48" w:rsidP="00042CB0">
      <w:pPr>
        <w:spacing w:before="240" w:after="120" w:line="360" w:lineRule="auto"/>
        <w:ind w:firstLine="720"/>
        <w:jc w:val="both"/>
        <w:rPr>
          <w:rFonts w:ascii="Times New Roman" w:hAnsi="Times New Roman" w:cs="Times New Roman"/>
        </w:rPr>
      </w:pPr>
    </w:p>
    <w:p w14:paraId="203B4083" w14:textId="2B9C027F"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Figure 1</w:t>
      </w:r>
      <w:r w:rsidR="009134B4" w:rsidRPr="005459E6">
        <w:rPr>
          <w:rFonts w:ascii="Times New Roman" w:hAnsi="Times New Roman" w:cs="Times New Roman"/>
          <w:b/>
          <w:bCs/>
        </w:rPr>
        <w:t>.1</w:t>
      </w:r>
    </w:p>
    <w:p w14:paraId="1C2695BE"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Psychological_Issue and Subconscious_Mind (left), Psychological_Issue and Bio_Signatures (right)</w:t>
      </w:r>
    </w:p>
    <w:p w14:paraId="7129848C" w14:textId="6C161DEC" w:rsidR="00113AED"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CE0AD8C" wp14:editId="626EA947">
            <wp:extent cx="2743200" cy="2743200"/>
            <wp:effectExtent l="0" t="0" r="0" b="0"/>
            <wp:docPr id="76588538" name="name930761a355573736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6"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4A60E554" wp14:editId="024AADDF">
            <wp:extent cx="2743200" cy="2743200"/>
            <wp:effectExtent l="0" t="0" r="0" b="0"/>
            <wp:docPr id="36840716" name="name557661a355573745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7" cstate="print"/>
                    <a:stretch>
                      <a:fillRect/>
                    </a:stretch>
                  </pic:blipFill>
                  <pic:spPr>
                    <a:xfrm>
                      <a:off x="0" y="0"/>
                      <a:ext cx="2743200" cy="2743200"/>
                    </a:xfrm>
                    <a:prstGeom prst="rect">
                      <a:avLst/>
                    </a:prstGeom>
                    <a:ln w="0">
                      <a:noFill/>
                    </a:ln>
                  </pic:spPr>
                </pic:pic>
              </a:graphicData>
            </a:graphic>
          </wp:inline>
        </w:drawing>
      </w:r>
    </w:p>
    <w:p w14:paraId="5955DD3C" w14:textId="2D441D1B"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9134B4" w:rsidRPr="005459E6">
        <w:rPr>
          <w:rFonts w:ascii="Times New Roman" w:hAnsi="Times New Roman" w:cs="Times New Roman"/>
          <w:b/>
          <w:bCs/>
        </w:rPr>
        <w:t>1.2</w:t>
      </w:r>
    </w:p>
    <w:p w14:paraId="4E153EC2"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Psychological_Issue and Physical_Issue (left), Psychological_Issue and Conscious_Mind (right)</w:t>
      </w:r>
    </w:p>
    <w:p w14:paraId="20156AE6"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5FCFC23" wp14:editId="55618011">
            <wp:extent cx="2743200" cy="2743200"/>
            <wp:effectExtent l="0" t="0" r="0" b="0"/>
            <wp:docPr id="50651845" name="name481261a3555737508"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8"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187AE33C" wp14:editId="3D6C41E6">
            <wp:extent cx="2743200" cy="2743200"/>
            <wp:effectExtent l="0" t="0" r="0" b="0"/>
            <wp:docPr id="5451180" name="name619761a3555737595"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9" cstate="print"/>
                    <a:stretch>
                      <a:fillRect/>
                    </a:stretch>
                  </pic:blipFill>
                  <pic:spPr>
                    <a:xfrm>
                      <a:off x="0" y="0"/>
                      <a:ext cx="2743200" cy="2743200"/>
                    </a:xfrm>
                    <a:prstGeom prst="rect">
                      <a:avLst/>
                    </a:prstGeom>
                    <a:ln w="0">
                      <a:noFill/>
                    </a:ln>
                  </pic:spPr>
                </pic:pic>
              </a:graphicData>
            </a:graphic>
          </wp:inline>
        </w:drawing>
      </w:r>
    </w:p>
    <w:p w14:paraId="5CA147F1" w14:textId="77777777" w:rsidR="009D5316" w:rsidRPr="005459E6" w:rsidRDefault="009D5316" w:rsidP="00042CB0">
      <w:pPr>
        <w:spacing w:before="240" w:after="120" w:line="360" w:lineRule="auto"/>
        <w:jc w:val="both"/>
        <w:rPr>
          <w:rFonts w:ascii="Times New Roman" w:hAnsi="Times New Roman" w:cs="Times New Roman"/>
          <w:b/>
          <w:bCs/>
        </w:rPr>
      </w:pPr>
    </w:p>
    <w:p w14:paraId="70B2CBE6" w14:textId="681F5F81"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9134B4" w:rsidRPr="005459E6">
        <w:rPr>
          <w:rFonts w:ascii="Times New Roman" w:hAnsi="Times New Roman" w:cs="Times New Roman"/>
          <w:b/>
          <w:bCs/>
        </w:rPr>
        <w:t>1.</w:t>
      </w:r>
      <w:r w:rsidRPr="005459E6">
        <w:rPr>
          <w:rFonts w:ascii="Times New Roman" w:hAnsi="Times New Roman" w:cs="Times New Roman"/>
          <w:b/>
          <w:bCs/>
        </w:rPr>
        <w:t>3</w:t>
      </w:r>
    </w:p>
    <w:p w14:paraId="1645284C"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Psychological_Issue and Therapeutic_Intervention (left), Psychological_Issue and Role_of_Technology (right)</w:t>
      </w:r>
    </w:p>
    <w:p w14:paraId="7627BB41"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7D28EADE" wp14:editId="25C75072">
            <wp:extent cx="2743200" cy="2743200"/>
            <wp:effectExtent l="0" t="0" r="0" b="0"/>
            <wp:docPr id="25217685" name="name104361a3555737657"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0"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6A65DA63" wp14:editId="6077F1E9">
            <wp:extent cx="2743200" cy="2743200"/>
            <wp:effectExtent l="0" t="0" r="0" b="0"/>
            <wp:docPr id="56034122" name="name229961a35557376eb"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1" cstate="print"/>
                    <a:stretch>
                      <a:fillRect/>
                    </a:stretch>
                  </pic:blipFill>
                  <pic:spPr>
                    <a:xfrm>
                      <a:off x="0" y="0"/>
                      <a:ext cx="2743200" cy="2743200"/>
                    </a:xfrm>
                    <a:prstGeom prst="rect">
                      <a:avLst/>
                    </a:prstGeom>
                    <a:ln w="0">
                      <a:noFill/>
                    </a:ln>
                  </pic:spPr>
                </pic:pic>
              </a:graphicData>
            </a:graphic>
          </wp:inline>
        </w:drawing>
      </w:r>
    </w:p>
    <w:p w14:paraId="6D47B009" w14:textId="0983702B"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9134B4" w:rsidRPr="005459E6">
        <w:rPr>
          <w:rFonts w:ascii="Times New Roman" w:hAnsi="Times New Roman" w:cs="Times New Roman"/>
          <w:b/>
          <w:bCs/>
        </w:rPr>
        <w:t>1.</w:t>
      </w:r>
      <w:r w:rsidRPr="005459E6">
        <w:rPr>
          <w:rFonts w:ascii="Times New Roman" w:hAnsi="Times New Roman" w:cs="Times New Roman"/>
          <w:b/>
          <w:bCs/>
        </w:rPr>
        <w:t>4</w:t>
      </w:r>
    </w:p>
    <w:p w14:paraId="72393A2F"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Psychological_Issue and Personality_Dimensions (left), Psychological_Issue and Psychosomatic_Health (right)</w:t>
      </w:r>
    </w:p>
    <w:p w14:paraId="187A1317"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748871B3" wp14:editId="317EDC1C">
            <wp:extent cx="2743200" cy="2743200"/>
            <wp:effectExtent l="0" t="0" r="0" b="0"/>
            <wp:docPr id="84351952" name="name830261a3555737795"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2"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6ACEF037" wp14:editId="1FE26A37">
            <wp:extent cx="2743200" cy="2743200"/>
            <wp:effectExtent l="0" t="0" r="0" b="0"/>
            <wp:docPr id="19274703" name="name639461a355573782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3" cstate="print"/>
                    <a:stretch>
                      <a:fillRect/>
                    </a:stretch>
                  </pic:blipFill>
                  <pic:spPr>
                    <a:xfrm>
                      <a:off x="0" y="0"/>
                      <a:ext cx="2743200" cy="2743200"/>
                    </a:xfrm>
                    <a:prstGeom prst="rect">
                      <a:avLst/>
                    </a:prstGeom>
                    <a:ln w="0">
                      <a:noFill/>
                    </a:ln>
                  </pic:spPr>
                </pic:pic>
              </a:graphicData>
            </a:graphic>
          </wp:inline>
        </w:drawing>
      </w:r>
    </w:p>
    <w:p w14:paraId="1E3B1021" w14:textId="5AD8EC94"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9134B4" w:rsidRPr="005459E6">
        <w:rPr>
          <w:rFonts w:ascii="Times New Roman" w:hAnsi="Times New Roman" w:cs="Times New Roman"/>
          <w:b/>
          <w:bCs/>
        </w:rPr>
        <w:t>1.</w:t>
      </w:r>
      <w:r w:rsidRPr="005459E6">
        <w:rPr>
          <w:rFonts w:ascii="Times New Roman" w:hAnsi="Times New Roman" w:cs="Times New Roman"/>
          <w:b/>
          <w:bCs/>
        </w:rPr>
        <w:t>5</w:t>
      </w:r>
    </w:p>
    <w:p w14:paraId="5AE6935C"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Subconscious_Mind and Bio_Signatures (left), Subconscious_Mind and Physical_Issue (right)</w:t>
      </w:r>
    </w:p>
    <w:p w14:paraId="5AB0144D"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C1179C0" wp14:editId="55789650">
            <wp:extent cx="2743200" cy="2743200"/>
            <wp:effectExtent l="0" t="0" r="0" b="0"/>
            <wp:docPr id="81078654" name="name841161a35557378bb"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4"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0E2B538E" wp14:editId="2F3135EB">
            <wp:extent cx="2743200" cy="2743200"/>
            <wp:effectExtent l="0" t="0" r="0" b="0"/>
            <wp:docPr id="61427681" name="name351161a355573794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5" cstate="print"/>
                    <a:stretch>
                      <a:fillRect/>
                    </a:stretch>
                  </pic:blipFill>
                  <pic:spPr>
                    <a:xfrm>
                      <a:off x="0" y="0"/>
                      <a:ext cx="2743200" cy="2743200"/>
                    </a:xfrm>
                    <a:prstGeom prst="rect">
                      <a:avLst/>
                    </a:prstGeom>
                    <a:ln w="0">
                      <a:noFill/>
                    </a:ln>
                  </pic:spPr>
                </pic:pic>
              </a:graphicData>
            </a:graphic>
          </wp:inline>
        </w:drawing>
      </w:r>
    </w:p>
    <w:p w14:paraId="0581692B" w14:textId="77777777" w:rsidR="009D5316" w:rsidRPr="005459E6" w:rsidRDefault="009D5316" w:rsidP="00042CB0">
      <w:pPr>
        <w:spacing w:before="240" w:after="120" w:line="360" w:lineRule="auto"/>
        <w:jc w:val="both"/>
        <w:rPr>
          <w:rFonts w:ascii="Times New Roman" w:hAnsi="Times New Roman" w:cs="Times New Roman"/>
          <w:b/>
          <w:bCs/>
        </w:rPr>
      </w:pPr>
    </w:p>
    <w:p w14:paraId="3007ACAF" w14:textId="52EEFD2A"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9134B4" w:rsidRPr="005459E6">
        <w:rPr>
          <w:rFonts w:ascii="Times New Roman" w:hAnsi="Times New Roman" w:cs="Times New Roman"/>
          <w:b/>
          <w:bCs/>
        </w:rPr>
        <w:t>1</w:t>
      </w:r>
      <w:r w:rsidR="00314D85" w:rsidRPr="005459E6">
        <w:rPr>
          <w:rFonts w:ascii="Times New Roman" w:hAnsi="Times New Roman" w:cs="Times New Roman"/>
          <w:b/>
          <w:bCs/>
        </w:rPr>
        <w:t>.</w:t>
      </w:r>
      <w:r w:rsidRPr="005459E6">
        <w:rPr>
          <w:rFonts w:ascii="Times New Roman" w:hAnsi="Times New Roman" w:cs="Times New Roman"/>
          <w:b/>
          <w:bCs/>
        </w:rPr>
        <w:t>6</w:t>
      </w:r>
    </w:p>
    <w:p w14:paraId="31787FD4"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Subconscious_Mind and Conscious_Mind (left), Subconscious_Mind and Therapeutic_Intervention (right)</w:t>
      </w:r>
    </w:p>
    <w:p w14:paraId="76CCC214"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DEE4F37" wp14:editId="0A61B877">
            <wp:extent cx="2743200" cy="2743200"/>
            <wp:effectExtent l="0" t="0" r="0" b="0"/>
            <wp:docPr id="13968847" name="name509561a35557379e2"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6"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61EE6BA5" wp14:editId="12A47E8C">
            <wp:extent cx="2743200" cy="2743200"/>
            <wp:effectExtent l="0" t="0" r="0" b="0"/>
            <wp:docPr id="78530410" name="name571161a3555737a64"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7" cstate="print"/>
                    <a:stretch>
                      <a:fillRect/>
                    </a:stretch>
                  </pic:blipFill>
                  <pic:spPr>
                    <a:xfrm>
                      <a:off x="0" y="0"/>
                      <a:ext cx="2743200" cy="2743200"/>
                    </a:xfrm>
                    <a:prstGeom prst="rect">
                      <a:avLst/>
                    </a:prstGeom>
                    <a:ln w="0">
                      <a:noFill/>
                    </a:ln>
                  </pic:spPr>
                </pic:pic>
              </a:graphicData>
            </a:graphic>
          </wp:inline>
        </w:drawing>
      </w:r>
    </w:p>
    <w:p w14:paraId="283E5FD8" w14:textId="1D40A09B"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7</w:t>
      </w:r>
    </w:p>
    <w:p w14:paraId="7BEFAE91"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Subconscious_Mind and Role_of_Technology (left), Subconscious_Mind and Personality_Dimensions (right)</w:t>
      </w:r>
    </w:p>
    <w:p w14:paraId="3508ED5C"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B978006" wp14:editId="0E1744BE">
            <wp:extent cx="2743200" cy="2743200"/>
            <wp:effectExtent l="0" t="0" r="0" b="0"/>
            <wp:docPr id="82306796" name="name892261a3555737af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8"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2DB4E958" wp14:editId="106890EA">
            <wp:extent cx="2743200" cy="2743200"/>
            <wp:effectExtent l="0" t="0" r="0" b="0"/>
            <wp:docPr id="4641391" name="name934561a3555737b92"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9" cstate="print"/>
                    <a:stretch>
                      <a:fillRect/>
                    </a:stretch>
                  </pic:blipFill>
                  <pic:spPr>
                    <a:xfrm>
                      <a:off x="0" y="0"/>
                      <a:ext cx="2743200" cy="2743200"/>
                    </a:xfrm>
                    <a:prstGeom prst="rect">
                      <a:avLst/>
                    </a:prstGeom>
                    <a:ln w="0">
                      <a:noFill/>
                    </a:ln>
                  </pic:spPr>
                </pic:pic>
              </a:graphicData>
            </a:graphic>
          </wp:inline>
        </w:drawing>
      </w:r>
    </w:p>
    <w:p w14:paraId="7C6155BA" w14:textId="77777777" w:rsidR="009D5316" w:rsidRPr="005459E6" w:rsidRDefault="009D5316" w:rsidP="00042CB0">
      <w:pPr>
        <w:spacing w:before="240" w:after="120" w:line="360" w:lineRule="auto"/>
        <w:jc w:val="both"/>
        <w:rPr>
          <w:rFonts w:ascii="Times New Roman" w:hAnsi="Times New Roman" w:cs="Times New Roman"/>
          <w:b/>
          <w:bCs/>
        </w:rPr>
      </w:pPr>
    </w:p>
    <w:p w14:paraId="32869F7D" w14:textId="5BFB75E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8</w:t>
      </w:r>
    </w:p>
    <w:p w14:paraId="71A159AC"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Subconscious_Mind and Psychosomatic_Health (left), Bio_Signatures and Physical_Issue (right)</w:t>
      </w:r>
    </w:p>
    <w:p w14:paraId="55F9FE77"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168C207A" wp14:editId="18C69607">
            <wp:extent cx="2743200" cy="2743200"/>
            <wp:effectExtent l="0" t="0" r="0" b="0"/>
            <wp:docPr id="42723035" name="name500661a3555737c3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0"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15765CBE" wp14:editId="78D0A276">
            <wp:extent cx="2743200" cy="2743200"/>
            <wp:effectExtent l="0" t="0" r="0" b="0"/>
            <wp:docPr id="46446192" name="name190461a3555737cbd"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1" cstate="print"/>
                    <a:stretch>
                      <a:fillRect/>
                    </a:stretch>
                  </pic:blipFill>
                  <pic:spPr>
                    <a:xfrm>
                      <a:off x="0" y="0"/>
                      <a:ext cx="2743200" cy="2743200"/>
                    </a:xfrm>
                    <a:prstGeom prst="rect">
                      <a:avLst/>
                    </a:prstGeom>
                    <a:ln w="0">
                      <a:noFill/>
                    </a:ln>
                  </pic:spPr>
                </pic:pic>
              </a:graphicData>
            </a:graphic>
          </wp:inline>
        </w:drawing>
      </w:r>
    </w:p>
    <w:p w14:paraId="762E0192" w14:textId="77777777" w:rsidR="009D5316" w:rsidRPr="005459E6" w:rsidRDefault="009D5316" w:rsidP="00042CB0">
      <w:pPr>
        <w:spacing w:before="240" w:after="120" w:line="360" w:lineRule="auto"/>
        <w:jc w:val="both"/>
        <w:rPr>
          <w:rFonts w:ascii="Times New Roman" w:hAnsi="Times New Roman" w:cs="Times New Roman"/>
          <w:b/>
          <w:bCs/>
        </w:rPr>
      </w:pPr>
    </w:p>
    <w:p w14:paraId="72A3F31E" w14:textId="330F778D"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9</w:t>
      </w:r>
    </w:p>
    <w:p w14:paraId="16B2C894"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Bio_Signatures and Conscious_Mind (left), Bio_Signatures and Therapeutic_Intervention (right)</w:t>
      </w:r>
    </w:p>
    <w:p w14:paraId="63C580D9"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76F586F8" wp14:editId="4447CCE8">
            <wp:extent cx="2743200" cy="2743200"/>
            <wp:effectExtent l="0" t="0" r="0" b="0"/>
            <wp:docPr id="86475831" name="name917061a3555737d4d"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2"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118CC104" wp14:editId="5FD57D09">
            <wp:extent cx="2743200" cy="2743200"/>
            <wp:effectExtent l="0" t="0" r="0" b="0"/>
            <wp:docPr id="27765217" name="name785361a3555737dd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3" cstate="print"/>
                    <a:stretch>
                      <a:fillRect/>
                    </a:stretch>
                  </pic:blipFill>
                  <pic:spPr>
                    <a:xfrm>
                      <a:off x="0" y="0"/>
                      <a:ext cx="2743200" cy="2743200"/>
                    </a:xfrm>
                    <a:prstGeom prst="rect">
                      <a:avLst/>
                    </a:prstGeom>
                    <a:ln w="0">
                      <a:noFill/>
                    </a:ln>
                  </pic:spPr>
                </pic:pic>
              </a:graphicData>
            </a:graphic>
          </wp:inline>
        </w:drawing>
      </w:r>
    </w:p>
    <w:p w14:paraId="2AECEFAE" w14:textId="4A4A50C6"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10</w:t>
      </w:r>
    </w:p>
    <w:p w14:paraId="5EB3C0CC"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Bio_Signatures and Role_of_Technology (left), Bio_Signatures and Personality_Dimensions (right)</w:t>
      </w:r>
    </w:p>
    <w:p w14:paraId="30F8431A"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1C2AA028" wp14:editId="2A4EE8DD">
            <wp:extent cx="2743200" cy="2743200"/>
            <wp:effectExtent l="0" t="0" r="0" b="0"/>
            <wp:docPr id="56074450" name="name683961a3555737e6a"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4"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304820F5" wp14:editId="5A251318">
            <wp:extent cx="2743200" cy="2743200"/>
            <wp:effectExtent l="0" t="0" r="0" b="0"/>
            <wp:docPr id="85432804" name="name450261a3555737efb"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5" cstate="print"/>
                    <a:stretch>
                      <a:fillRect/>
                    </a:stretch>
                  </pic:blipFill>
                  <pic:spPr>
                    <a:xfrm>
                      <a:off x="0" y="0"/>
                      <a:ext cx="2743200" cy="2743200"/>
                    </a:xfrm>
                    <a:prstGeom prst="rect">
                      <a:avLst/>
                    </a:prstGeom>
                    <a:ln w="0">
                      <a:noFill/>
                    </a:ln>
                  </pic:spPr>
                </pic:pic>
              </a:graphicData>
            </a:graphic>
          </wp:inline>
        </w:drawing>
      </w:r>
    </w:p>
    <w:p w14:paraId="24A1BB3C" w14:textId="77777777" w:rsidR="009D5316" w:rsidRPr="005459E6" w:rsidRDefault="009D5316" w:rsidP="00042CB0">
      <w:pPr>
        <w:spacing w:before="240" w:after="120" w:line="360" w:lineRule="auto"/>
        <w:jc w:val="both"/>
        <w:rPr>
          <w:rFonts w:ascii="Times New Roman" w:hAnsi="Times New Roman" w:cs="Times New Roman"/>
          <w:b/>
          <w:bCs/>
        </w:rPr>
      </w:pPr>
    </w:p>
    <w:p w14:paraId="3F3312FD" w14:textId="28C98F00"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11</w:t>
      </w:r>
    </w:p>
    <w:p w14:paraId="256C45E2"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Bio_Signatures and Psychosomatic_Health (left), Physical_Issue and Conscious_Mind (right)</w:t>
      </w:r>
    </w:p>
    <w:p w14:paraId="45C1BE00" w14:textId="24A8E1A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5B5A737B" wp14:editId="380D27E0">
            <wp:extent cx="2743200" cy="2743200"/>
            <wp:effectExtent l="0" t="0" r="0" b="0"/>
            <wp:docPr id="69439301" name="name549261a3555737f9d"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6" cstate="print"/>
                    <a:stretch>
                      <a:fillRect/>
                    </a:stretch>
                  </pic:blipFill>
                  <pic:spPr>
                    <a:xfrm>
                      <a:off x="0" y="0"/>
                      <a:ext cx="2743200" cy="2743200"/>
                    </a:xfrm>
                    <a:prstGeom prst="rect">
                      <a:avLst/>
                    </a:prstGeom>
                    <a:ln w="0">
                      <a:noFill/>
                    </a:ln>
                  </pic:spPr>
                </pic:pic>
              </a:graphicData>
            </a:graphic>
          </wp:inline>
        </w:drawing>
      </w:r>
      <w:r w:rsidR="00E86F61" w:rsidRPr="005459E6">
        <w:rPr>
          <w:rFonts w:ascii="Times New Roman" w:hAnsi="Times New Roman" w:cs="Times New Roman"/>
          <w:noProof/>
        </w:rPr>
        <w:drawing>
          <wp:inline distT="0" distB="0" distL="0" distR="0" wp14:anchorId="7DE579C3" wp14:editId="677D3396">
            <wp:extent cx="2743200" cy="2743200"/>
            <wp:effectExtent l="0" t="0" r="0" b="0"/>
            <wp:docPr id="43473454" name="name973261a3555738024"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7" cstate="print"/>
                    <a:stretch>
                      <a:fillRect/>
                    </a:stretch>
                  </pic:blipFill>
                  <pic:spPr>
                    <a:xfrm>
                      <a:off x="0" y="0"/>
                      <a:ext cx="2743200" cy="2743200"/>
                    </a:xfrm>
                    <a:prstGeom prst="rect">
                      <a:avLst/>
                    </a:prstGeom>
                    <a:ln w="0">
                      <a:noFill/>
                    </a:ln>
                  </pic:spPr>
                </pic:pic>
              </a:graphicData>
            </a:graphic>
          </wp:inline>
        </w:drawing>
      </w:r>
    </w:p>
    <w:p w14:paraId="34A2EA1B" w14:textId="5C46ECC2"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12</w:t>
      </w:r>
    </w:p>
    <w:p w14:paraId="68FBDB0F"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Physical_Issue and Therapeutic_Intervention (left), Physical_Issue and Role_of_Technology (right)</w:t>
      </w:r>
    </w:p>
    <w:p w14:paraId="210FB2B5"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65E30B44" wp14:editId="52340FC3">
            <wp:extent cx="2743200" cy="2743200"/>
            <wp:effectExtent l="0" t="0" r="0" b="0"/>
            <wp:docPr id="92157882" name="name430861a35557380b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8"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324D806F" wp14:editId="6244FEEF">
            <wp:extent cx="2743200" cy="2743200"/>
            <wp:effectExtent l="0" t="0" r="0" b="0"/>
            <wp:docPr id="73627575" name="name469461a355573813e"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9" cstate="print"/>
                    <a:stretch>
                      <a:fillRect/>
                    </a:stretch>
                  </pic:blipFill>
                  <pic:spPr>
                    <a:xfrm>
                      <a:off x="0" y="0"/>
                      <a:ext cx="2743200" cy="2743200"/>
                    </a:xfrm>
                    <a:prstGeom prst="rect">
                      <a:avLst/>
                    </a:prstGeom>
                    <a:ln w="0">
                      <a:noFill/>
                    </a:ln>
                  </pic:spPr>
                </pic:pic>
              </a:graphicData>
            </a:graphic>
          </wp:inline>
        </w:drawing>
      </w:r>
    </w:p>
    <w:p w14:paraId="5BD5F1BE" w14:textId="77777777" w:rsidR="009D5316" w:rsidRPr="005459E6" w:rsidRDefault="009D5316" w:rsidP="00042CB0">
      <w:pPr>
        <w:spacing w:before="240" w:after="120" w:line="360" w:lineRule="auto"/>
        <w:jc w:val="both"/>
        <w:rPr>
          <w:rFonts w:ascii="Times New Roman" w:hAnsi="Times New Roman" w:cs="Times New Roman"/>
          <w:b/>
          <w:bCs/>
        </w:rPr>
      </w:pPr>
    </w:p>
    <w:p w14:paraId="72477E93" w14:textId="1AD048DA"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13</w:t>
      </w:r>
    </w:p>
    <w:p w14:paraId="3BCFCFC7"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Physical_Issue and Personality_Dimensions (left), Physical_Issue and Psychosomatic_Health (right)</w:t>
      </w:r>
    </w:p>
    <w:p w14:paraId="2E62E13B"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BF50426" wp14:editId="51ACD9CE">
            <wp:extent cx="2743200" cy="2743200"/>
            <wp:effectExtent l="0" t="0" r="0" b="0"/>
            <wp:docPr id="30079466" name="name903461a35557381f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0"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6F2C8FEC" wp14:editId="1B9A33A4">
            <wp:extent cx="2743200" cy="2743200"/>
            <wp:effectExtent l="0" t="0" r="0" b="0"/>
            <wp:docPr id="56990698" name="name897961a35557382ab"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1" cstate="print"/>
                    <a:stretch>
                      <a:fillRect/>
                    </a:stretch>
                  </pic:blipFill>
                  <pic:spPr>
                    <a:xfrm>
                      <a:off x="0" y="0"/>
                      <a:ext cx="2743200" cy="2743200"/>
                    </a:xfrm>
                    <a:prstGeom prst="rect">
                      <a:avLst/>
                    </a:prstGeom>
                    <a:ln w="0">
                      <a:noFill/>
                    </a:ln>
                  </pic:spPr>
                </pic:pic>
              </a:graphicData>
            </a:graphic>
          </wp:inline>
        </w:drawing>
      </w:r>
    </w:p>
    <w:p w14:paraId="22676968" w14:textId="44AA5F1A"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14</w:t>
      </w:r>
    </w:p>
    <w:p w14:paraId="74436D81"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Conscious_Mind and Therapeutic_Intervention (left), Conscious_Mind and Role_of_Technology (right)</w:t>
      </w:r>
    </w:p>
    <w:p w14:paraId="59CCECF1"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5BBEB6E" wp14:editId="15438E11">
            <wp:extent cx="2743200" cy="2743200"/>
            <wp:effectExtent l="0" t="0" r="0" b="0"/>
            <wp:docPr id="63295911" name="name334461a355573836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2"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5BADD101" wp14:editId="3638015C">
            <wp:extent cx="2743200" cy="2743200"/>
            <wp:effectExtent l="0" t="0" r="0" b="0"/>
            <wp:docPr id="26112819" name="name758761a35557383e1"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3" cstate="print"/>
                    <a:stretch>
                      <a:fillRect/>
                    </a:stretch>
                  </pic:blipFill>
                  <pic:spPr>
                    <a:xfrm>
                      <a:off x="0" y="0"/>
                      <a:ext cx="2743200" cy="2743200"/>
                    </a:xfrm>
                    <a:prstGeom prst="rect">
                      <a:avLst/>
                    </a:prstGeom>
                    <a:ln w="0">
                      <a:noFill/>
                    </a:ln>
                  </pic:spPr>
                </pic:pic>
              </a:graphicData>
            </a:graphic>
          </wp:inline>
        </w:drawing>
      </w:r>
    </w:p>
    <w:p w14:paraId="7BBF0ADD" w14:textId="77777777" w:rsidR="009D5316" w:rsidRPr="005459E6" w:rsidRDefault="009D5316" w:rsidP="00042CB0">
      <w:pPr>
        <w:spacing w:before="240" w:after="120" w:line="360" w:lineRule="auto"/>
        <w:jc w:val="both"/>
        <w:rPr>
          <w:rFonts w:ascii="Times New Roman" w:hAnsi="Times New Roman" w:cs="Times New Roman"/>
          <w:b/>
          <w:bCs/>
        </w:rPr>
      </w:pPr>
    </w:p>
    <w:p w14:paraId="25AAB5CA" w14:textId="7CD3DA31"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15</w:t>
      </w:r>
    </w:p>
    <w:p w14:paraId="210CD0DD"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Conscious_Mind and Personality_Dimensions (left), Conscious_Mind and Psychosomatic_Health (right)</w:t>
      </w:r>
    </w:p>
    <w:p w14:paraId="03B576E5"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1D98F2C7" wp14:editId="0FA6734B">
            <wp:extent cx="2743200" cy="2743200"/>
            <wp:effectExtent l="0" t="0" r="0" b="0"/>
            <wp:docPr id="82536664" name="name750261a355573849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4"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7FA1C428" wp14:editId="7BEF3068">
            <wp:extent cx="2743200" cy="2743200"/>
            <wp:effectExtent l="0" t="0" r="0" b="0"/>
            <wp:docPr id="89770792" name="name900661a3555738528"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5" cstate="print"/>
                    <a:stretch>
                      <a:fillRect/>
                    </a:stretch>
                  </pic:blipFill>
                  <pic:spPr>
                    <a:xfrm>
                      <a:off x="0" y="0"/>
                      <a:ext cx="2743200" cy="2743200"/>
                    </a:xfrm>
                    <a:prstGeom prst="rect">
                      <a:avLst/>
                    </a:prstGeom>
                    <a:ln w="0">
                      <a:noFill/>
                    </a:ln>
                  </pic:spPr>
                </pic:pic>
              </a:graphicData>
            </a:graphic>
          </wp:inline>
        </w:drawing>
      </w:r>
    </w:p>
    <w:p w14:paraId="639EE30A" w14:textId="0644E010"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16</w:t>
      </w:r>
    </w:p>
    <w:p w14:paraId="6178EB25"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Therapeutic_Intervention and Role_of_Technology (left), Therapeutic_Intervention and Personality_Dimensions (right)</w:t>
      </w:r>
    </w:p>
    <w:p w14:paraId="76E1D596"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2210BFB" wp14:editId="68D55BF2">
            <wp:extent cx="2743200" cy="2743200"/>
            <wp:effectExtent l="0" t="0" r="0" b="0"/>
            <wp:docPr id="92964901" name="name977261a3555738608"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6"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5C3542DB" wp14:editId="0252B3A3">
            <wp:extent cx="2743200" cy="2743200"/>
            <wp:effectExtent l="0" t="0" r="0" b="0"/>
            <wp:docPr id="20597754" name="name172761a35557386b0"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7" cstate="print"/>
                    <a:stretch>
                      <a:fillRect/>
                    </a:stretch>
                  </pic:blipFill>
                  <pic:spPr>
                    <a:xfrm>
                      <a:off x="0" y="0"/>
                      <a:ext cx="2743200" cy="2743200"/>
                    </a:xfrm>
                    <a:prstGeom prst="rect">
                      <a:avLst/>
                    </a:prstGeom>
                    <a:ln w="0">
                      <a:noFill/>
                    </a:ln>
                  </pic:spPr>
                </pic:pic>
              </a:graphicData>
            </a:graphic>
          </wp:inline>
        </w:drawing>
      </w:r>
    </w:p>
    <w:p w14:paraId="7AE961D9" w14:textId="77777777" w:rsidR="009D5316" w:rsidRPr="005459E6" w:rsidRDefault="009D5316" w:rsidP="00042CB0">
      <w:pPr>
        <w:spacing w:before="240" w:after="120" w:line="360" w:lineRule="auto"/>
        <w:jc w:val="both"/>
        <w:rPr>
          <w:rFonts w:ascii="Times New Roman" w:hAnsi="Times New Roman" w:cs="Times New Roman"/>
          <w:b/>
          <w:bCs/>
        </w:rPr>
      </w:pPr>
    </w:p>
    <w:p w14:paraId="50CBD1F4" w14:textId="1361B630"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17</w:t>
      </w:r>
    </w:p>
    <w:p w14:paraId="36425E39"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Therapeutic_Intervention and Psychosomatic_Health (left), Role_of_Technology and Personality_Dimensions (right)</w:t>
      </w:r>
    </w:p>
    <w:p w14:paraId="2B258FB8"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39C23328" wp14:editId="6A314F30">
            <wp:extent cx="2743200" cy="2743200"/>
            <wp:effectExtent l="0" t="0" r="0" b="0"/>
            <wp:docPr id="11627276" name="name129761a355573875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8"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00B7C420" wp14:editId="24EBB161">
            <wp:extent cx="2743200" cy="2743200"/>
            <wp:effectExtent l="0" t="0" r="0" b="0"/>
            <wp:docPr id="35363782" name="name326561a355573881a"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59" cstate="print"/>
                    <a:stretch>
                      <a:fillRect/>
                    </a:stretch>
                  </pic:blipFill>
                  <pic:spPr>
                    <a:xfrm>
                      <a:off x="0" y="0"/>
                      <a:ext cx="2743200" cy="2743200"/>
                    </a:xfrm>
                    <a:prstGeom prst="rect">
                      <a:avLst/>
                    </a:prstGeom>
                    <a:ln w="0">
                      <a:noFill/>
                    </a:ln>
                  </pic:spPr>
                </pic:pic>
              </a:graphicData>
            </a:graphic>
          </wp:inline>
        </w:drawing>
      </w:r>
    </w:p>
    <w:p w14:paraId="5B07459B" w14:textId="0991459B"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314D85" w:rsidRPr="005459E6">
        <w:rPr>
          <w:rFonts w:ascii="Times New Roman" w:hAnsi="Times New Roman" w:cs="Times New Roman"/>
          <w:b/>
          <w:bCs/>
        </w:rPr>
        <w:t>1.</w:t>
      </w:r>
      <w:r w:rsidRPr="005459E6">
        <w:rPr>
          <w:rFonts w:ascii="Times New Roman" w:hAnsi="Times New Roman" w:cs="Times New Roman"/>
          <w:b/>
          <w:bCs/>
        </w:rPr>
        <w:t>18</w:t>
      </w:r>
    </w:p>
    <w:p w14:paraId="41063B40"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Scatterplots with the regression line added for Role_of_Technology and Psychosomatic_Health (left), Personality_Dimensions and Psychosomatic_Health (right)</w:t>
      </w:r>
    </w:p>
    <w:p w14:paraId="271BEE54" w14:textId="77777777" w:rsidR="00741DD0" w:rsidRPr="005459E6" w:rsidRDefault="00741DD0"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100A119" wp14:editId="1030E64F">
            <wp:extent cx="2743200" cy="2743200"/>
            <wp:effectExtent l="0" t="0" r="0" b="0"/>
            <wp:docPr id="38025696" name="name269461a35557388c7"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60" cstate="print"/>
                    <a:stretch>
                      <a:fillRect/>
                    </a:stretch>
                  </pic:blipFill>
                  <pic:spPr>
                    <a:xfrm>
                      <a:off x="0" y="0"/>
                      <a:ext cx="2743200" cy="2743200"/>
                    </a:xfrm>
                    <a:prstGeom prst="rect">
                      <a:avLst/>
                    </a:prstGeom>
                    <a:ln w="0">
                      <a:noFill/>
                    </a:ln>
                  </pic:spPr>
                </pic:pic>
              </a:graphicData>
            </a:graphic>
          </wp:inline>
        </w:drawing>
      </w:r>
      <w:r w:rsidRPr="005459E6">
        <w:rPr>
          <w:rFonts w:ascii="Times New Roman" w:hAnsi="Times New Roman" w:cs="Times New Roman"/>
          <w:noProof/>
        </w:rPr>
        <w:drawing>
          <wp:inline distT="0" distB="0" distL="0" distR="0" wp14:anchorId="3F001298" wp14:editId="00D62D29">
            <wp:extent cx="2743200" cy="2743200"/>
            <wp:effectExtent l="0" t="0" r="0" b="0"/>
            <wp:docPr id="62415252" name="name593361a3555738984"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61" cstate="print"/>
                    <a:stretch>
                      <a:fillRect/>
                    </a:stretch>
                  </pic:blipFill>
                  <pic:spPr>
                    <a:xfrm>
                      <a:off x="0" y="0"/>
                      <a:ext cx="2743200" cy="2743200"/>
                    </a:xfrm>
                    <a:prstGeom prst="rect">
                      <a:avLst/>
                    </a:prstGeom>
                    <a:ln w="0">
                      <a:noFill/>
                    </a:ln>
                  </pic:spPr>
                </pic:pic>
              </a:graphicData>
            </a:graphic>
          </wp:inline>
        </w:drawing>
      </w:r>
    </w:p>
    <w:p w14:paraId="7592CB74" w14:textId="77777777" w:rsidR="00741DD0" w:rsidRPr="005459E6" w:rsidRDefault="00741DD0" w:rsidP="00042CB0">
      <w:pPr>
        <w:spacing w:before="240" w:after="120" w:line="360" w:lineRule="auto"/>
        <w:jc w:val="both"/>
        <w:rPr>
          <w:rFonts w:ascii="Times New Roman" w:hAnsi="Times New Roman" w:cs="Times New Roman"/>
        </w:rPr>
      </w:pPr>
      <w:r w:rsidRPr="005459E6">
        <w:rPr>
          <w:rFonts w:ascii="Times New Roman" w:hAnsi="Times New Roman" w:cs="Times New Roman"/>
          <w:b/>
          <w:bCs/>
          <w:i/>
          <w:iCs/>
        </w:rPr>
        <w:t>Results</w:t>
      </w:r>
    </w:p>
    <w:p w14:paraId="096B6522" w14:textId="77777777" w:rsidR="00BC1CF4" w:rsidRPr="005459E6" w:rsidRDefault="00BC1CF4" w:rsidP="00042CB0">
      <w:pPr>
        <w:spacing w:line="360" w:lineRule="auto"/>
        <w:jc w:val="both"/>
        <w:rPr>
          <w:rFonts w:ascii="Times New Roman" w:hAnsi="Times New Roman" w:cs="Times New Roman"/>
        </w:rPr>
      </w:pPr>
      <w:r w:rsidRPr="005459E6">
        <w:rPr>
          <w:rFonts w:ascii="Times New Roman" w:hAnsi="Times New Roman" w:cs="Times New Roman"/>
        </w:rPr>
        <w:t>The Holm correction, based on an alpha value of 0.05, was used to compensate for multiple comparisons in the correlations. Psychological Issue and Physical Issue had a significant positive connection (r = 0.52, p =.020, 95 percent CI = [0.25, 0.72]). Psychological Issue and Physical Issue had a correlation coefficient of 0.52, indicating a large effect size. This relationship shows that as Psychological Issue rises, Physical Issue rises as well. Subconscious Mind and Psychosomatic Health have a substantial positive connection (r = 0.57, p =.004, 95 percent CI = [0.31, 0.75]).</w:t>
      </w:r>
    </w:p>
    <w:p w14:paraId="78138823" w14:textId="63450704" w:rsidR="00BC1CF4" w:rsidRPr="005459E6" w:rsidRDefault="00BC1CF4" w:rsidP="00042CB0">
      <w:pPr>
        <w:spacing w:line="360" w:lineRule="auto"/>
        <w:jc w:val="both"/>
        <w:rPr>
          <w:rFonts w:ascii="Times New Roman" w:hAnsi="Times New Roman" w:cs="Times New Roman"/>
        </w:rPr>
      </w:pPr>
      <w:r w:rsidRPr="005459E6">
        <w:rPr>
          <w:rFonts w:ascii="Times New Roman" w:hAnsi="Times New Roman" w:cs="Times New Roman"/>
        </w:rPr>
        <w:t>Subconscious Mind and Psychosomatic Health had a 0.57 correlation coefficient, indicating a large effect size. This relationship suggests that as Subconscious Mind grows, so does Psychosomatic Health. Bio Signatures and Personality Dimensions had a substantial positive connection (r = 0.63, p.001, 95 percent CI = [0.39, 0.79]). Bio Signatures and Personality Dimensions have a 0.63 correlation coefficient, indicating a large effect size. This relationship suggests that as Bio Signatures rise, Personality Dimensions rise as well. There were no additional significant relationships discovered. The correlations' results are shown in Table 1.</w:t>
      </w:r>
    </w:p>
    <w:p w14:paraId="3023D76D" w14:textId="05CDCD79" w:rsidR="00720DBF" w:rsidRPr="005459E6" w:rsidRDefault="00720DBF" w:rsidP="00042CB0">
      <w:pPr>
        <w:spacing w:before="240" w:after="120" w:line="360" w:lineRule="auto"/>
        <w:ind w:firstLine="720"/>
        <w:jc w:val="both"/>
        <w:rPr>
          <w:rFonts w:ascii="Times New Roman" w:hAnsi="Times New Roman" w:cs="Times New Roman"/>
        </w:rPr>
      </w:pPr>
    </w:p>
    <w:p w14:paraId="435046F1" w14:textId="77777777" w:rsidR="006B79B8" w:rsidRPr="005459E6" w:rsidRDefault="006B79B8" w:rsidP="00042CB0">
      <w:pPr>
        <w:spacing w:before="240" w:after="120" w:line="360" w:lineRule="auto"/>
        <w:ind w:firstLine="720"/>
        <w:jc w:val="both"/>
        <w:rPr>
          <w:rFonts w:ascii="Times New Roman" w:hAnsi="Times New Roman" w:cs="Times New Roman"/>
        </w:rPr>
      </w:pPr>
    </w:p>
    <w:p w14:paraId="1A631AA7" w14:textId="0CB37C2F"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b/>
          <w:bCs/>
        </w:rPr>
        <w:t>Table 1</w:t>
      </w:r>
      <w:r w:rsidR="00314D85" w:rsidRPr="005459E6">
        <w:rPr>
          <w:rFonts w:ascii="Times New Roman" w:hAnsi="Times New Roman" w:cs="Times New Roman"/>
          <w:b/>
          <w:bCs/>
        </w:rPr>
        <w:t>.1</w:t>
      </w:r>
    </w:p>
    <w:p w14:paraId="67023A74" w14:textId="77777777" w:rsidR="00741DD0" w:rsidRPr="005459E6" w:rsidRDefault="00741DD0" w:rsidP="00042CB0">
      <w:pPr>
        <w:spacing w:after="120" w:line="360" w:lineRule="auto"/>
        <w:jc w:val="both"/>
        <w:rPr>
          <w:rFonts w:ascii="Times New Roman" w:hAnsi="Times New Roman" w:cs="Times New Roman"/>
        </w:rPr>
      </w:pPr>
      <w:r w:rsidRPr="005459E6">
        <w:rPr>
          <w:rFonts w:ascii="Times New Roman" w:hAnsi="Times New Roman" w:cs="Times New Roman"/>
          <w:i/>
          <w:iCs/>
        </w:rPr>
        <w:t>Pearson Correlation Results Among Psychological_Issue, Subconscious_Mind, Bio_Signatures, Physical_Issue, Conscious_Mind, Therapeutic_Intervention, Role_of_Technology, Personality_Dimensions, and Psychosomatic_Health</w:t>
      </w:r>
    </w:p>
    <w:tbl>
      <w:tblPr>
        <w:tblStyle w:val="NormalTablePHPDOCX"/>
        <w:tblW w:w="5000" w:type="pct"/>
        <w:tblInd w:w="108" w:type="dxa"/>
        <w:tblLook w:val="04A0" w:firstRow="1" w:lastRow="0" w:firstColumn="1" w:lastColumn="0" w:noHBand="0" w:noVBand="1"/>
      </w:tblPr>
      <w:tblGrid>
        <w:gridCol w:w="5552"/>
        <w:gridCol w:w="801"/>
        <w:gridCol w:w="1562"/>
        <w:gridCol w:w="518"/>
        <w:gridCol w:w="927"/>
      </w:tblGrid>
      <w:tr w:rsidR="005459E6" w:rsidRPr="005459E6" w14:paraId="3E9BC55C" w14:textId="77777777" w:rsidTr="005640BE">
        <w:tc>
          <w:tcPr>
            <w:tcW w:w="0" w:type="auto"/>
            <w:tcBorders>
              <w:top w:val="single" w:sz="5" w:space="0" w:color="000000"/>
              <w:bottom w:val="single" w:sz="5" w:space="0" w:color="000000"/>
            </w:tcBorders>
            <w:tcMar>
              <w:top w:w="30" w:type="dxa"/>
              <w:bottom w:w="30" w:type="dxa"/>
            </w:tcMar>
            <w:vAlign w:val="center"/>
          </w:tcPr>
          <w:p w14:paraId="5B89606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Combination</w:t>
            </w:r>
          </w:p>
        </w:tc>
        <w:tc>
          <w:tcPr>
            <w:tcW w:w="0" w:type="auto"/>
            <w:tcBorders>
              <w:top w:val="single" w:sz="5" w:space="0" w:color="000000"/>
              <w:bottom w:val="single" w:sz="5" w:space="0" w:color="000000"/>
            </w:tcBorders>
            <w:tcMar>
              <w:top w:w="30" w:type="dxa"/>
              <w:bottom w:w="30" w:type="dxa"/>
            </w:tcMar>
            <w:vAlign w:val="center"/>
          </w:tcPr>
          <w:p w14:paraId="4044880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r</w:t>
            </w:r>
          </w:p>
        </w:tc>
        <w:tc>
          <w:tcPr>
            <w:tcW w:w="0" w:type="auto"/>
            <w:tcBorders>
              <w:top w:val="single" w:sz="5" w:space="0" w:color="000000"/>
              <w:bottom w:val="single" w:sz="5" w:space="0" w:color="000000"/>
            </w:tcBorders>
            <w:tcMar>
              <w:top w:w="30" w:type="dxa"/>
              <w:bottom w:w="30" w:type="dxa"/>
            </w:tcMar>
            <w:vAlign w:val="center"/>
          </w:tcPr>
          <w:p w14:paraId="2023D70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5" w:space="0" w:color="000000"/>
              <w:bottom w:val="single" w:sz="5" w:space="0" w:color="000000"/>
            </w:tcBorders>
            <w:tcMar>
              <w:top w:w="30" w:type="dxa"/>
              <w:bottom w:w="30" w:type="dxa"/>
            </w:tcMar>
            <w:vAlign w:val="center"/>
          </w:tcPr>
          <w:p w14:paraId="19FDEB6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w:t>
            </w:r>
          </w:p>
        </w:tc>
        <w:tc>
          <w:tcPr>
            <w:tcW w:w="0" w:type="auto"/>
            <w:tcBorders>
              <w:top w:val="single" w:sz="5" w:space="0" w:color="000000"/>
              <w:bottom w:val="single" w:sz="5" w:space="0" w:color="000000"/>
            </w:tcBorders>
            <w:tcMar>
              <w:top w:w="30" w:type="dxa"/>
              <w:bottom w:w="30" w:type="dxa"/>
            </w:tcMar>
            <w:vAlign w:val="center"/>
          </w:tcPr>
          <w:p w14:paraId="3D3BEA6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5459E6" w:rsidRPr="005459E6" w14:paraId="54454E15" w14:textId="77777777" w:rsidTr="005640BE">
        <w:tc>
          <w:tcPr>
            <w:tcW w:w="0" w:type="auto"/>
            <w:tcBorders>
              <w:top w:val="single" w:sz="5" w:space="0" w:color="000000"/>
            </w:tcBorders>
            <w:tcMar>
              <w:top w:w="30" w:type="dxa"/>
              <w:bottom w:w="30" w:type="dxa"/>
            </w:tcMar>
            <w:vAlign w:val="center"/>
          </w:tcPr>
          <w:p w14:paraId="78EF3BC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Psychological_Issue-Subconscious_Mind</w:t>
            </w:r>
          </w:p>
        </w:tc>
        <w:tc>
          <w:tcPr>
            <w:tcW w:w="0" w:type="auto"/>
            <w:tcBorders>
              <w:top w:val="single" w:sz="5" w:space="0" w:color="000000"/>
            </w:tcBorders>
            <w:tcMar>
              <w:top w:w="30" w:type="dxa"/>
              <w:bottom w:w="30" w:type="dxa"/>
            </w:tcMar>
            <w:vAlign w:val="center"/>
          </w:tcPr>
          <w:p w14:paraId="0CD4331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0.41</w:t>
            </w:r>
          </w:p>
        </w:tc>
        <w:tc>
          <w:tcPr>
            <w:tcW w:w="0" w:type="auto"/>
            <w:tcBorders>
              <w:top w:val="single" w:sz="5" w:space="0" w:color="000000"/>
            </w:tcBorders>
            <w:tcMar>
              <w:top w:w="30" w:type="dxa"/>
              <w:bottom w:w="30" w:type="dxa"/>
            </w:tcMar>
            <w:vAlign w:val="center"/>
          </w:tcPr>
          <w:p w14:paraId="43B869B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0.64]</w:t>
            </w:r>
          </w:p>
        </w:tc>
        <w:tc>
          <w:tcPr>
            <w:tcW w:w="0" w:type="auto"/>
            <w:tcBorders>
              <w:top w:val="single" w:sz="5" w:space="0" w:color="000000"/>
            </w:tcBorders>
            <w:tcMar>
              <w:top w:w="30" w:type="dxa"/>
              <w:bottom w:w="30" w:type="dxa"/>
            </w:tcMar>
            <w:vAlign w:val="center"/>
          </w:tcPr>
          <w:p w14:paraId="14BBACE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Borders>
              <w:top w:val="single" w:sz="5" w:space="0" w:color="000000"/>
            </w:tcBorders>
            <w:tcMar>
              <w:top w:w="30" w:type="dxa"/>
              <w:bottom w:w="30" w:type="dxa"/>
            </w:tcMar>
            <w:vAlign w:val="center"/>
          </w:tcPr>
          <w:p w14:paraId="7EE5E31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.270</w:t>
            </w:r>
          </w:p>
        </w:tc>
      </w:tr>
      <w:tr w:rsidR="005459E6" w:rsidRPr="005459E6" w14:paraId="1CF58326" w14:textId="77777777" w:rsidTr="005640BE">
        <w:tc>
          <w:tcPr>
            <w:tcW w:w="0" w:type="auto"/>
            <w:tcMar>
              <w:top w:w="30" w:type="dxa"/>
              <w:bottom w:w="30" w:type="dxa"/>
            </w:tcMar>
            <w:vAlign w:val="center"/>
          </w:tcPr>
          <w:p w14:paraId="01D150F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Psychological_Issue-Bio_Signatures</w:t>
            </w:r>
          </w:p>
        </w:tc>
        <w:tc>
          <w:tcPr>
            <w:tcW w:w="0" w:type="auto"/>
            <w:tcMar>
              <w:top w:w="30" w:type="dxa"/>
              <w:bottom w:w="30" w:type="dxa"/>
            </w:tcMar>
            <w:vAlign w:val="center"/>
          </w:tcPr>
          <w:p w14:paraId="561C360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0.19</w:t>
            </w:r>
          </w:p>
        </w:tc>
        <w:tc>
          <w:tcPr>
            <w:tcW w:w="0" w:type="auto"/>
            <w:tcMar>
              <w:top w:w="30" w:type="dxa"/>
              <w:bottom w:w="30" w:type="dxa"/>
            </w:tcMar>
            <w:vAlign w:val="center"/>
          </w:tcPr>
          <w:p w14:paraId="13516EA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 0.47]</w:t>
            </w:r>
          </w:p>
        </w:tc>
        <w:tc>
          <w:tcPr>
            <w:tcW w:w="0" w:type="auto"/>
            <w:tcMar>
              <w:top w:w="30" w:type="dxa"/>
              <w:bottom w:w="30" w:type="dxa"/>
            </w:tcMar>
            <w:vAlign w:val="center"/>
          </w:tcPr>
          <w:p w14:paraId="360EF1C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765E5BD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30121D3E" w14:textId="77777777" w:rsidTr="005640BE">
        <w:tc>
          <w:tcPr>
            <w:tcW w:w="0" w:type="auto"/>
            <w:tcMar>
              <w:top w:w="30" w:type="dxa"/>
              <w:bottom w:w="30" w:type="dxa"/>
            </w:tcMar>
            <w:vAlign w:val="center"/>
          </w:tcPr>
          <w:p w14:paraId="11B5060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Psychological_Issue-Physical_Issue</w:t>
            </w:r>
          </w:p>
        </w:tc>
        <w:tc>
          <w:tcPr>
            <w:tcW w:w="0" w:type="auto"/>
            <w:tcMar>
              <w:top w:w="30" w:type="dxa"/>
              <w:bottom w:w="30" w:type="dxa"/>
            </w:tcMar>
            <w:vAlign w:val="center"/>
          </w:tcPr>
          <w:p w14:paraId="68B4D70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0.52</w:t>
            </w:r>
          </w:p>
        </w:tc>
        <w:tc>
          <w:tcPr>
            <w:tcW w:w="0" w:type="auto"/>
            <w:tcMar>
              <w:top w:w="30" w:type="dxa"/>
              <w:bottom w:w="30" w:type="dxa"/>
            </w:tcMar>
            <w:vAlign w:val="center"/>
          </w:tcPr>
          <w:p w14:paraId="7CA98F3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 0.72]</w:t>
            </w:r>
          </w:p>
        </w:tc>
        <w:tc>
          <w:tcPr>
            <w:tcW w:w="0" w:type="auto"/>
            <w:tcMar>
              <w:top w:w="30" w:type="dxa"/>
              <w:bottom w:w="30" w:type="dxa"/>
            </w:tcMar>
            <w:vAlign w:val="center"/>
          </w:tcPr>
          <w:p w14:paraId="0FE7235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31449B9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r>
      <w:tr w:rsidR="005459E6" w:rsidRPr="005459E6" w14:paraId="7491B0BC" w14:textId="77777777" w:rsidTr="005640BE">
        <w:tc>
          <w:tcPr>
            <w:tcW w:w="0" w:type="auto"/>
            <w:tcMar>
              <w:top w:w="30" w:type="dxa"/>
              <w:bottom w:w="30" w:type="dxa"/>
            </w:tcMar>
            <w:vAlign w:val="center"/>
          </w:tcPr>
          <w:p w14:paraId="41F8932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Psychological_Issue-Conscious_Mind</w:t>
            </w:r>
          </w:p>
        </w:tc>
        <w:tc>
          <w:tcPr>
            <w:tcW w:w="0" w:type="auto"/>
            <w:tcMar>
              <w:top w:w="30" w:type="dxa"/>
              <w:bottom w:w="30" w:type="dxa"/>
            </w:tcMar>
            <w:vAlign w:val="center"/>
          </w:tcPr>
          <w:p w14:paraId="783187B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1F308E2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 0.32]</w:t>
            </w:r>
          </w:p>
        </w:tc>
        <w:tc>
          <w:tcPr>
            <w:tcW w:w="0" w:type="auto"/>
            <w:tcMar>
              <w:top w:w="30" w:type="dxa"/>
              <w:bottom w:w="30" w:type="dxa"/>
            </w:tcMar>
            <w:vAlign w:val="center"/>
          </w:tcPr>
          <w:p w14:paraId="24CA9F8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0C56AF5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091B0555" w14:textId="77777777" w:rsidTr="005640BE">
        <w:tc>
          <w:tcPr>
            <w:tcW w:w="0" w:type="auto"/>
            <w:tcMar>
              <w:top w:w="30" w:type="dxa"/>
              <w:bottom w:w="30" w:type="dxa"/>
            </w:tcMar>
            <w:vAlign w:val="center"/>
          </w:tcPr>
          <w:p w14:paraId="1436207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Psychological_Issue-Therapeutic_Intervention</w:t>
            </w:r>
          </w:p>
        </w:tc>
        <w:tc>
          <w:tcPr>
            <w:tcW w:w="0" w:type="auto"/>
            <w:tcMar>
              <w:top w:w="30" w:type="dxa"/>
              <w:bottom w:w="30" w:type="dxa"/>
            </w:tcMar>
            <w:vAlign w:val="center"/>
          </w:tcPr>
          <w:p w14:paraId="7B88855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Mar>
              <w:top w:w="30" w:type="dxa"/>
              <w:bottom w:w="30" w:type="dxa"/>
            </w:tcMar>
            <w:vAlign w:val="center"/>
          </w:tcPr>
          <w:p w14:paraId="3F6F599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 0.37]</w:t>
            </w:r>
          </w:p>
        </w:tc>
        <w:tc>
          <w:tcPr>
            <w:tcW w:w="0" w:type="auto"/>
            <w:tcMar>
              <w:top w:w="30" w:type="dxa"/>
              <w:bottom w:w="30" w:type="dxa"/>
            </w:tcMar>
            <w:vAlign w:val="center"/>
          </w:tcPr>
          <w:p w14:paraId="2DCC650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54B698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C87A377" w14:textId="77777777" w:rsidTr="005640BE">
        <w:tc>
          <w:tcPr>
            <w:tcW w:w="0" w:type="auto"/>
            <w:tcMar>
              <w:top w:w="30" w:type="dxa"/>
              <w:bottom w:w="30" w:type="dxa"/>
            </w:tcMar>
            <w:vAlign w:val="center"/>
          </w:tcPr>
          <w:p w14:paraId="6CA8395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Psychological_Issue-Role_of_Technology</w:t>
            </w:r>
          </w:p>
        </w:tc>
        <w:tc>
          <w:tcPr>
            <w:tcW w:w="0" w:type="auto"/>
            <w:tcMar>
              <w:top w:w="30" w:type="dxa"/>
              <w:bottom w:w="30" w:type="dxa"/>
            </w:tcMar>
            <w:vAlign w:val="center"/>
          </w:tcPr>
          <w:p w14:paraId="0CAC7F9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0.21</w:t>
            </w:r>
          </w:p>
        </w:tc>
        <w:tc>
          <w:tcPr>
            <w:tcW w:w="0" w:type="auto"/>
            <w:tcMar>
              <w:top w:w="30" w:type="dxa"/>
              <w:bottom w:w="30" w:type="dxa"/>
            </w:tcMar>
            <w:vAlign w:val="center"/>
          </w:tcPr>
          <w:p w14:paraId="50A6CA1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0.49]</w:t>
            </w:r>
          </w:p>
        </w:tc>
        <w:tc>
          <w:tcPr>
            <w:tcW w:w="0" w:type="auto"/>
            <w:tcMar>
              <w:top w:w="30" w:type="dxa"/>
              <w:bottom w:w="30" w:type="dxa"/>
            </w:tcMar>
            <w:vAlign w:val="center"/>
          </w:tcPr>
          <w:p w14:paraId="29A3F48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1E9AC6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33166608" w14:textId="77777777" w:rsidTr="005640BE">
        <w:tc>
          <w:tcPr>
            <w:tcW w:w="0" w:type="auto"/>
            <w:tcMar>
              <w:top w:w="30" w:type="dxa"/>
              <w:bottom w:w="30" w:type="dxa"/>
            </w:tcMar>
            <w:vAlign w:val="center"/>
          </w:tcPr>
          <w:p w14:paraId="0A96E0F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Psychological_Issue-Personality_Dimensions</w:t>
            </w:r>
          </w:p>
        </w:tc>
        <w:tc>
          <w:tcPr>
            <w:tcW w:w="0" w:type="auto"/>
            <w:tcMar>
              <w:top w:w="30" w:type="dxa"/>
              <w:bottom w:w="30" w:type="dxa"/>
            </w:tcMar>
            <w:vAlign w:val="center"/>
          </w:tcPr>
          <w:p w14:paraId="59419B0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0.14</w:t>
            </w:r>
          </w:p>
        </w:tc>
        <w:tc>
          <w:tcPr>
            <w:tcW w:w="0" w:type="auto"/>
            <w:tcMar>
              <w:top w:w="30" w:type="dxa"/>
              <w:bottom w:w="30" w:type="dxa"/>
            </w:tcMar>
            <w:vAlign w:val="center"/>
          </w:tcPr>
          <w:p w14:paraId="44E45A7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[-0.18, 0.43]</w:t>
            </w:r>
          </w:p>
        </w:tc>
        <w:tc>
          <w:tcPr>
            <w:tcW w:w="0" w:type="auto"/>
            <w:tcMar>
              <w:top w:w="30" w:type="dxa"/>
              <w:bottom w:w="30" w:type="dxa"/>
            </w:tcMar>
            <w:vAlign w:val="center"/>
          </w:tcPr>
          <w:p w14:paraId="076E7C2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349E2C4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5A5B061" w14:textId="77777777" w:rsidTr="005640BE">
        <w:tc>
          <w:tcPr>
            <w:tcW w:w="0" w:type="auto"/>
            <w:tcMar>
              <w:top w:w="30" w:type="dxa"/>
              <w:bottom w:w="30" w:type="dxa"/>
            </w:tcMar>
            <w:vAlign w:val="center"/>
          </w:tcPr>
          <w:p w14:paraId="7D55157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Psychological_Issue-Psychosomatic_Health</w:t>
            </w:r>
          </w:p>
        </w:tc>
        <w:tc>
          <w:tcPr>
            <w:tcW w:w="0" w:type="auto"/>
            <w:tcMar>
              <w:top w:w="30" w:type="dxa"/>
              <w:bottom w:w="30" w:type="dxa"/>
            </w:tcMar>
            <w:vAlign w:val="center"/>
          </w:tcPr>
          <w:p w14:paraId="4426AC1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c>
          <w:tcPr>
            <w:tcW w:w="0" w:type="auto"/>
            <w:tcMar>
              <w:top w:w="30" w:type="dxa"/>
              <w:bottom w:w="30" w:type="dxa"/>
            </w:tcMar>
            <w:vAlign w:val="center"/>
          </w:tcPr>
          <w:p w14:paraId="1AA59B7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[-0.12, 0.48]</w:t>
            </w:r>
          </w:p>
        </w:tc>
        <w:tc>
          <w:tcPr>
            <w:tcW w:w="0" w:type="auto"/>
            <w:tcMar>
              <w:top w:w="30" w:type="dxa"/>
              <w:bottom w:w="30" w:type="dxa"/>
            </w:tcMar>
            <w:vAlign w:val="center"/>
          </w:tcPr>
          <w:p w14:paraId="5E4B0B2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7FF719C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52657B05" w14:textId="77777777" w:rsidTr="005640BE">
        <w:tc>
          <w:tcPr>
            <w:tcW w:w="0" w:type="auto"/>
            <w:tcMar>
              <w:top w:w="30" w:type="dxa"/>
              <w:bottom w:w="30" w:type="dxa"/>
            </w:tcMar>
            <w:vAlign w:val="center"/>
          </w:tcPr>
          <w:p w14:paraId="006C4A1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Subconscious_Mind-Bio_Signatures</w:t>
            </w:r>
          </w:p>
        </w:tc>
        <w:tc>
          <w:tcPr>
            <w:tcW w:w="0" w:type="auto"/>
            <w:tcMar>
              <w:top w:w="30" w:type="dxa"/>
              <w:bottom w:w="30" w:type="dxa"/>
            </w:tcMar>
            <w:vAlign w:val="center"/>
          </w:tcPr>
          <w:p w14:paraId="5563077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w:t>
            </w:r>
          </w:p>
        </w:tc>
        <w:tc>
          <w:tcPr>
            <w:tcW w:w="0" w:type="auto"/>
            <w:tcMar>
              <w:top w:w="30" w:type="dxa"/>
              <w:bottom w:w="30" w:type="dxa"/>
            </w:tcMar>
            <w:vAlign w:val="center"/>
          </w:tcPr>
          <w:p w14:paraId="5321E8B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 0.45]</w:t>
            </w:r>
          </w:p>
        </w:tc>
        <w:tc>
          <w:tcPr>
            <w:tcW w:w="0" w:type="auto"/>
            <w:tcMar>
              <w:top w:w="30" w:type="dxa"/>
              <w:bottom w:w="30" w:type="dxa"/>
            </w:tcMar>
            <w:vAlign w:val="center"/>
          </w:tcPr>
          <w:p w14:paraId="56E8EE1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410405F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17AD4A3D" w14:textId="77777777" w:rsidTr="005640BE">
        <w:tc>
          <w:tcPr>
            <w:tcW w:w="0" w:type="auto"/>
            <w:tcMar>
              <w:top w:w="30" w:type="dxa"/>
              <w:bottom w:w="30" w:type="dxa"/>
            </w:tcMar>
            <w:vAlign w:val="center"/>
          </w:tcPr>
          <w:p w14:paraId="1A2D41B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Subconscious_Mind-Physical_Issue</w:t>
            </w:r>
          </w:p>
        </w:tc>
        <w:tc>
          <w:tcPr>
            <w:tcW w:w="0" w:type="auto"/>
            <w:tcMar>
              <w:top w:w="30" w:type="dxa"/>
              <w:bottom w:w="30" w:type="dxa"/>
            </w:tcMar>
            <w:vAlign w:val="center"/>
          </w:tcPr>
          <w:p w14:paraId="553DD2B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w:t>
            </w:r>
          </w:p>
        </w:tc>
        <w:tc>
          <w:tcPr>
            <w:tcW w:w="0" w:type="auto"/>
            <w:tcMar>
              <w:top w:w="30" w:type="dxa"/>
              <w:bottom w:w="30" w:type="dxa"/>
            </w:tcMar>
            <w:vAlign w:val="center"/>
          </w:tcPr>
          <w:p w14:paraId="3FCA28F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 0.55]</w:t>
            </w:r>
          </w:p>
        </w:tc>
        <w:tc>
          <w:tcPr>
            <w:tcW w:w="0" w:type="auto"/>
            <w:tcMar>
              <w:top w:w="30" w:type="dxa"/>
              <w:bottom w:w="30" w:type="dxa"/>
            </w:tcMar>
            <w:vAlign w:val="center"/>
          </w:tcPr>
          <w:p w14:paraId="4991C40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7819FA8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3EDF2DEC" w14:textId="77777777" w:rsidTr="005640BE">
        <w:tc>
          <w:tcPr>
            <w:tcW w:w="0" w:type="auto"/>
            <w:tcMar>
              <w:top w:w="30" w:type="dxa"/>
              <w:bottom w:w="30" w:type="dxa"/>
            </w:tcMar>
            <w:vAlign w:val="center"/>
          </w:tcPr>
          <w:p w14:paraId="6E05D25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Subconscious_Mind-Conscious_Mind</w:t>
            </w:r>
          </w:p>
        </w:tc>
        <w:tc>
          <w:tcPr>
            <w:tcW w:w="0" w:type="auto"/>
            <w:tcMar>
              <w:top w:w="30" w:type="dxa"/>
              <w:bottom w:w="30" w:type="dxa"/>
            </w:tcMar>
            <w:vAlign w:val="center"/>
          </w:tcPr>
          <w:p w14:paraId="7064093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0.43</w:t>
            </w:r>
          </w:p>
        </w:tc>
        <w:tc>
          <w:tcPr>
            <w:tcW w:w="0" w:type="auto"/>
            <w:tcMar>
              <w:top w:w="30" w:type="dxa"/>
              <w:bottom w:w="30" w:type="dxa"/>
            </w:tcMar>
            <w:vAlign w:val="center"/>
          </w:tcPr>
          <w:p w14:paraId="48C224C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[0.14, 0.65]</w:t>
            </w:r>
          </w:p>
        </w:tc>
        <w:tc>
          <w:tcPr>
            <w:tcW w:w="0" w:type="auto"/>
            <w:tcMar>
              <w:top w:w="30" w:type="dxa"/>
              <w:bottom w:w="30" w:type="dxa"/>
            </w:tcMar>
            <w:vAlign w:val="center"/>
          </w:tcPr>
          <w:p w14:paraId="5B0996C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9E9F16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.182</w:t>
            </w:r>
          </w:p>
        </w:tc>
      </w:tr>
      <w:tr w:rsidR="005459E6" w:rsidRPr="005459E6" w14:paraId="4ACEA947" w14:textId="77777777" w:rsidTr="005640BE">
        <w:tc>
          <w:tcPr>
            <w:tcW w:w="0" w:type="auto"/>
            <w:tcMar>
              <w:top w:w="30" w:type="dxa"/>
              <w:bottom w:w="30" w:type="dxa"/>
            </w:tcMar>
            <w:vAlign w:val="center"/>
          </w:tcPr>
          <w:p w14:paraId="12F19C5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Subconscious_Mind-Therapeutic_Intervention</w:t>
            </w:r>
          </w:p>
        </w:tc>
        <w:tc>
          <w:tcPr>
            <w:tcW w:w="0" w:type="auto"/>
            <w:tcMar>
              <w:top w:w="30" w:type="dxa"/>
              <w:bottom w:w="30" w:type="dxa"/>
            </w:tcMar>
            <w:vAlign w:val="center"/>
          </w:tcPr>
          <w:p w14:paraId="5A0774C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Mar>
              <w:top w:w="30" w:type="dxa"/>
              <w:bottom w:w="30" w:type="dxa"/>
            </w:tcMar>
            <w:vAlign w:val="center"/>
          </w:tcPr>
          <w:p w14:paraId="6B17882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[-0.26, 0.36]</w:t>
            </w:r>
          </w:p>
        </w:tc>
        <w:tc>
          <w:tcPr>
            <w:tcW w:w="0" w:type="auto"/>
            <w:tcMar>
              <w:top w:w="30" w:type="dxa"/>
              <w:bottom w:w="30" w:type="dxa"/>
            </w:tcMar>
            <w:vAlign w:val="center"/>
          </w:tcPr>
          <w:p w14:paraId="00CE164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7D3A90B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75C27CFF" w14:textId="77777777" w:rsidTr="005640BE">
        <w:tc>
          <w:tcPr>
            <w:tcW w:w="0" w:type="auto"/>
            <w:tcMar>
              <w:top w:w="30" w:type="dxa"/>
              <w:bottom w:w="30" w:type="dxa"/>
            </w:tcMar>
            <w:vAlign w:val="center"/>
          </w:tcPr>
          <w:p w14:paraId="7540E44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Subconscious_Mind-Role_of_Technology</w:t>
            </w:r>
          </w:p>
        </w:tc>
        <w:tc>
          <w:tcPr>
            <w:tcW w:w="0" w:type="auto"/>
            <w:tcMar>
              <w:top w:w="30" w:type="dxa"/>
              <w:bottom w:w="30" w:type="dxa"/>
            </w:tcMar>
            <w:vAlign w:val="center"/>
          </w:tcPr>
          <w:p w14:paraId="55826FA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w:t>
            </w:r>
          </w:p>
        </w:tc>
        <w:tc>
          <w:tcPr>
            <w:tcW w:w="0" w:type="auto"/>
            <w:tcMar>
              <w:top w:w="30" w:type="dxa"/>
              <w:bottom w:w="30" w:type="dxa"/>
            </w:tcMar>
            <w:vAlign w:val="center"/>
          </w:tcPr>
          <w:p w14:paraId="080331A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 0.45]</w:t>
            </w:r>
          </w:p>
        </w:tc>
        <w:tc>
          <w:tcPr>
            <w:tcW w:w="0" w:type="auto"/>
            <w:tcMar>
              <w:top w:w="30" w:type="dxa"/>
              <w:bottom w:w="30" w:type="dxa"/>
            </w:tcMar>
            <w:vAlign w:val="center"/>
          </w:tcPr>
          <w:p w14:paraId="7D951D3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5C8F051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B4997C5" w14:textId="77777777" w:rsidTr="005640BE">
        <w:tc>
          <w:tcPr>
            <w:tcW w:w="0" w:type="auto"/>
            <w:tcMar>
              <w:top w:w="30" w:type="dxa"/>
              <w:bottom w:w="30" w:type="dxa"/>
            </w:tcMar>
            <w:vAlign w:val="center"/>
          </w:tcPr>
          <w:p w14:paraId="41422D5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Subconscious_Mind-Personality_Dimensions</w:t>
            </w:r>
          </w:p>
        </w:tc>
        <w:tc>
          <w:tcPr>
            <w:tcW w:w="0" w:type="auto"/>
            <w:tcMar>
              <w:top w:w="30" w:type="dxa"/>
              <w:bottom w:w="30" w:type="dxa"/>
            </w:tcMar>
            <w:vAlign w:val="center"/>
          </w:tcPr>
          <w:p w14:paraId="22D208E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0.22</w:t>
            </w:r>
          </w:p>
        </w:tc>
        <w:tc>
          <w:tcPr>
            <w:tcW w:w="0" w:type="auto"/>
            <w:tcMar>
              <w:top w:w="30" w:type="dxa"/>
              <w:bottom w:w="30" w:type="dxa"/>
            </w:tcMar>
            <w:vAlign w:val="center"/>
          </w:tcPr>
          <w:p w14:paraId="6EAC0C0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 0.50]</w:t>
            </w:r>
          </w:p>
        </w:tc>
        <w:tc>
          <w:tcPr>
            <w:tcW w:w="0" w:type="auto"/>
            <w:tcMar>
              <w:top w:w="30" w:type="dxa"/>
              <w:bottom w:w="30" w:type="dxa"/>
            </w:tcMar>
            <w:vAlign w:val="center"/>
          </w:tcPr>
          <w:p w14:paraId="5957979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05FEE6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06FEC44C" w14:textId="77777777" w:rsidTr="005640BE">
        <w:tc>
          <w:tcPr>
            <w:tcW w:w="0" w:type="auto"/>
            <w:tcMar>
              <w:top w:w="30" w:type="dxa"/>
              <w:bottom w:w="30" w:type="dxa"/>
            </w:tcMar>
            <w:vAlign w:val="center"/>
          </w:tcPr>
          <w:p w14:paraId="61503CC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Subconscious_Mind-Psychosomatic_Health</w:t>
            </w:r>
          </w:p>
        </w:tc>
        <w:tc>
          <w:tcPr>
            <w:tcW w:w="0" w:type="auto"/>
            <w:tcMar>
              <w:top w:w="30" w:type="dxa"/>
              <w:bottom w:w="30" w:type="dxa"/>
            </w:tcMar>
            <w:vAlign w:val="center"/>
          </w:tcPr>
          <w:p w14:paraId="5E39755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0.57</w:t>
            </w:r>
          </w:p>
        </w:tc>
        <w:tc>
          <w:tcPr>
            <w:tcW w:w="0" w:type="auto"/>
            <w:tcMar>
              <w:top w:w="30" w:type="dxa"/>
              <w:bottom w:w="30" w:type="dxa"/>
            </w:tcMar>
            <w:vAlign w:val="center"/>
          </w:tcPr>
          <w:p w14:paraId="5D566D0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[0.31, 0.75]</w:t>
            </w:r>
          </w:p>
        </w:tc>
        <w:tc>
          <w:tcPr>
            <w:tcW w:w="0" w:type="auto"/>
            <w:tcMar>
              <w:top w:w="30" w:type="dxa"/>
              <w:bottom w:w="30" w:type="dxa"/>
            </w:tcMar>
            <w:vAlign w:val="center"/>
          </w:tcPr>
          <w:p w14:paraId="57A1A61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6F6EC16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w:t>
            </w:r>
          </w:p>
        </w:tc>
      </w:tr>
      <w:tr w:rsidR="005459E6" w:rsidRPr="005459E6" w14:paraId="4029CCC1" w14:textId="77777777" w:rsidTr="005640BE">
        <w:tc>
          <w:tcPr>
            <w:tcW w:w="0" w:type="auto"/>
            <w:tcMar>
              <w:top w:w="30" w:type="dxa"/>
              <w:bottom w:w="30" w:type="dxa"/>
            </w:tcMar>
            <w:vAlign w:val="center"/>
          </w:tcPr>
          <w:p w14:paraId="76BD417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Bio_Signatures-Physical_Issue</w:t>
            </w:r>
          </w:p>
        </w:tc>
        <w:tc>
          <w:tcPr>
            <w:tcW w:w="0" w:type="auto"/>
            <w:tcMar>
              <w:top w:w="30" w:type="dxa"/>
              <w:bottom w:w="30" w:type="dxa"/>
            </w:tcMar>
            <w:vAlign w:val="center"/>
          </w:tcPr>
          <w:p w14:paraId="55866D3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0.31</w:t>
            </w:r>
          </w:p>
        </w:tc>
        <w:tc>
          <w:tcPr>
            <w:tcW w:w="0" w:type="auto"/>
            <w:tcMar>
              <w:top w:w="30" w:type="dxa"/>
              <w:bottom w:w="30" w:type="dxa"/>
            </w:tcMar>
            <w:vAlign w:val="center"/>
          </w:tcPr>
          <w:p w14:paraId="2118CD4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0.57]</w:t>
            </w:r>
          </w:p>
        </w:tc>
        <w:tc>
          <w:tcPr>
            <w:tcW w:w="0" w:type="auto"/>
            <w:tcMar>
              <w:top w:w="30" w:type="dxa"/>
              <w:bottom w:w="30" w:type="dxa"/>
            </w:tcMar>
            <w:vAlign w:val="center"/>
          </w:tcPr>
          <w:p w14:paraId="4F8888D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43F59A3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32F2DFDF" w14:textId="77777777" w:rsidTr="005640BE">
        <w:tc>
          <w:tcPr>
            <w:tcW w:w="0" w:type="auto"/>
            <w:tcMar>
              <w:top w:w="30" w:type="dxa"/>
              <w:bottom w:w="30" w:type="dxa"/>
            </w:tcMar>
            <w:vAlign w:val="center"/>
          </w:tcPr>
          <w:p w14:paraId="1EA0D85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Bio_Signatures-Conscious_Mind</w:t>
            </w:r>
          </w:p>
        </w:tc>
        <w:tc>
          <w:tcPr>
            <w:tcW w:w="0" w:type="auto"/>
            <w:tcMar>
              <w:top w:w="30" w:type="dxa"/>
              <w:bottom w:w="30" w:type="dxa"/>
            </w:tcMar>
            <w:vAlign w:val="center"/>
          </w:tcPr>
          <w:p w14:paraId="1B992FD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c>
          <w:tcPr>
            <w:tcW w:w="0" w:type="auto"/>
            <w:tcMar>
              <w:top w:w="30" w:type="dxa"/>
              <w:bottom w:w="30" w:type="dxa"/>
            </w:tcMar>
            <w:vAlign w:val="center"/>
          </w:tcPr>
          <w:p w14:paraId="5ECE277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[-0.12, 0.48]</w:t>
            </w:r>
          </w:p>
        </w:tc>
        <w:tc>
          <w:tcPr>
            <w:tcW w:w="0" w:type="auto"/>
            <w:tcMar>
              <w:top w:w="30" w:type="dxa"/>
              <w:bottom w:w="30" w:type="dxa"/>
            </w:tcMar>
            <w:vAlign w:val="center"/>
          </w:tcPr>
          <w:p w14:paraId="25CC2B6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24AA43A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3440AF02" w14:textId="77777777" w:rsidTr="005640BE">
        <w:tc>
          <w:tcPr>
            <w:tcW w:w="0" w:type="auto"/>
            <w:tcMar>
              <w:top w:w="30" w:type="dxa"/>
              <w:bottom w:w="30" w:type="dxa"/>
            </w:tcMar>
            <w:vAlign w:val="center"/>
          </w:tcPr>
          <w:p w14:paraId="2A83454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Bio_Signatures-Therapeutic_Intervention</w:t>
            </w:r>
          </w:p>
        </w:tc>
        <w:tc>
          <w:tcPr>
            <w:tcW w:w="0" w:type="auto"/>
            <w:tcMar>
              <w:top w:w="30" w:type="dxa"/>
              <w:bottom w:w="30" w:type="dxa"/>
            </w:tcMar>
            <w:vAlign w:val="center"/>
          </w:tcPr>
          <w:p w14:paraId="09068C4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w:t>
            </w:r>
          </w:p>
        </w:tc>
        <w:tc>
          <w:tcPr>
            <w:tcW w:w="0" w:type="auto"/>
            <w:tcMar>
              <w:top w:w="30" w:type="dxa"/>
              <w:bottom w:w="30" w:type="dxa"/>
            </w:tcMar>
            <w:vAlign w:val="center"/>
          </w:tcPr>
          <w:p w14:paraId="5B3FD8C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[-0.36, 0.27]</w:t>
            </w:r>
          </w:p>
        </w:tc>
        <w:tc>
          <w:tcPr>
            <w:tcW w:w="0" w:type="auto"/>
            <w:tcMar>
              <w:top w:w="30" w:type="dxa"/>
              <w:bottom w:w="30" w:type="dxa"/>
            </w:tcMar>
            <w:vAlign w:val="center"/>
          </w:tcPr>
          <w:p w14:paraId="3B6B4BF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E4E132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2A727713" w14:textId="77777777" w:rsidTr="005640BE">
        <w:tc>
          <w:tcPr>
            <w:tcW w:w="0" w:type="auto"/>
            <w:tcMar>
              <w:top w:w="30" w:type="dxa"/>
              <w:bottom w:w="30" w:type="dxa"/>
            </w:tcMar>
            <w:vAlign w:val="center"/>
          </w:tcPr>
          <w:p w14:paraId="3086A74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Bio_Signatures-Role_of_Technology</w:t>
            </w:r>
          </w:p>
        </w:tc>
        <w:tc>
          <w:tcPr>
            <w:tcW w:w="0" w:type="auto"/>
            <w:tcMar>
              <w:top w:w="30" w:type="dxa"/>
              <w:bottom w:w="30" w:type="dxa"/>
            </w:tcMar>
            <w:vAlign w:val="center"/>
          </w:tcPr>
          <w:p w14:paraId="38CC60E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0.22</w:t>
            </w:r>
          </w:p>
        </w:tc>
        <w:tc>
          <w:tcPr>
            <w:tcW w:w="0" w:type="auto"/>
            <w:tcMar>
              <w:top w:w="30" w:type="dxa"/>
              <w:bottom w:w="30" w:type="dxa"/>
            </w:tcMar>
            <w:vAlign w:val="center"/>
          </w:tcPr>
          <w:p w14:paraId="13AE5F6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 0.50]</w:t>
            </w:r>
          </w:p>
        </w:tc>
        <w:tc>
          <w:tcPr>
            <w:tcW w:w="0" w:type="auto"/>
            <w:tcMar>
              <w:top w:w="30" w:type="dxa"/>
              <w:bottom w:w="30" w:type="dxa"/>
            </w:tcMar>
            <w:vAlign w:val="center"/>
          </w:tcPr>
          <w:p w14:paraId="238EB1F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344DDF0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0C996A2" w14:textId="77777777" w:rsidTr="005640BE">
        <w:tc>
          <w:tcPr>
            <w:tcW w:w="0" w:type="auto"/>
            <w:tcMar>
              <w:top w:w="30" w:type="dxa"/>
              <w:bottom w:w="30" w:type="dxa"/>
            </w:tcMar>
            <w:vAlign w:val="center"/>
          </w:tcPr>
          <w:p w14:paraId="044ED1B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Bio_Signatures-Personality_Dimensions</w:t>
            </w:r>
          </w:p>
        </w:tc>
        <w:tc>
          <w:tcPr>
            <w:tcW w:w="0" w:type="auto"/>
            <w:tcMar>
              <w:top w:w="30" w:type="dxa"/>
              <w:bottom w:w="30" w:type="dxa"/>
            </w:tcMar>
            <w:vAlign w:val="center"/>
          </w:tcPr>
          <w:p w14:paraId="5ED0541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0.63</w:t>
            </w:r>
          </w:p>
        </w:tc>
        <w:tc>
          <w:tcPr>
            <w:tcW w:w="0" w:type="auto"/>
            <w:tcMar>
              <w:top w:w="30" w:type="dxa"/>
              <w:bottom w:w="30" w:type="dxa"/>
            </w:tcMar>
            <w:vAlign w:val="center"/>
          </w:tcPr>
          <w:p w14:paraId="7935C9F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[0.39, 0.79]</w:t>
            </w:r>
          </w:p>
        </w:tc>
        <w:tc>
          <w:tcPr>
            <w:tcW w:w="0" w:type="auto"/>
            <w:tcMar>
              <w:top w:w="30" w:type="dxa"/>
              <w:bottom w:w="30" w:type="dxa"/>
            </w:tcMar>
            <w:vAlign w:val="center"/>
          </w:tcPr>
          <w:p w14:paraId="1F91247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E3134F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83576FF" w14:textId="77777777" w:rsidTr="005640BE">
        <w:tc>
          <w:tcPr>
            <w:tcW w:w="0" w:type="auto"/>
            <w:tcMar>
              <w:top w:w="30" w:type="dxa"/>
              <w:bottom w:w="30" w:type="dxa"/>
            </w:tcMar>
            <w:vAlign w:val="center"/>
          </w:tcPr>
          <w:p w14:paraId="30A4B9D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Bio_Signatures-Psychosomatic_Health</w:t>
            </w:r>
          </w:p>
        </w:tc>
        <w:tc>
          <w:tcPr>
            <w:tcW w:w="0" w:type="auto"/>
            <w:tcMar>
              <w:top w:w="30" w:type="dxa"/>
              <w:bottom w:w="30" w:type="dxa"/>
            </w:tcMar>
            <w:vAlign w:val="center"/>
          </w:tcPr>
          <w:p w14:paraId="3A794F2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0.35</w:t>
            </w:r>
          </w:p>
        </w:tc>
        <w:tc>
          <w:tcPr>
            <w:tcW w:w="0" w:type="auto"/>
            <w:tcMar>
              <w:top w:w="30" w:type="dxa"/>
              <w:bottom w:w="30" w:type="dxa"/>
            </w:tcMar>
            <w:vAlign w:val="center"/>
          </w:tcPr>
          <w:p w14:paraId="5ADE8F4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 0.60]</w:t>
            </w:r>
          </w:p>
        </w:tc>
        <w:tc>
          <w:tcPr>
            <w:tcW w:w="0" w:type="auto"/>
            <w:tcMar>
              <w:top w:w="30" w:type="dxa"/>
              <w:bottom w:w="30" w:type="dxa"/>
            </w:tcMar>
            <w:vAlign w:val="center"/>
          </w:tcPr>
          <w:p w14:paraId="272B067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38A39FC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.794</w:t>
            </w:r>
          </w:p>
        </w:tc>
      </w:tr>
      <w:tr w:rsidR="005459E6" w:rsidRPr="005459E6" w14:paraId="06B3DDCF" w14:textId="77777777" w:rsidTr="005640BE">
        <w:tc>
          <w:tcPr>
            <w:tcW w:w="0" w:type="auto"/>
            <w:tcMar>
              <w:top w:w="30" w:type="dxa"/>
              <w:bottom w:w="30" w:type="dxa"/>
            </w:tcMar>
            <w:vAlign w:val="center"/>
          </w:tcPr>
          <w:p w14:paraId="36230F7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Physical_Issue-Conscious_Mind</w:t>
            </w:r>
          </w:p>
        </w:tc>
        <w:tc>
          <w:tcPr>
            <w:tcW w:w="0" w:type="auto"/>
            <w:tcMar>
              <w:top w:w="30" w:type="dxa"/>
              <w:bottom w:w="30" w:type="dxa"/>
            </w:tcMar>
            <w:vAlign w:val="center"/>
          </w:tcPr>
          <w:p w14:paraId="7A14572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0.19</w:t>
            </w:r>
          </w:p>
        </w:tc>
        <w:tc>
          <w:tcPr>
            <w:tcW w:w="0" w:type="auto"/>
            <w:tcMar>
              <w:top w:w="30" w:type="dxa"/>
              <w:bottom w:w="30" w:type="dxa"/>
            </w:tcMar>
            <w:vAlign w:val="center"/>
          </w:tcPr>
          <w:p w14:paraId="7960BC6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 0.47]</w:t>
            </w:r>
          </w:p>
        </w:tc>
        <w:tc>
          <w:tcPr>
            <w:tcW w:w="0" w:type="auto"/>
            <w:tcMar>
              <w:top w:w="30" w:type="dxa"/>
              <w:bottom w:w="30" w:type="dxa"/>
            </w:tcMar>
            <w:vAlign w:val="center"/>
          </w:tcPr>
          <w:p w14:paraId="0F29773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44D050A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7F54E1B" w14:textId="77777777" w:rsidTr="005640BE">
        <w:tc>
          <w:tcPr>
            <w:tcW w:w="0" w:type="auto"/>
            <w:tcMar>
              <w:top w:w="30" w:type="dxa"/>
              <w:bottom w:w="30" w:type="dxa"/>
            </w:tcMar>
            <w:vAlign w:val="center"/>
          </w:tcPr>
          <w:p w14:paraId="3D51035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Physical_Issue-Therapeutic_Intervention</w:t>
            </w:r>
          </w:p>
        </w:tc>
        <w:tc>
          <w:tcPr>
            <w:tcW w:w="0" w:type="auto"/>
            <w:tcMar>
              <w:top w:w="30" w:type="dxa"/>
              <w:bottom w:w="30" w:type="dxa"/>
            </w:tcMar>
            <w:vAlign w:val="center"/>
          </w:tcPr>
          <w:p w14:paraId="67F958A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Mar>
              <w:top w:w="30" w:type="dxa"/>
              <w:bottom w:w="30" w:type="dxa"/>
            </w:tcMar>
            <w:vAlign w:val="center"/>
          </w:tcPr>
          <w:p w14:paraId="63CBB04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[-0.36, 0.26]</w:t>
            </w:r>
          </w:p>
        </w:tc>
        <w:tc>
          <w:tcPr>
            <w:tcW w:w="0" w:type="auto"/>
            <w:tcMar>
              <w:top w:w="30" w:type="dxa"/>
              <w:bottom w:w="30" w:type="dxa"/>
            </w:tcMar>
            <w:vAlign w:val="center"/>
          </w:tcPr>
          <w:p w14:paraId="1837507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1D15CA0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2899555" w14:textId="77777777" w:rsidTr="005640BE">
        <w:tc>
          <w:tcPr>
            <w:tcW w:w="0" w:type="auto"/>
            <w:tcMar>
              <w:top w:w="30" w:type="dxa"/>
              <w:bottom w:w="30" w:type="dxa"/>
            </w:tcMar>
            <w:vAlign w:val="center"/>
          </w:tcPr>
          <w:p w14:paraId="48C2458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Physical_Issue-Role_of_Technology</w:t>
            </w:r>
          </w:p>
        </w:tc>
        <w:tc>
          <w:tcPr>
            <w:tcW w:w="0" w:type="auto"/>
            <w:tcMar>
              <w:top w:w="30" w:type="dxa"/>
              <w:bottom w:w="30" w:type="dxa"/>
            </w:tcMar>
            <w:vAlign w:val="center"/>
          </w:tcPr>
          <w:p w14:paraId="5FF28FE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778789C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 0.33]</w:t>
            </w:r>
          </w:p>
        </w:tc>
        <w:tc>
          <w:tcPr>
            <w:tcW w:w="0" w:type="auto"/>
            <w:tcMar>
              <w:top w:w="30" w:type="dxa"/>
              <w:bottom w:w="30" w:type="dxa"/>
            </w:tcMar>
            <w:vAlign w:val="center"/>
          </w:tcPr>
          <w:p w14:paraId="25BD709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6F95D7E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5AB7D809" w14:textId="77777777" w:rsidTr="005640BE">
        <w:tc>
          <w:tcPr>
            <w:tcW w:w="0" w:type="auto"/>
            <w:tcMar>
              <w:top w:w="30" w:type="dxa"/>
              <w:bottom w:w="30" w:type="dxa"/>
            </w:tcMar>
            <w:vAlign w:val="center"/>
          </w:tcPr>
          <w:p w14:paraId="5332CFF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Physical_Issue-Personality_Dimensions</w:t>
            </w:r>
          </w:p>
        </w:tc>
        <w:tc>
          <w:tcPr>
            <w:tcW w:w="0" w:type="auto"/>
            <w:tcMar>
              <w:top w:w="30" w:type="dxa"/>
              <w:bottom w:w="30" w:type="dxa"/>
            </w:tcMar>
            <w:vAlign w:val="center"/>
          </w:tcPr>
          <w:p w14:paraId="5F62359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w:t>
            </w:r>
          </w:p>
        </w:tc>
        <w:tc>
          <w:tcPr>
            <w:tcW w:w="0" w:type="auto"/>
            <w:tcMar>
              <w:top w:w="30" w:type="dxa"/>
              <w:bottom w:w="30" w:type="dxa"/>
            </w:tcMar>
            <w:vAlign w:val="center"/>
          </w:tcPr>
          <w:p w14:paraId="55AFA8E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0.59]</w:t>
            </w:r>
          </w:p>
        </w:tc>
        <w:tc>
          <w:tcPr>
            <w:tcW w:w="0" w:type="auto"/>
            <w:tcMar>
              <w:top w:w="30" w:type="dxa"/>
              <w:bottom w:w="30" w:type="dxa"/>
            </w:tcMar>
            <w:vAlign w:val="center"/>
          </w:tcPr>
          <w:p w14:paraId="4EF013E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6B37E77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.959</w:t>
            </w:r>
          </w:p>
        </w:tc>
      </w:tr>
      <w:tr w:rsidR="005459E6" w:rsidRPr="005459E6" w14:paraId="451EF9A1" w14:textId="77777777" w:rsidTr="005640BE">
        <w:tc>
          <w:tcPr>
            <w:tcW w:w="0" w:type="auto"/>
            <w:tcMar>
              <w:top w:w="30" w:type="dxa"/>
              <w:bottom w:w="30" w:type="dxa"/>
            </w:tcMar>
            <w:vAlign w:val="center"/>
          </w:tcPr>
          <w:p w14:paraId="59E7AB6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Physical_Issue-Psychosomatic_Health</w:t>
            </w:r>
          </w:p>
        </w:tc>
        <w:tc>
          <w:tcPr>
            <w:tcW w:w="0" w:type="auto"/>
            <w:tcMar>
              <w:top w:w="30" w:type="dxa"/>
              <w:bottom w:w="30" w:type="dxa"/>
            </w:tcMar>
            <w:vAlign w:val="center"/>
          </w:tcPr>
          <w:p w14:paraId="27A7A25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w:t>
            </w:r>
          </w:p>
        </w:tc>
        <w:tc>
          <w:tcPr>
            <w:tcW w:w="0" w:type="auto"/>
            <w:tcMar>
              <w:top w:w="30" w:type="dxa"/>
              <w:bottom w:w="30" w:type="dxa"/>
            </w:tcMar>
            <w:vAlign w:val="center"/>
          </w:tcPr>
          <w:p w14:paraId="650B396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0.56]</w:t>
            </w:r>
          </w:p>
        </w:tc>
        <w:tc>
          <w:tcPr>
            <w:tcW w:w="0" w:type="auto"/>
            <w:tcMar>
              <w:top w:w="30" w:type="dxa"/>
              <w:bottom w:w="30" w:type="dxa"/>
            </w:tcMar>
            <w:vAlign w:val="center"/>
          </w:tcPr>
          <w:p w14:paraId="7AA6B3F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6852A20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4FAE7D2" w14:textId="77777777" w:rsidTr="005640BE">
        <w:tc>
          <w:tcPr>
            <w:tcW w:w="0" w:type="auto"/>
            <w:tcMar>
              <w:top w:w="30" w:type="dxa"/>
              <w:bottom w:w="30" w:type="dxa"/>
            </w:tcMar>
            <w:vAlign w:val="center"/>
          </w:tcPr>
          <w:p w14:paraId="505B5E7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Conscious_Mind-Therapeutic_Intervention</w:t>
            </w:r>
          </w:p>
        </w:tc>
        <w:tc>
          <w:tcPr>
            <w:tcW w:w="0" w:type="auto"/>
            <w:tcMar>
              <w:top w:w="30" w:type="dxa"/>
              <w:bottom w:w="30" w:type="dxa"/>
            </w:tcMar>
            <w:vAlign w:val="center"/>
          </w:tcPr>
          <w:p w14:paraId="5C43F84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Mar>
              <w:top w:w="30" w:type="dxa"/>
              <w:bottom w:w="30" w:type="dxa"/>
            </w:tcMar>
            <w:vAlign w:val="center"/>
          </w:tcPr>
          <w:p w14:paraId="3698E86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[-0.37, 0.25]</w:t>
            </w:r>
          </w:p>
        </w:tc>
        <w:tc>
          <w:tcPr>
            <w:tcW w:w="0" w:type="auto"/>
            <w:tcMar>
              <w:top w:w="30" w:type="dxa"/>
              <w:bottom w:w="30" w:type="dxa"/>
            </w:tcMar>
            <w:vAlign w:val="center"/>
          </w:tcPr>
          <w:p w14:paraId="23198A9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25E7B44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70AB2E1A" w14:textId="77777777" w:rsidTr="005640BE">
        <w:tc>
          <w:tcPr>
            <w:tcW w:w="0" w:type="auto"/>
            <w:tcMar>
              <w:top w:w="30" w:type="dxa"/>
              <w:bottom w:w="30" w:type="dxa"/>
            </w:tcMar>
            <w:vAlign w:val="center"/>
          </w:tcPr>
          <w:p w14:paraId="689C44B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Conscious_Mind-Role_of_Technology</w:t>
            </w:r>
          </w:p>
        </w:tc>
        <w:tc>
          <w:tcPr>
            <w:tcW w:w="0" w:type="auto"/>
            <w:tcMar>
              <w:top w:w="30" w:type="dxa"/>
              <w:bottom w:w="30" w:type="dxa"/>
            </w:tcMar>
            <w:vAlign w:val="center"/>
          </w:tcPr>
          <w:p w14:paraId="4E043F9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1408AFB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 0.34]</w:t>
            </w:r>
          </w:p>
        </w:tc>
        <w:tc>
          <w:tcPr>
            <w:tcW w:w="0" w:type="auto"/>
            <w:tcMar>
              <w:top w:w="30" w:type="dxa"/>
              <w:bottom w:w="30" w:type="dxa"/>
            </w:tcMar>
            <w:vAlign w:val="center"/>
          </w:tcPr>
          <w:p w14:paraId="2C4AD9B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4E8F75E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DB1601B" w14:textId="77777777" w:rsidTr="005640BE">
        <w:tc>
          <w:tcPr>
            <w:tcW w:w="0" w:type="auto"/>
            <w:tcMar>
              <w:top w:w="30" w:type="dxa"/>
              <w:bottom w:w="30" w:type="dxa"/>
            </w:tcMar>
            <w:vAlign w:val="center"/>
          </w:tcPr>
          <w:p w14:paraId="7214A01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Conscious_Mind-Personality_Dimensions</w:t>
            </w:r>
          </w:p>
        </w:tc>
        <w:tc>
          <w:tcPr>
            <w:tcW w:w="0" w:type="auto"/>
            <w:tcMar>
              <w:top w:w="30" w:type="dxa"/>
              <w:bottom w:w="30" w:type="dxa"/>
            </w:tcMar>
            <w:vAlign w:val="center"/>
          </w:tcPr>
          <w:p w14:paraId="1C4D9980"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6806779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 0.32]</w:t>
            </w:r>
          </w:p>
        </w:tc>
        <w:tc>
          <w:tcPr>
            <w:tcW w:w="0" w:type="auto"/>
            <w:tcMar>
              <w:top w:w="30" w:type="dxa"/>
              <w:bottom w:w="30" w:type="dxa"/>
            </w:tcMar>
            <w:vAlign w:val="center"/>
          </w:tcPr>
          <w:p w14:paraId="5B26257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6177D84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7107408C" w14:textId="77777777" w:rsidTr="005640BE">
        <w:tc>
          <w:tcPr>
            <w:tcW w:w="0" w:type="auto"/>
            <w:tcMar>
              <w:top w:w="30" w:type="dxa"/>
              <w:bottom w:w="30" w:type="dxa"/>
            </w:tcMar>
            <w:vAlign w:val="center"/>
          </w:tcPr>
          <w:p w14:paraId="28C0C1C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Conscious_Mind-Psychosomatic_Health</w:t>
            </w:r>
          </w:p>
        </w:tc>
        <w:tc>
          <w:tcPr>
            <w:tcW w:w="0" w:type="auto"/>
            <w:tcMar>
              <w:top w:w="30" w:type="dxa"/>
              <w:bottom w:w="30" w:type="dxa"/>
            </w:tcMar>
            <w:vAlign w:val="center"/>
          </w:tcPr>
          <w:p w14:paraId="05D5C9B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w:t>
            </w:r>
          </w:p>
        </w:tc>
        <w:tc>
          <w:tcPr>
            <w:tcW w:w="0" w:type="auto"/>
            <w:tcMar>
              <w:top w:w="30" w:type="dxa"/>
              <w:bottom w:w="30" w:type="dxa"/>
            </w:tcMar>
            <w:vAlign w:val="center"/>
          </w:tcPr>
          <w:p w14:paraId="75A7C7E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0.55]</w:t>
            </w:r>
          </w:p>
        </w:tc>
        <w:tc>
          <w:tcPr>
            <w:tcW w:w="0" w:type="auto"/>
            <w:tcMar>
              <w:top w:w="30" w:type="dxa"/>
              <w:bottom w:w="30" w:type="dxa"/>
            </w:tcMar>
            <w:vAlign w:val="center"/>
          </w:tcPr>
          <w:p w14:paraId="40AC7D4C"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344FB609"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0B3A936" w14:textId="77777777" w:rsidTr="005640BE">
        <w:tc>
          <w:tcPr>
            <w:tcW w:w="0" w:type="auto"/>
            <w:tcMar>
              <w:top w:w="30" w:type="dxa"/>
              <w:bottom w:w="30" w:type="dxa"/>
            </w:tcMar>
            <w:vAlign w:val="center"/>
          </w:tcPr>
          <w:p w14:paraId="3E442D6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Therapeutic_Intervention-Role_of_Technology</w:t>
            </w:r>
          </w:p>
        </w:tc>
        <w:tc>
          <w:tcPr>
            <w:tcW w:w="0" w:type="auto"/>
            <w:tcMar>
              <w:top w:w="30" w:type="dxa"/>
              <w:bottom w:w="30" w:type="dxa"/>
            </w:tcMar>
            <w:vAlign w:val="center"/>
          </w:tcPr>
          <w:p w14:paraId="588F7E1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0.42</w:t>
            </w:r>
          </w:p>
        </w:tc>
        <w:tc>
          <w:tcPr>
            <w:tcW w:w="0" w:type="auto"/>
            <w:tcMar>
              <w:top w:w="30" w:type="dxa"/>
              <w:bottom w:w="30" w:type="dxa"/>
            </w:tcMar>
            <w:vAlign w:val="center"/>
          </w:tcPr>
          <w:p w14:paraId="13E5543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 0.65]</w:t>
            </w:r>
          </w:p>
        </w:tc>
        <w:tc>
          <w:tcPr>
            <w:tcW w:w="0" w:type="auto"/>
            <w:tcMar>
              <w:top w:w="30" w:type="dxa"/>
              <w:bottom w:w="30" w:type="dxa"/>
            </w:tcMar>
            <w:vAlign w:val="center"/>
          </w:tcPr>
          <w:p w14:paraId="5FDC47E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20BF29C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.199</w:t>
            </w:r>
          </w:p>
        </w:tc>
      </w:tr>
      <w:tr w:rsidR="005459E6" w:rsidRPr="005459E6" w14:paraId="5ED695ED" w14:textId="77777777" w:rsidTr="005640BE">
        <w:tc>
          <w:tcPr>
            <w:tcW w:w="0" w:type="auto"/>
            <w:tcMar>
              <w:top w:w="30" w:type="dxa"/>
              <w:bottom w:w="30" w:type="dxa"/>
            </w:tcMar>
            <w:vAlign w:val="center"/>
          </w:tcPr>
          <w:p w14:paraId="676F739A"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Therapeutic_Intervention-Personality_Dimensions</w:t>
            </w:r>
          </w:p>
        </w:tc>
        <w:tc>
          <w:tcPr>
            <w:tcW w:w="0" w:type="auto"/>
            <w:tcMar>
              <w:top w:w="30" w:type="dxa"/>
              <w:bottom w:w="30" w:type="dxa"/>
            </w:tcMar>
            <w:vAlign w:val="center"/>
          </w:tcPr>
          <w:p w14:paraId="39B2C5D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0.32</w:t>
            </w:r>
          </w:p>
        </w:tc>
        <w:tc>
          <w:tcPr>
            <w:tcW w:w="0" w:type="auto"/>
            <w:tcMar>
              <w:top w:w="30" w:type="dxa"/>
              <w:bottom w:w="30" w:type="dxa"/>
            </w:tcMar>
            <w:vAlign w:val="center"/>
          </w:tcPr>
          <w:p w14:paraId="1A5DB735"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0.58]</w:t>
            </w:r>
          </w:p>
        </w:tc>
        <w:tc>
          <w:tcPr>
            <w:tcW w:w="0" w:type="auto"/>
            <w:tcMar>
              <w:top w:w="30" w:type="dxa"/>
              <w:bottom w:w="30" w:type="dxa"/>
            </w:tcMar>
            <w:vAlign w:val="center"/>
          </w:tcPr>
          <w:p w14:paraId="184A32C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718A39C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103C495" w14:textId="77777777" w:rsidTr="005640BE">
        <w:tc>
          <w:tcPr>
            <w:tcW w:w="0" w:type="auto"/>
            <w:tcMar>
              <w:top w:w="30" w:type="dxa"/>
              <w:bottom w:w="30" w:type="dxa"/>
            </w:tcMar>
            <w:vAlign w:val="center"/>
          </w:tcPr>
          <w:p w14:paraId="694285D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Therapeutic_Intervention-Psychosomatic_Health</w:t>
            </w:r>
          </w:p>
        </w:tc>
        <w:tc>
          <w:tcPr>
            <w:tcW w:w="0" w:type="auto"/>
            <w:tcMar>
              <w:top w:w="30" w:type="dxa"/>
              <w:bottom w:w="30" w:type="dxa"/>
            </w:tcMar>
            <w:vAlign w:val="center"/>
          </w:tcPr>
          <w:p w14:paraId="381502F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w:t>
            </w:r>
          </w:p>
        </w:tc>
        <w:tc>
          <w:tcPr>
            <w:tcW w:w="0" w:type="auto"/>
            <w:tcMar>
              <w:top w:w="30" w:type="dxa"/>
              <w:bottom w:w="30" w:type="dxa"/>
            </w:tcMar>
            <w:vAlign w:val="center"/>
          </w:tcPr>
          <w:p w14:paraId="191F754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[-0.22, 0.40]</w:t>
            </w:r>
          </w:p>
        </w:tc>
        <w:tc>
          <w:tcPr>
            <w:tcW w:w="0" w:type="auto"/>
            <w:tcMar>
              <w:top w:w="30" w:type="dxa"/>
              <w:bottom w:w="30" w:type="dxa"/>
            </w:tcMar>
            <w:vAlign w:val="center"/>
          </w:tcPr>
          <w:p w14:paraId="66E208F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087DE69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014353A" w14:textId="77777777" w:rsidTr="005640BE">
        <w:tc>
          <w:tcPr>
            <w:tcW w:w="0" w:type="auto"/>
            <w:tcMar>
              <w:top w:w="30" w:type="dxa"/>
              <w:bottom w:w="30" w:type="dxa"/>
            </w:tcMar>
            <w:vAlign w:val="center"/>
          </w:tcPr>
          <w:p w14:paraId="68997BE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Role_of_Technology-Personality_Dimensions</w:t>
            </w:r>
          </w:p>
        </w:tc>
        <w:tc>
          <w:tcPr>
            <w:tcW w:w="0" w:type="auto"/>
            <w:tcMar>
              <w:top w:w="30" w:type="dxa"/>
              <w:bottom w:w="30" w:type="dxa"/>
            </w:tcMar>
            <w:vAlign w:val="center"/>
          </w:tcPr>
          <w:p w14:paraId="6332CC0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0.47</w:t>
            </w:r>
          </w:p>
        </w:tc>
        <w:tc>
          <w:tcPr>
            <w:tcW w:w="0" w:type="auto"/>
            <w:tcMar>
              <w:top w:w="30" w:type="dxa"/>
              <w:bottom w:w="30" w:type="dxa"/>
            </w:tcMar>
            <w:vAlign w:val="center"/>
          </w:tcPr>
          <w:p w14:paraId="2EC9AEC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[0.19, 0.68]</w:t>
            </w:r>
          </w:p>
        </w:tc>
        <w:tc>
          <w:tcPr>
            <w:tcW w:w="0" w:type="auto"/>
            <w:tcMar>
              <w:top w:w="30" w:type="dxa"/>
              <w:bottom w:w="30" w:type="dxa"/>
            </w:tcMar>
            <w:vAlign w:val="center"/>
          </w:tcPr>
          <w:p w14:paraId="0A424B9B"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2C5B27D7"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.068</w:t>
            </w:r>
          </w:p>
        </w:tc>
      </w:tr>
      <w:tr w:rsidR="005459E6" w:rsidRPr="005459E6" w14:paraId="49F8B5DC" w14:textId="77777777" w:rsidTr="005640BE">
        <w:tc>
          <w:tcPr>
            <w:tcW w:w="0" w:type="auto"/>
            <w:tcMar>
              <w:top w:w="30" w:type="dxa"/>
              <w:bottom w:w="30" w:type="dxa"/>
            </w:tcMar>
            <w:vAlign w:val="center"/>
          </w:tcPr>
          <w:p w14:paraId="624ACEE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Role_of_Technology-Psychosomatic_Health</w:t>
            </w:r>
          </w:p>
        </w:tc>
        <w:tc>
          <w:tcPr>
            <w:tcW w:w="0" w:type="auto"/>
            <w:tcMar>
              <w:top w:w="30" w:type="dxa"/>
              <w:bottom w:w="30" w:type="dxa"/>
            </w:tcMar>
            <w:vAlign w:val="center"/>
          </w:tcPr>
          <w:p w14:paraId="6AF07624"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w:t>
            </w:r>
          </w:p>
        </w:tc>
        <w:tc>
          <w:tcPr>
            <w:tcW w:w="0" w:type="auto"/>
            <w:tcMar>
              <w:top w:w="30" w:type="dxa"/>
              <w:bottom w:w="30" w:type="dxa"/>
            </w:tcMar>
            <w:vAlign w:val="center"/>
          </w:tcPr>
          <w:p w14:paraId="25F13772"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[-0.19, 0.42]</w:t>
            </w:r>
          </w:p>
        </w:tc>
        <w:tc>
          <w:tcPr>
            <w:tcW w:w="0" w:type="auto"/>
            <w:tcMar>
              <w:top w:w="30" w:type="dxa"/>
              <w:bottom w:w="30" w:type="dxa"/>
            </w:tcMar>
            <w:vAlign w:val="center"/>
          </w:tcPr>
          <w:p w14:paraId="31E8C756"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bottom w:w="30" w:type="dxa"/>
            </w:tcMar>
            <w:vAlign w:val="center"/>
          </w:tcPr>
          <w:p w14:paraId="4A340D8D"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DABA184" w14:textId="77777777" w:rsidTr="005640BE">
        <w:tc>
          <w:tcPr>
            <w:tcW w:w="0" w:type="auto"/>
            <w:tcBorders>
              <w:bottom w:val="single" w:sz="5" w:space="0" w:color="000000"/>
            </w:tcBorders>
            <w:tcMar>
              <w:top w:w="30" w:type="dxa"/>
              <w:bottom w:w="30" w:type="dxa"/>
            </w:tcMar>
            <w:vAlign w:val="center"/>
          </w:tcPr>
          <w:p w14:paraId="6565986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Personality_Dimensions-Psychosomatic_Health</w:t>
            </w:r>
          </w:p>
        </w:tc>
        <w:tc>
          <w:tcPr>
            <w:tcW w:w="0" w:type="auto"/>
            <w:tcBorders>
              <w:bottom w:val="single" w:sz="5" w:space="0" w:color="000000"/>
            </w:tcBorders>
            <w:tcMar>
              <w:top w:w="30" w:type="dxa"/>
              <w:bottom w:w="30" w:type="dxa"/>
            </w:tcMar>
            <w:vAlign w:val="center"/>
          </w:tcPr>
          <w:p w14:paraId="0593AAD1"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w:t>
            </w:r>
          </w:p>
        </w:tc>
        <w:tc>
          <w:tcPr>
            <w:tcW w:w="0" w:type="auto"/>
            <w:tcBorders>
              <w:bottom w:val="single" w:sz="5" w:space="0" w:color="000000"/>
            </w:tcBorders>
            <w:tcMar>
              <w:top w:w="30" w:type="dxa"/>
              <w:bottom w:w="30" w:type="dxa"/>
            </w:tcMar>
            <w:vAlign w:val="center"/>
          </w:tcPr>
          <w:p w14:paraId="0D0CC4C8"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0.52]</w:t>
            </w:r>
          </w:p>
        </w:tc>
        <w:tc>
          <w:tcPr>
            <w:tcW w:w="0" w:type="auto"/>
            <w:tcBorders>
              <w:bottom w:val="single" w:sz="5" w:space="0" w:color="000000"/>
            </w:tcBorders>
            <w:tcMar>
              <w:top w:w="30" w:type="dxa"/>
              <w:bottom w:w="30" w:type="dxa"/>
            </w:tcMar>
            <w:vAlign w:val="center"/>
          </w:tcPr>
          <w:p w14:paraId="3DE5F09E"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Borders>
              <w:bottom w:val="single" w:sz="5" w:space="0" w:color="000000"/>
            </w:tcBorders>
            <w:tcMar>
              <w:top w:w="30" w:type="dxa"/>
              <w:bottom w:w="30" w:type="dxa"/>
            </w:tcMar>
            <w:vAlign w:val="center"/>
          </w:tcPr>
          <w:p w14:paraId="394CAD93"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741DD0" w:rsidRPr="005459E6" w14:paraId="1DA70DA3" w14:textId="77777777" w:rsidTr="005640BE">
        <w:tc>
          <w:tcPr>
            <w:tcW w:w="0" w:type="auto"/>
            <w:gridSpan w:val="5"/>
            <w:tcMar>
              <w:top w:w="15" w:type="dxa"/>
              <w:bottom w:w="15" w:type="dxa"/>
            </w:tcMar>
            <w:vAlign w:val="center"/>
          </w:tcPr>
          <w:p w14:paraId="4C6018DF" w14:textId="77777777" w:rsidR="00741DD0" w:rsidRPr="005459E6" w:rsidRDefault="00741DD0"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Note.</w:t>
            </w:r>
            <w:r w:rsidRPr="005459E6">
              <w:rPr>
                <w:rFonts w:ascii="Times New Roman" w:hAnsi="Times New Roman" w:cs="Times New Roman"/>
                <w:position w:val="-3"/>
              </w:rPr>
              <w:t xml:space="preserve"> </w:t>
            </w:r>
            <w:r w:rsidRPr="005459E6">
              <w:rPr>
                <w:rFonts w:ascii="Times New Roman" w:hAnsi="Times New Roman" w:cs="Times New Roman"/>
                <w:i/>
                <w:iCs/>
                <w:position w:val="-3"/>
              </w:rPr>
              <w:t>p</w:t>
            </w:r>
            <w:r w:rsidRPr="005459E6">
              <w:rPr>
                <w:rFonts w:ascii="Times New Roman" w:hAnsi="Times New Roman" w:cs="Times New Roman"/>
                <w:position w:val="-3"/>
              </w:rPr>
              <w:t>-values adjusted using the Holm correction.</w:t>
            </w:r>
          </w:p>
        </w:tc>
      </w:tr>
      <w:bookmarkEnd w:id="270"/>
    </w:tbl>
    <w:p w14:paraId="4F878873" w14:textId="2CC2EBE6" w:rsidR="003C0C38" w:rsidRPr="005459E6" w:rsidRDefault="003C0C38" w:rsidP="00042CB0">
      <w:pPr>
        <w:spacing w:line="360" w:lineRule="auto"/>
        <w:jc w:val="both"/>
        <w:rPr>
          <w:rFonts w:ascii="Times New Roman" w:hAnsi="Times New Roman" w:cs="Times New Roman"/>
          <w:i/>
          <w:iCs/>
          <w:strike/>
        </w:rPr>
      </w:pPr>
    </w:p>
    <w:p w14:paraId="203F0C43" w14:textId="77777777" w:rsidR="00F81232" w:rsidRPr="005459E6" w:rsidRDefault="00F81232" w:rsidP="00042CB0">
      <w:pPr>
        <w:spacing w:line="360" w:lineRule="auto"/>
        <w:jc w:val="both"/>
        <w:rPr>
          <w:rFonts w:ascii="Times New Roman" w:hAnsi="Times New Roman" w:cs="Times New Roman"/>
          <w:i/>
          <w:iCs/>
        </w:rPr>
      </w:pPr>
    </w:p>
    <w:p w14:paraId="3782351B" w14:textId="77777777" w:rsidR="009D5316" w:rsidRPr="005459E6" w:rsidRDefault="009D5316" w:rsidP="00042CB0">
      <w:pPr>
        <w:spacing w:line="360" w:lineRule="auto"/>
        <w:jc w:val="both"/>
        <w:rPr>
          <w:rFonts w:ascii="Times New Roman" w:hAnsi="Times New Roman" w:cs="Times New Roman"/>
          <w:i/>
          <w:iCs/>
        </w:rPr>
      </w:pPr>
    </w:p>
    <w:p w14:paraId="2F9E6E47" w14:textId="77777777" w:rsidR="009D5316" w:rsidRPr="005459E6" w:rsidRDefault="009D5316" w:rsidP="00042CB0">
      <w:pPr>
        <w:spacing w:line="360" w:lineRule="auto"/>
        <w:jc w:val="both"/>
        <w:rPr>
          <w:rFonts w:ascii="Times New Roman" w:hAnsi="Times New Roman" w:cs="Times New Roman"/>
          <w:i/>
          <w:iCs/>
        </w:rPr>
      </w:pPr>
    </w:p>
    <w:p w14:paraId="58A58440" w14:textId="77777777" w:rsidR="009D5316" w:rsidRPr="005459E6" w:rsidRDefault="009D5316" w:rsidP="00042CB0">
      <w:pPr>
        <w:spacing w:line="360" w:lineRule="auto"/>
        <w:jc w:val="both"/>
        <w:rPr>
          <w:rFonts w:ascii="Times New Roman" w:hAnsi="Times New Roman" w:cs="Times New Roman"/>
          <w:i/>
          <w:iCs/>
        </w:rPr>
      </w:pPr>
    </w:p>
    <w:p w14:paraId="1245D3EC" w14:textId="77777777" w:rsidR="009D5316" w:rsidRPr="005459E6" w:rsidRDefault="009D5316" w:rsidP="00042CB0">
      <w:pPr>
        <w:spacing w:line="360" w:lineRule="auto"/>
        <w:jc w:val="both"/>
        <w:rPr>
          <w:rFonts w:ascii="Times New Roman" w:hAnsi="Times New Roman" w:cs="Times New Roman"/>
          <w:i/>
          <w:iCs/>
        </w:rPr>
      </w:pPr>
    </w:p>
    <w:p w14:paraId="737960F4" w14:textId="77777777" w:rsidR="009D5316" w:rsidRPr="005459E6" w:rsidRDefault="009D5316" w:rsidP="00042CB0">
      <w:pPr>
        <w:spacing w:line="360" w:lineRule="auto"/>
        <w:jc w:val="both"/>
        <w:rPr>
          <w:rFonts w:ascii="Times New Roman" w:hAnsi="Times New Roman" w:cs="Times New Roman"/>
          <w:i/>
          <w:iCs/>
        </w:rPr>
      </w:pPr>
    </w:p>
    <w:p w14:paraId="3E7E576C" w14:textId="77777777" w:rsidR="009D5316" w:rsidRPr="005459E6" w:rsidRDefault="009D5316" w:rsidP="00042CB0">
      <w:pPr>
        <w:spacing w:line="360" w:lineRule="auto"/>
        <w:jc w:val="both"/>
        <w:rPr>
          <w:rFonts w:ascii="Times New Roman" w:hAnsi="Times New Roman" w:cs="Times New Roman"/>
          <w:i/>
          <w:iCs/>
        </w:rPr>
      </w:pPr>
    </w:p>
    <w:p w14:paraId="0398E780" w14:textId="77777777" w:rsidR="009D5316" w:rsidRPr="005459E6" w:rsidRDefault="009D5316" w:rsidP="00042CB0">
      <w:pPr>
        <w:spacing w:line="360" w:lineRule="auto"/>
        <w:jc w:val="both"/>
        <w:rPr>
          <w:rFonts w:ascii="Times New Roman" w:hAnsi="Times New Roman" w:cs="Times New Roman"/>
          <w:i/>
          <w:iCs/>
        </w:rPr>
      </w:pPr>
    </w:p>
    <w:p w14:paraId="4212A9FB" w14:textId="77777777" w:rsidR="009D5316" w:rsidRPr="005459E6" w:rsidRDefault="009D5316" w:rsidP="00042CB0">
      <w:pPr>
        <w:spacing w:line="360" w:lineRule="auto"/>
        <w:jc w:val="both"/>
        <w:rPr>
          <w:rFonts w:ascii="Times New Roman" w:hAnsi="Times New Roman" w:cs="Times New Roman"/>
          <w:i/>
          <w:iCs/>
        </w:rPr>
      </w:pPr>
    </w:p>
    <w:p w14:paraId="3847C60D" w14:textId="77777777" w:rsidR="009D5316" w:rsidRPr="005459E6" w:rsidRDefault="009D5316" w:rsidP="00042CB0">
      <w:pPr>
        <w:spacing w:line="360" w:lineRule="auto"/>
        <w:jc w:val="both"/>
        <w:rPr>
          <w:rFonts w:ascii="Times New Roman" w:hAnsi="Times New Roman" w:cs="Times New Roman"/>
          <w:i/>
          <w:iCs/>
        </w:rPr>
      </w:pPr>
    </w:p>
    <w:p w14:paraId="0841E446" w14:textId="77777777" w:rsidR="009D5316" w:rsidRPr="005459E6" w:rsidRDefault="009D5316" w:rsidP="00042CB0">
      <w:pPr>
        <w:spacing w:line="360" w:lineRule="auto"/>
        <w:jc w:val="both"/>
        <w:rPr>
          <w:rFonts w:ascii="Times New Roman" w:hAnsi="Times New Roman" w:cs="Times New Roman"/>
          <w:i/>
          <w:iCs/>
        </w:rPr>
      </w:pPr>
    </w:p>
    <w:p w14:paraId="6AAC9F64" w14:textId="77777777" w:rsidR="009D5316" w:rsidRPr="005459E6" w:rsidRDefault="009D5316" w:rsidP="00042CB0">
      <w:pPr>
        <w:spacing w:line="360" w:lineRule="auto"/>
        <w:jc w:val="both"/>
        <w:rPr>
          <w:rFonts w:ascii="Times New Roman" w:hAnsi="Times New Roman" w:cs="Times New Roman"/>
          <w:i/>
          <w:iCs/>
        </w:rPr>
      </w:pPr>
    </w:p>
    <w:p w14:paraId="18EA3027" w14:textId="77777777" w:rsidR="009D5316" w:rsidRPr="005459E6" w:rsidRDefault="009D5316" w:rsidP="00042CB0">
      <w:pPr>
        <w:spacing w:line="360" w:lineRule="auto"/>
        <w:jc w:val="both"/>
        <w:rPr>
          <w:rFonts w:ascii="Times New Roman" w:hAnsi="Times New Roman" w:cs="Times New Roman"/>
          <w:i/>
          <w:iCs/>
        </w:rPr>
      </w:pPr>
    </w:p>
    <w:bookmarkEnd w:id="271"/>
    <w:p w14:paraId="4151D839" w14:textId="1D4E117B" w:rsidR="00BC12AD" w:rsidRPr="005459E6" w:rsidRDefault="00BC12AD"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Insights from Pearson Correlations Analysis</w:t>
      </w:r>
    </w:p>
    <w:p w14:paraId="00F3B6DC" w14:textId="77777777" w:rsidR="007F7E6B"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 xml:space="preserve">This </w:t>
      </w:r>
      <w:r w:rsidR="007F7E6B" w:rsidRPr="005459E6">
        <w:rPr>
          <w:rFonts w:ascii="Times New Roman" w:hAnsi="Times New Roman" w:cs="Times New Roman"/>
        </w:rPr>
        <w:t>‘p</w:t>
      </w:r>
      <w:r w:rsidRPr="005459E6">
        <w:rPr>
          <w:rFonts w:ascii="Times New Roman" w:hAnsi="Times New Roman" w:cs="Times New Roman"/>
        </w:rPr>
        <w:t>ilot study</w:t>
      </w:r>
      <w:r w:rsidR="007F7E6B" w:rsidRPr="005459E6">
        <w:rPr>
          <w:rFonts w:ascii="Times New Roman" w:hAnsi="Times New Roman" w:cs="Times New Roman"/>
        </w:rPr>
        <w:t>’</w:t>
      </w:r>
      <w:r w:rsidRPr="005459E6">
        <w:rPr>
          <w:rFonts w:ascii="Times New Roman" w:hAnsi="Times New Roman" w:cs="Times New Roman"/>
        </w:rPr>
        <w:t xml:space="preserve"> was run with the help of an online questionnaire.  </w:t>
      </w:r>
    </w:p>
    <w:p w14:paraId="04C4758B" w14:textId="45DB164F"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The survey was used to establish the existence and significance of ‘Psychosomatic health’.</w:t>
      </w:r>
    </w:p>
    <w:p w14:paraId="7FDE0D9D" w14:textId="77777777"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This stage of research was driven by Quantitative analysis inclusive of 40 healthcare professionals using Pearson Co-relation.</w:t>
      </w:r>
    </w:p>
    <w:p w14:paraId="38826317" w14:textId="77777777" w:rsidR="007F7E6B" w:rsidRPr="005459E6" w:rsidRDefault="007F7E6B" w:rsidP="00042CB0">
      <w:pPr>
        <w:spacing w:line="360" w:lineRule="auto"/>
        <w:jc w:val="both"/>
        <w:rPr>
          <w:rFonts w:ascii="Times New Roman" w:hAnsi="Times New Roman" w:cs="Times New Roman"/>
          <w:b/>
          <w:bCs/>
        </w:rPr>
      </w:pPr>
    </w:p>
    <w:p w14:paraId="04BD421D" w14:textId="0AB0CCD4" w:rsidR="00D969F9" w:rsidRPr="005459E6" w:rsidRDefault="00DC3684" w:rsidP="00042CB0">
      <w:pPr>
        <w:spacing w:line="360" w:lineRule="auto"/>
        <w:jc w:val="both"/>
        <w:rPr>
          <w:rFonts w:ascii="Times New Roman" w:hAnsi="Times New Roman" w:cs="Times New Roman"/>
          <w:b/>
          <w:bCs/>
        </w:rPr>
      </w:pPr>
      <w:r w:rsidRPr="005459E6">
        <w:rPr>
          <w:rFonts w:ascii="Times New Roman" w:hAnsi="Times New Roman" w:cs="Times New Roman"/>
          <w:b/>
          <w:bCs/>
        </w:rPr>
        <w:t>STAGE</w:t>
      </w:r>
      <w:r w:rsidR="00D969F9" w:rsidRPr="005459E6">
        <w:rPr>
          <w:rFonts w:ascii="Times New Roman" w:hAnsi="Times New Roman" w:cs="Times New Roman"/>
          <w:b/>
          <w:bCs/>
        </w:rPr>
        <w:t xml:space="preserve"> I Confirmed that Psychosomatism exists!</w:t>
      </w:r>
    </w:p>
    <w:p w14:paraId="6B462709" w14:textId="77777777" w:rsidR="007E3926" w:rsidRPr="005459E6" w:rsidRDefault="007E3926" w:rsidP="00042CB0">
      <w:pPr>
        <w:spacing w:after="120" w:line="360" w:lineRule="auto"/>
        <w:jc w:val="both"/>
        <w:rPr>
          <w:rFonts w:ascii="Times New Roman" w:hAnsi="Times New Roman" w:cs="Times New Roman"/>
          <w:i/>
          <w:iCs/>
        </w:rPr>
      </w:pPr>
    </w:p>
    <w:p w14:paraId="6B9E1299" w14:textId="5701632A" w:rsidR="00D969F9" w:rsidRPr="005459E6" w:rsidRDefault="00D969F9" w:rsidP="00042CB0">
      <w:pPr>
        <w:spacing w:after="120" w:line="360" w:lineRule="auto"/>
        <w:jc w:val="both"/>
        <w:rPr>
          <w:rFonts w:ascii="Times New Roman" w:hAnsi="Times New Roman" w:cs="Times New Roman"/>
          <w:i/>
          <w:iCs/>
        </w:rPr>
      </w:pPr>
      <w:r w:rsidRPr="005459E6">
        <w:rPr>
          <w:rFonts w:ascii="Times New Roman" w:hAnsi="Times New Roman" w:cs="Times New Roman"/>
          <w:i/>
          <w:iCs/>
        </w:rPr>
        <w:t>Pearson Correlation Results Among Psychological_Issue, Subconscious_Mind, Bio_Signatures, Physical_Issue, Conscious_Mind, Therapeutic_Intervention, Role_of_Technology, Personality_Dimensions, and Psychosomatic_Health</w:t>
      </w:r>
    </w:p>
    <w:p w14:paraId="2A3C5D09" w14:textId="77777777" w:rsidR="00D969F9" w:rsidRPr="005459E6" w:rsidRDefault="00D969F9" w:rsidP="00042CB0">
      <w:pPr>
        <w:spacing w:after="120" w:line="360" w:lineRule="auto"/>
        <w:jc w:val="both"/>
        <w:rPr>
          <w:rFonts w:ascii="Times New Roman" w:hAnsi="Times New Roman" w:cs="Times New Roman"/>
          <w:i/>
          <w:iCs/>
        </w:rPr>
      </w:pPr>
    </w:p>
    <w:tbl>
      <w:tblPr>
        <w:tblStyle w:val="NormalTablePHPDOCX"/>
        <w:tblW w:w="5000" w:type="pct"/>
        <w:tblInd w:w="108" w:type="dxa"/>
        <w:tblLook w:val="04A0" w:firstRow="1" w:lastRow="0" w:firstColumn="1" w:lastColumn="0" w:noHBand="0" w:noVBand="1"/>
      </w:tblPr>
      <w:tblGrid>
        <w:gridCol w:w="5064"/>
        <w:gridCol w:w="896"/>
        <w:gridCol w:w="1854"/>
        <w:gridCol w:w="650"/>
        <w:gridCol w:w="896"/>
      </w:tblGrid>
      <w:tr w:rsidR="005459E6" w:rsidRPr="005459E6" w14:paraId="4157999F" w14:textId="77777777" w:rsidTr="00562384">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68C9FA02"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Combination</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27891377"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r</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50BC95E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6DD0427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6992D73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6F7BC0" w:rsidRPr="005459E6" w14:paraId="48F172AB" w14:textId="77777777" w:rsidTr="00562384">
        <w:tc>
          <w:tcPr>
            <w:tcW w:w="0" w:type="auto"/>
            <w:tcMar>
              <w:top w:w="30" w:type="dxa"/>
              <w:left w:w="108" w:type="dxa"/>
              <w:bottom w:w="30" w:type="dxa"/>
              <w:right w:w="108" w:type="dxa"/>
            </w:tcMar>
            <w:vAlign w:val="center"/>
            <w:hideMark/>
          </w:tcPr>
          <w:p w14:paraId="58AD428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Psychological_Issue-Physical_Issue</w:t>
            </w:r>
          </w:p>
        </w:tc>
        <w:tc>
          <w:tcPr>
            <w:tcW w:w="0" w:type="auto"/>
            <w:tcMar>
              <w:top w:w="30" w:type="dxa"/>
              <w:left w:w="108" w:type="dxa"/>
              <w:bottom w:w="30" w:type="dxa"/>
              <w:right w:w="108" w:type="dxa"/>
            </w:tcMar>
            <w:vAlign w:val="center"/>
            <w:hideMark/>
          </w:tcPr>
          <w:p w14:paraId="09DDFFC0"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0.52</w:t>
            </w:r>
          </w:p>
        </w:tc>
        <w:tc>
          <w:tcPr>
            <w:tcW w:w="0" w:type="auto"/>
            <w:tcMar>
              <w:top w:w="30" w:type="dxa"/>
              <w:left w:w="108" w:type="dxa"/>
              <w:bottom w:w="30" w:type="dxa"/>
              <w:right w:w="108" w:type="dxa"/>
            </w:tcMar>
            <w:vAlign w:val="center"/>
            <w:hideMark/>
          </w:tcPr>
          <w:p w14:paraId="24A91FE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 0.72]</w:t>
            </w:r>
          </w:p>
        </w:tc>
        <w:tc>
          <w:tcPr>
            <w:tcW w:w="0" w:type="auto"/>
            <w:tcMar>
              <w:top w:w="30" w:type="dxa"/>
              <w:left w:w="108" w:type="dxa"/>
              <w:bottom w:w="30" w:type="dxa"/>
              <w:right w:w="108" w:type="dxa"/>
            </w:tcMar>
            <w:vAlign w:val="center"/>
            <w:hideMark/>
          </w:tcPr>
          <w:p w14:paraId="0739886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40</w:t>
            </w:r>
          </w:p>
        </w:tc>
        <w:tc>
          <w:tcPr>
            <w:tcW w:w="0" w:type="auto"/>
            <w:tcMar>
              <w:top w:w="30" w:type="dxa"/>
              <w:left w:w="108" w:type="dxa"/>
              <w:bottom w:w="30" w:type="dxa"/>
              <w:right w:w="108" w:type="dxa"/>
            </w:tcMar>
            <w:vAlign w:val="center"/>
            <w:hideMark/>
          </w:tcPr>
          <w:p w14:paraId="4532CD0E"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r>
    </w:tbl>
    <w:p w14:paraId="71C8E921" w14:textId="77777777" w:rsidR="00D969F9" w:rsidRPr="005459E6" w:rsidRDefault="00D969F9" w:rsidP="00042CB0">
      <w:pPr>
        <w:spacing w:line="360" w:lineRule="auto"/>
        <w:jc w:val="both"/>
        <w:rPr>
          <w:rFonts w:ascii="Times New Roman" w:hAnsi="Times New Roman" w:cs="Times New Roman"/>
        </w:rPr>
      </w:pPr>
    </w:p>
    <w:p w14:paraId="43A47D1E" w14:textId="77777777"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A significant positive correlation was observed between Psychological_Issue and Physical_Issue (r = 0.52, p = .020, 95% CI = [0.25, 0.72]). The correlation coefficient between Psychological_Issue and Physical_Issue was 0.52, indicating a large effect size.</w:t>
      </w:r>
    </w:p>
    <w:p w14:paraId="1860B18E" w14:textId="528FC9C6"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The data shows that Physical_Issues are co-related with Mental_Issues. At the same time</w:t>
      </w:r>
      <w:r w:rsidR="00C30249" w:rsidRPr="005459E6">
        <w:rPr>
          <w:rFonts w:ascii="Times New Roman" w:hAnsi="Times New Roman" w:cs="Times New Roman"/>
        </w:rPr>
        <w:t>,</w:t>
      </w:r>
      <w:r w:rsidRPr="005459E6">
        <w:rPr>
          <w:rFonts w:ascii="Times New Roman" w:hAnsi="Times New Roman" w:cs="Times New Roman"/>
        </w:rPr>
        <w:t xml:space="preserve"> Mental_Issues reflects upon State_of_Health. Ultimately, it suggested that "Role_of_Technology" can be used for "Therapeutic_Intervention" </w:t>
      </w:r>
    </w:p>
    <w:p w14:paraId="50885D44" w14:textId="5EB0F34A"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 xml:space="preserve">The same was also affirmed through qualitative content analysis of the </w:t>
      </w:r>
      <w:r w:rsidR="007B08F1" w:rsidRPr="005459E6">
        <w:rPr>
          <w:rFonts w:ascii="Times New Roman" w:hAnsi="Times New Roman" w:cs="Times New Roman"/>
        </w:rPr>
        <w:t>seven case studies</w:t>
      </w:r>
      <w:r w:rsidRPr="005459E6">
        <w:rPr>
          <w:rFonts w:ascii="Times New Roman" w:hAnsi="Times New Roman" w:cs="Times New Roman"/>
        </w:rPr>
        <w:t xml:space="preserve"> as demonstrated in </w:t>
      </w:r>
      <w:r w:rsidR="00274CA2" w:rsidRPr="005459E6">
        <w:rPr>
          <w:rFonts w:ascii="Times New Roman" w:hAnsi="Times New Roman" w:cs="Times New Roman"/>
          <w:b/>
          <w:bCs/>
        </w:rPr>
        <w:t>STAGE</w:t>
      </w:r>
      <w:r w:rsidRPr="005459E6">
        <w:rPr>
          <w:rFonts w:ascii="Times New Roman" w:hAnsi="Times New Roman" w:cs="Times New Roman"/>
          <w:b/>
          <w:bCs/>
        </w:rPr>
        <w:t xml:space="preserve"> II</w:t>
      </w:r>
      <w:r w:rsidRPr="005459E6">
        <w:rPr>
          <w:rFonts w:ascii="Times New Roman" w:hAnsi="Times New Roman" w:cs="Times New Roman"/>
        </w:rPr>
        <w:t>.</w:t>
      </w:r>
    </w:p>
    <w:p w14:paraId="75E04F72" w14:textId="77777777" w:rsidR="003C0C38" w:rsidRPr="005459E6" w:rsidRDefault="003C0C38" w:rsidP="00042CB0">
      <w:pPr>
        <w:spacing w:line="360" w:lineRule="auto"/>
        <w:jc w:val="both"/>
        <w:rPr>
          <w:rFonts w:ascii="Times New Roman" w:hAnsi="Times New Roman" w:cs="Times New Roman"/>
        </w:rPr>
      </w:pPr>
    </w:p>
    <w:p w14:paraId="0FDAF591" w14:textId="611422E7" w:rsidR="004421A1" w:rsidRPr="005459E6" w:rsidRDefault="004421A1" w:rsidP="00042CB0">
      <w:pPr>
        <w:spacing w:line="360" w:lineRule="auto"/>
        <w:jc w:val="both"/>
        <w:rPr>
          <w:rFonts w:ascii="Times New Roman" w:hAnsi="Times New Roman" w:cs="Times New Roman"/>
        </w:rPr>
      </w:pPr>
    </w:p>
    <w:p w14:paraId="5C8BF054" w14:textId="77777777" w:rsidR="006B79B8" w:rsidRPr="005459E6" w:rsidRDefault="006B79B8" w:rsidP="00042CB0">
      <w:pPr>
        <w:spacing w:line="360" w:lineRule="auto"/>
        <w:jc w:val="both"/>
        <w:rPr>
          <w:rFonts w:ascii="Times New Roman" w:hAnsi="Times New Roman" w:cs="Times New Roman"/>
        </w:rPr>
      </w:pPr>
    </w:p>
    <w:p w14:paraId="306D4DB4" w14:textId="2E94F900"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272" w:name="_Toc107248314"/>
      <w:r w:rsidRPr="005459E6">
        <w:rPr>
          <w:rFonts w:ascii="Times New Roman" w:hAnsi="Times New Roman" w:cs="Times New Roman"/>
          <w:color w:val="auto"/>
          <w:sz w:val="22"/>
          <w:szCs w:val="22"/>
        </w:rPr>
        <w:t>Qualitative Content Analysis</w:t>
      </w:r>
      <w:bookmarkEnd w:id="272"/>
      <w:r w:rsidRPr="005459E6">
        <w:rPr>
          <w:rFonts w:ascii="Times New Roman" w:hAnsi="Times New Roman" w:cs="Times New Roman"/>
          <w:color w:val="auto"/>
          <w:sz w:val="22"/>
          <w:szCs w:val="22"/>
        </w:rPr>
        <w:tab/>
      </w:r>
    </w:p>
    <w:p w14:paraId="0BC08E29" w14:textId="5A4E33B2"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Qualitative Analysis was a part of </w:t>
      </w:r>
      <w:r w:rsidR="004970FE" w:rsidRPr="005459E6">
        <w:rPr>
          <w:rFonts w:ascii="Times New Roman" w:hAnsi="Times New Roman" w:cs="Times New Roman"/>
        </w:rPr>
        <w:t xml:space="preserve">the </w:t>
      </w:r>
      <w:r w:rsidRPr="005459E6">
        <w:rPr>
          <w:rFonts w:ascii="Times New Roman" w:hAnsi="Times New Roman" w:cs="Times New Roman"/>
        </w:rPr>
        <w:t>research design that helped researchers triangulate the facts based on Qualitative quotes.</w:t>
      </w:r>
      <w:r w:rsidR="004B46C7" w:rsidRPr="005459E6">
        <w:rPr>
          <w:rFonts w:ascii="Times New Roman" w:hAnsi="Times New Roman" w:cs="Times New Roman"/>
        </w:rPr>
        <w:t xml:space="preserve"> As suggested by</w:t>
      </w:r>
      <w:r w:rsidRPr="005459E6">
        <w:rPr>
          <w:rFonts w:ascii="Times New Roman" w:hAnsi="Times New Roman" w:cs="Times New Roman"/>
        </w:rPr>
        <w:t xml:space="preserve"> </w:t>
      </w:r>
      <w:r w:rsidR="00B15119"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{"citationItems":[{"id":"ITEM-1","itemData":{"DOI":"10.1177/0894439315596311","ISSN":"0894-4393","abstract":"Qualitative data analysis software QDAS programs are well-established research tools, but little is known about how researchers use them. This article reports the results of a content analysis of 763 empirical articles, published in the Scopus database between 1994 and 2013, which explored how researchers use the ATLAS.tiundefined and NVivoundefined QDAS programs.* The analysis specifically investigated who is using these tools in terms of subject discipline and author country of origin, and how they are being used to support research in terms of type of data, type of study, and phase of the research process that QDAS were used to support. The study found that the number of articles reporting QDAS is increasing each year, and that the majority of studies using ATLAS.tiundefined and NVivoundefined were published in health sciences journals by authors from the United Kingdom, United States, Netherlands, Canada, and Australia. Researchers used QDAS to support a variety of research designs and most commonly used the programs to support analyses of data gathered through interviews, focus groups, documents, field notes, and open-ended survey questions. Although QDAS can support multiple phases of the research process, the study found the vast majority of researchers are using it for data management and analysis, with fewer using it for data collection/creation or to visually display their methods and findings. This article concludes with some discussion of the extent to which QDAS users appear to have leveraged the potential of these programs to support new approaches to research.","author":[{"dropping-particle":"","family":"Woods","given":"Megan","non-dropping-particle":"","parse-names":false,"suffix":""},{"dropping-particle":"","family":"Paulus","given":"Trena","non-dropping-particle":"","parse-names":false,"suffix":""},{"dropping-particle":"","family":"Atkins","given":"David P","non-dropping-particle":"","parse-names":false,"suffix":""},{"dropping-particle":"","family":"Macklin","given":"Rob","non-dropping-particle":"","parse-names":false,"suffix":""}],"container-title":"Soc. Sci. Comput. Rev.","id":"ITEM-1","issue":"5","issued":{"date-parts":[["2016","10"]]},"page":"597–617","publisher":"Sage Publications, Inc.","publisher-place":"USA","title":"Advancing Qualitative Research Using Qualitative Data Analysis Software QDAS?","type":"article-journal","volume":"34"},"uris":["http://www.mendeley.com/documents/?uuid=9941d295-8887-4a9e-bd07-bcae5cbfd418"]}],"mendeley":{"formattedCitation":"(Woods et al., 2016)","manualFormatting":"Woods et al. (2016)","plainTextFormattedCitation":"(Woods et al., 2016)","previouslyFormattedCitation":"(Woods et al., 2016)"},"properties":{"noteIndex":0},"schema":"https://github.com/citation-style-language/schema/raw/master/csl-citation.json"}</w:instrText>
      </w:r>
      <w:r w:rsidR="00B15119" w:rsidRPr="005459E6">
        <w:rPr>
          <w:rFonts w:ascii="Times New Roman" w:hAnsi="Times New Roman" w:cs="Times New Roman"/>
        </w:rPr>
        <w:fldChar w:fldCharType="separate"/>
      </w:r>
      <w:r w:rsidR="00B15119" w:rsidRPr="005459E6">
        <w:rPr>
          <w:rFonts w:ascii="Times New Roman" w:hAnsi="Times New Roman" w:cs="Times New Roman"/>
          <w:noProof/>
        </w:rPr>
        <w:t xml:space="preserve">Woods et al. </w:t>
      </w:r>
      <w:r w:rsidR="007F7E6B" w:rsidRPr="005459E6">
        <w:rPr>
          <w:rFonts w:ascii="Times New Roman" w:hAnsi="Times New Roman" w:cs="Times New Roman"/>
          <w:noProof/>
        </w:rPr>
        <w:t>(</w:t>
      </w:r>
      <w:r w:rsidR="00B15119" w:rsidRPr="005459E6">
        <w:rPr>
          <w:rFonts w:ascii="Times New Roman" w:hAnsi="Times New Roman" w:cs="Times New Roman"/>
          <w:noProof/>
        </w:rPr>
        <w:t>2016)</w:t>
      </w:r>
      <w:r w:rsidR="00B15119" w:rsidRPr="005459E6">
        <w:rPr>
          <w:rFonts w:ascii="Times New Roman" w:hAnsi="Times New Roman" w:cs="Times New Roman"/>
        </w:rPr>
        <w:fldChar w:fldCharType="end"/>
      </w:r>
      <w:r w:rsidR="004B46C7" w:rsidRPr="005459E6">
        <w:rPr>
          <w:rFonts w:ascii="Times New Roman" w:hAnsi="Times New Roman" w:cs="Times New Roman"/>
        </w:rPr>
        <w:t xml:space="preserve">, this </w:t>
      </w:r>
      <w:r w:rsidR="000B5040" w:rsidRPr="005459E6">
        <w:rPr>
          <w:rFonts w:ascii="Times New Roman" w:hAnsi="Times New Roman" w:cs="Times New Roman"/>
        </w:rPr>
        <w:t>stage</w:t>
      </w:r>
      <w:r w:rsidR="004B46C7" w:rsidRPr="005459E6">
        <w:rPr>
          <w:rFonts w:ascii="Times New Roman" w:hAnsi="Times New Roman" w:cs="Times New Roman"/>
        </w:rPr>
        <w:t xml:space="preserve"> of research</w:t>
      </w:r>
      <w:r w:rsidR="00B15119" w:rsidRPr="005459E6">
        <w:rPr>
          <w:rFonts w:ascii="Times New Roman" w:hAnsi="Times New Roman" w:cs="Times New Roman"/>
        </w:rPr>
        <w:t xml:space="preserve"> </w:t>
      </w:r>
      <w:r w:rsidRPr="005459E6">
        <w:rPr>
          <w:rFonts w:ascii="Times New Roman" w:hAnsi="Times New Roman" w:cs="Times New Roman"/>
        </w:rPr>
        <w:t>used NVivo</w:t>
      </w:r>
      <w:r w:rsidR="007F7E6B" w:rsidRPr="005459E6">
        <w:rPr>
          <w:rFonts w:ascii="Times New Roman" w:hAnsi="Times New Roman" w:cs="Times New Roman"/>
        </w:rPr>
        <w:t xml:space="preserve"> software</w:t>
      </w:r>
      <w:r w:rsidRPr="005459E6">
        <w:rPr>
          <w:rFonts w:ascii="Times New Roman" w:hAnsi="Times New Roman" w:cs="Times New Roman"/>
        </w:rPr>
        <w:t xml:space="preserve"> </w:t>
      </w:r>
      <w:r w:rsidR="00B15119" w:rsidRPr="005459E6">
        <w:rPr>
          <w:rFonts w:ascii="Times New Roman" w:hAnsi="Times New Roman" w:cs="Times New Roman"/>
        </w:rPr>
        <w:fldChar w:fldCharType="begin" w:fldLock="1"/>
      </w:r>
      <w:r w:rsidR="00B15119" w:rsidRPr="005459E6">
        <w:rPr>
          <w:rFonts w:ascii="Times New Roman" w:hAnsi="Times New Roman" w:cs="Times New Roman"/>
        </w:rPr>
        <w:instrText>ADDIN CSL_CITATION {"citationItems":[{"id":"ITEM-1","itemData":{"author":[{"dropping-particle":"","family":"QSR International","given":"","non-dropping-particle":"","parse-names":false,"suffix":""}],"id":"ITEM-1","issued":{"date-parts":[["2020"]]},"title":"NVivo","type":"article"},"uris":["http://www.mendeley.com/documents/?uuid=93cc69d1-611d-4abe-b996-22d19ab93760"]}],"mendeley":{"formattedCitation":"(QSR International, 2020)","plainTextFormattedCitation":"(QSR International, 2020)","previouslyFormattedCitation":"(QSR International, 2020)"},"properties":{"noteIndex":0},"schema":"https://github.com/citation-style-language/schema/raw/master/csl-citation.json"}</w:instrText>
      </w:r>
      <w:r w:rsidR="00B15119" w:rsidRPr="005459E6">
        <w:rPr>
          <w:rFonts w:ascii="Times New Roman" w:hAnsi="Times New Roman" w:cs="Times New Roman"/>
        </w:rPr>
        <w:fldChar w:fldCharType="separate"/>
      </w:r>
      <w:r w:rsidR="00B15119" w:rsidRPr="005459E6">
        <w:rPr>
          <w:rFonts w:ascii="Times New Roman" w:hAnsi="Times New Roman" w:cs="Times New Roman"/>
          <w:noProof/>
        </w:rPr>
        <w:t>(QSR International, 2020)</w:t>
      </w:r>
      <w:r w:rsidR="00B15119" w:rsidRPr="005459E6">
        <w:rPr>
          <w:rFonts w:ascii="Times New Roman" w:hAnsi="Times New Roman" w:cs="Times New Roman"/>
        </w:rPr>
        <w:fldChar w:fldCharType="end"/>
      </w:r>
      <w:r w:rsidR="00B15119" w:rsidRPr="005459E6">
        <w:rPr>
          <w:rFonts w:ascii="Times New Roman" w:hAnsi="Times New Roman" w:cs="Times New Roman"/>
        </w:rPr>
        <w:t xml:space="preserve"> </w:t>
      </w:r>
      <w:r w:rsidRPr="005459E6">
        <w:rPr>
          <w:rFonts w:ascii="Times New Roman" w:hAnsi="Times New Roman" w:cs="Times New Roman"/>
        </w:rPr>
        <w:t>to extract Qualitative data from the Case studies.</w:t>
      </w:r>
      <w:r w:rsidR="00B15119" w:rsidRPr="005459E6">
        <w:rPr>
          <w:rFonts w:ascii="Times New Roman" w:hAnsi="Times New Roman" w:cs="Times New Roman"/>
        </w:rPr>
        <w:t xml:space="preserve"> </w:t>
      </w:r>
      <w:r w:rsidRPr="005459E6">
        <w:rPr>
          <w:rFonts w:ascii="Times New Roman" w:hAnsi="Times New Roman" w:cs="Times New Roman"/>
        </w:rPr>
        <w:t xml:space="preserve">The content analysis was based on subjective interpretation and followed a systematic classification process to identify patterns, making replicable and valid inferences according to the context </w:t>
      </w:r>
      <w:r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{"citationItems":[{"id":"ITEM-1","itemData":{"ISBN":"1337671312","author":[{"dropping-particle":"","family":"Ary, D., Jacobs, L. C., &amp; Razavieh","given":"A.","non-dropping-particle":"","parse-names":false,"suffix":""},{"dropping-particle":"","family":"Ary","given":"Donald","non-dropping-particle":"","parse-names":false,"suffix":""},{"dropping-particle":"","family":"Jacobs","given":"Lucy","non-dropping-particle":"","parse-names":false,"suffix":""},{"dropping-particle":"","family":"Sorensen","given":"Christine","non-dropping-particle":"","parse-names":false,"suffix":""},{"dropping-particle":"","family":"Razavieh","given":"Asghar","non-dropping-particle":"","parse-names":false,"suffix":""}],"id":"ITEM-1","issued":{"date-parts":[["2018"]]},"publisher":"Cengage Learning","title":"Introduction to research in education","type":"book"},"uris":["http://www.mendeley.com/documents/?uuid=a257e49c-7bfe-47a0-930f-2358d98a5fe3"]}],"mendeley":{"formattedCitation":"(Ary, D., Jacobs, L. C., &amp; Razavieh et al., 2018)","manualFormatting":"(Ary et al., 2018)","plainTextFormattedCitation":"(Ary, D., Jacobs, L. C., &amp; Razavieh et al., 2018)","previouslyFormattedCitation":"(Ary, D., Jacobs, L. C., &amp; Razavieh et al., 2018)"},"properties":{"noteIndex":0},"schema":"https://github.com/citation-style-language/schema/raw/master/csl-citation.json"}</w:instrText>
      </w:r>
      <w:r w:rsidRPr="005459E6">
        <w:rPr>
          <w:rFonts w:ascii="Times New Roman" w:hAnsi="Times New Roman" w:cs="Times New Roman"/>
        </w:rPr>
        <w:fldChar w:fldCharType="separate"/>
      </w:r>
      <w:r w:rsidR="001517A8" w:rsidRPr="005459E6">
        <w:rPr>
          <w:rFonts w:ascii="Times New Roman" w:hAnsi="Times New Roman" w:cs="Times New Roman"/>
          <w:noProof/>
        </w:rPr>
        <w:t>(Ary</w:t>
      </w:r>
      <w:r w:rsidR="00360978" w:rsidRPr="005459E6">
        <w:rPr>
          <w:rFonts w:ascii="Times New Roman" w:hAnsi="Times New Roman" w:cs="Times New Roman"/>
          <w:noProof/>
        </w:rPr>
        <w:t xml:space="preserve"> </w:t>
      </w:r>
      <w:r w:rsidR="001517A8" w:rsidRPr="005459E6">
        <w:rPr>
          <w:rFonts w:ascii="Times New Roman" w:hAnsi="Times New Roman" w:cs="Times New Roman"/>
          <w:noProof/>
        </w:rPr>
        <w:t>et al., 2018)</w:t>
      </w:r>
      <w:r w:rsidRPr="005459E6">
        <w:rPr>
          <w:rFonts w:ascii="Times New Roman" w:hAnsi="Times New Roman" w:cs="Times New Roman"/>
        </w:rPr>
        <w:fldChar w:fldCharType="end"/>
      </w:r>
      <w:r w:rsidRPr="005459E6">
        <w:rPr>
          <w:rFonts w:ascii="Times New Roman" w:hAnsi="Times New Roman" w:cs="Times New Roman"/>
        </w:rPr>
        <w:t xml:space="preserve">. </w:t>
      </w:r>
      <w:r w:rsidR="005F24C8" w:rsidRPr="005459E6">
        <w:rPr>
          <w:rFonts w:ascii="Times New Roman" w:hAnsi="Times New Roman" w:cs="Times New Roman"/>
        </w:rPr>
        <w:t>The technique followed</w:t>
      </w:r>
      <w:r w:rsidR="00360978" w:rsidRPr="005459E6">
        <w:rPr>
          <w:rFonts w:ascii="Times New Roman" w:hAnsi="Times New Roman" w:cs="Times New Roman"/>
        </w:rPr>
        <w:t xml:space="preserve"> </w:t>
      </w:r>
      <w:r w:rsidR="00C30249" w:rsidRPr="005459E6">
        <w:rPr>
          <w:rFonts w:ascii="Times New Roman" w:hAnsi="Times New Roman" w:cs="Times New Roman"/>
        </w:rPr>
        <w:t xml:space="preserve">the </w:t>
      </w:r>
      <w:r w:rsidR="00360978" w:rsidRPr="005459E6">
        <w:rPr>
          <w:rFonts w:ascii="Times New Roman" w:hAnsi="Times New Roman" w:cs="Times New Roman"/>
        </w:rPr>
        <w:t>framework by</w:t>
      </w:r>
      <w:r w:rsidR="005F24C8" w:rsidRPr="005459E6">
        <w:rPr>
          <w:rFonts w:ascii="Times New Roman" w:hAnsi="Times New Roman" w:cs="Times New Roman"/>
        </w:rPr>
        <w:t xml:space="preserve"> </w:t>
      </w:r>
      <w:r w:rsidR="00B15119"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{"citationItems":[{"id":"ITEM-1","itemData":{"DOI":"10.1016/j.npls.2016.01.001","ISBN":"2352-9008","ISSN":"23529008","abstract":"This paper describes the research process - from planning to presentation, with the emphasis on credibility throughout the whole process - when the methodology of qualitative content analysis is chosen in a qualitative study. The groundwork for the credibility initiates when the planning of the study begins. External and internal resources have to be identified, and the researcher must consider his or her experience of the phenomenon to be studied in order to minimize any bias of his/her own influence. The purpose of content analysis is to organize and elicit meaning from the data collected and to draw realistic conclusions from it. The researcher must choose whether the analysis should be of a broad surface structure (a manifest analysis) or of a deep structure (a latent analysis). Four distinct main stages are described in this paper: the decontextualisation, the recontextualisation, the categorization, and the compilation. This description of qualitative content analysis offers one approach that shows how the general principles of the method can be used.","author":[{"dropping-particle":"","family":"Bengtsson","given":"Mariette","non-dropping-particle":"","parse-names":false,"suffix":""}],"container-title":"NursingPlus Open","id":"ITEM-1","issue":"February","issued":{"date-parts":[["2016"]]},"page":"8-14","publisher":"Elsevier","title":"How to plan and perform a qualitative study using content analysis","type":"article-journal","volume":"2"},"uris":["http://www.mendeley.com/documents/?uuid=3bb3ed6c-43d4-4807-a807-bf3c281b22e2"]}],"mendeley":{"formattedCitation":"(Bengtsson, 2016)","manualFormatting":"Bengtsson (2016)","plainTextFormattedCitation":"(Bengtsson, 2016)","previouslyFormattedCitation":"(Bengtsson, 2016)"},"properties":{"noteIndex":0},"schema":"https://github.com/citation-style-language/schema/raw/master/csl-citation.json"}</w:instrText>
      </w:r>
      <w:r w:rsidR="00B15119" w:rsidRPr="005459E6">
        <w:rPr>
          <w:rFonts w:ascii="Times New Roman" w:hAnsi="Times New Roman" w:cs="Times New Roman"/>
        </w:rPr>
        <w:fldChar w:fldCharType="separate"/>
      </w:r>
      <w:r w:rsidR="00B15119" w:rsidRPr="005459E6">
        <w:rPr>
          <w:rFonts w:ascii="Times New Roman" w:hAnsi="Times New Roman" w:cs="Times New Roman"/>
          <w:noProof/>
        </w:rPr>
        <w:t xml:space="preserve">Bengtsson </w:t>
      </w:r>
      <w:r w:rsidR="00360978" w:rsidRPr="005459E6">
        <w:rPr>
          <w:rFonts w:ascii="Times New Roman" w:hAnsi="Times New Roman" w:cs="Times New Roman"/>
          <w:noProof/>
        </w:rPr>
        <w:t>(</w:t>
      </w:r>
      <w:r w:rsidR="00B15119" w:rsidRPr="005459E6">
        <w:rPr>
          <w:rFonts w:ascii="Times New Roman" w:hAnsi="Times New Roman" w:cs="Times New Roman"/>
          <w:noProof/>
        </w:rPr>
        <w:t>2016)</w:t>
      </w:r>
      <w:r w:rsidR="00B15119" w:rsidRPr="005459E6">
        <w:rPr>
          <w:rFonts w:ascii="Times New Roman" w:hAnsi="Times New Roman" w:cs="Times New Roman"/>
        </w:rPr>
        <w:fldChar w:fldCharType="end"/>
      </w:r>
      <w:r w:rsidR="00360978" w:rsidRPr="005459E6">
        <w:rPr>
          <w:rFonts w:ascii="Times New Roman" w:hAnsi="Times New Roman" w:cs="Times New Roman"/>
        </w:rPr>
        <w:t>,</w:t>
      </w:r>
      <w:r w:rsidR="005F24C8" w:rsidRPr="005459E6">
        <w:rPr>
          <w:rFonts w:ascii="Times New Roman" w:hAnsi="Times New Roman" w:cs="Times New Roman"/>
        </w:rPr>
        <w:t xml:space="preserve"> which divided the text into four meta-synthesis stages: de-contextualization, re-contextualization, categorization, and compilation (Refer to </w:t>
      </w:r>
      <w:r w:rsidR="005F24C8" w:rsidRPr="005459E6">
        <w:rPr>
          <w:rFonts w:ascii="Times New Roman" w:hAnsi="Times New Roman" w:cs="Times New Roman"/>
          <w:b/>
          <w:bCs/>
        </w:rPr>
        <w:t>Figure 1</w:t>
      </w:r>
      <w:r w:rsidR="003777A4" w:rsidRPr="005459E6">
        <w:rPr>
          <w:rFonts w:ascii="Times New Roman" w:hAnsi="Times New Roman" w:cs="Times New Roman"/>
          <w:b/>
          <w:bCs/>
        </w:rPr>
        <w:t>6</w:t>
      </w:r>
      <w:r w:rsidR="005F24C8" w:rsidRPr="005459E6">
        <w:rPr>
          <w:rFonts w:ascii="Times New Roman" w:hAnsi="Times New Roman" w:cs="Times New Roman"/>
        </w:rPr>
        <w:t>).</w:t>
      </w:r>
    </w:p>
    <w:p w14:paraId="1649FC60" w14:textId="59FDFE52" w:rsidR="00C655F5" w:rsidRPr="005459E6" w:rsidRDefault="003C0C38" w:rsidP="00042CB0">
      <w:pPr>
        <w:spacing w:line="360" w:lineRule="auto"/>
        <w:jc w:val="center"/>
        <w:rPr>
          <w:rFonts w:ascii="Times New Roman" w:hAnsi="Times New Roman" w:cs="Times New Roman"/>
        </w:rPr>
      </w:pPr>
      <w:r w:rsidRPr="005459E6">
        <w:rPr>
          <w:rFonts w:ascii="Times New Roman" w:hAnsi="Times New Roman" w:cs="Times New Roman"/>
          <w:noProof/>
        </w:rPr>
        <w:drawing>
          <wp:inline distT="0" distB="0" distL="0" distR="0" wp14:anchorId="71BBFC01" wp14:editId="3949AFAD">
            <wp:extent cx="3852333" cy="3424708"/>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885986" cy="3454625"/>
                    </a:xfrm>
                    <a:prstGeom prst="rect">
                      <a:avLst/>
                    </a:prstGeom>
                  </pic:spPr>
                </pic:pic>
              </a:graphicData>
            </a:graphic>
          </wp:inline>
        </w:drawing>
      </w:r>
    </w:p>
    <w:p w14:paraId="09A7BFC5" w14:textId="20D493C7" w:rsidR="00A52418" w:rsidRPr="005459E6" w:rsidRDefault="00A52418" w:rsidP="00042CB0">
      <w:pPr>
        <w:pStyle w:val="Didascalia"/>
        <w:spacing w:line="360" w:lineRule="auto"/>
        <w:jc w:val="center"/>
        <w:rPr>
          <w:rFonts w:ascii="Times New Roman" w:hAnsi="Times New Roman" w:cs="Times New Roman"/>
          <w:i w:val="0"/>
          <w:iCs w:val="0"/>
          <w:color w:val="auto"/>
        </w:rPr>
      </w:pPr>
      <w:bookmarkStart w:id="273" w:name="_Toc96343310"/>
      <w:bookmarkStart w:id="274" w:name="_Toc99915985"/>
      <w:bookmarkStart w:id="275" w:name="_Toc104968802"/>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16</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An overview of the process of a Qualitative Content Analysis</w:t>
      </w:r>
      <w:bookmarkEnd w:id="273"/>
      <w:bookmarkEnd w:id="274"/>
      <w:bookmarkEnd w:id="275"/>
    </w:p>
    <w:p w14:paraId="0BBFCFEB" w14:textId="4979BA80" w:rsidR="003C0C38" w:rsidRPr="005459E6" w:rsidRDefault="00C655F5" w:rsidP="00042CB0">
      <w:pPr>
        <w:spacing w:line="360" w:lineRule="auto"/>
        <w:jc w:val="both"/>
        <w:rPr>
          <w:rFonts w:ascii="Times New Roman" w:hAnsi="Times New Roman" w:cs="Times New Roman"/>
        </w:rPr>
      </w:pPr>
      <w:r w:rsidRPr="005459E6">
        <w:rPr>
          <w:rFonts w:ascii="Times New Roman" w:hAnsi="Times New Roman" w:cs="Times New Roman"/>
        </w:rPr>
        <w:t>A deductive coding scheme was identified and compared to the original data during these four stages. It resulted in the content being condensed and the underlying meaning of the textual data being discovered. It also included</w:t>
      </w:r>
      <w:r w:rsidR="001D1AD4" w:rsidRPr="005459E6">
        <w:rPr>
          <w:rFonts w:ascii="Times New Roman" w:hAnsi="Times New Roman" w:cs="Times New Roman"/>
        </w:rPr>
        <w:t xml:space="preserve"> </w:t>
      </w:r>
      <w:r w:rsidRPr="005459E6">
        <w:rPr>
          <w:rFonts w:ascii="Times New Roman" w:hAnsi="Times New Roman" w:cs="Times New Roman"/>
        </w:rPr>
        <w:t xml:space="preserve">'manifest' and 'latent' analysis to back up the findings. Replicable and reliable conclusions from the data were made according to the context using qualitative data analysis techniques </w:t>
      </w:r>
      <w:r w:rsidR="00B15119" w:rsidRPr="005459E6">
        <w:rPr>
          <w:rFonts w:ascii="Times New Roman" w:hAnsi="Times New Roman" w:cs="Times New Roman"/>
        </w:rPr>
        <w:fldChar w:fldCharType="begin" w:fldLock="1"/>
      </w:r>
      <w:r w:rsidR="00B15119" w:rsidRPr="005459E6">
        <w:rPr>
          <w:rFonts w:ascii="Times New Roman" w:hAnsi="Times New Roman" w:cs="Times New Roman"/>
        </w:rPr>
        <w:instrText>ADDIN CSL_CITATION {"citationItems":[{"id":"ITEM-1","itemData":{"ISBN":"1506395678","author":[{"dropping-particle":"","family":"Krippendorff","given":"Klaus","non-dropping-particle":"","parse-names":false,"suffix":""}],"id":"ITEM-1","issued":{"date-parts":[["2018"]]},"publisher":"Sage publications","title":"Content analysis: An introduction to its methodology","type":"book"},"uris":["http://www.mendeley.com/documents/?uuid=033e6d97-0dfb-4d0f-a722-242d0dd4fb78"]}],"mendeley":{"formattedCitation":"(Krippendorff, 2018)","plainTextFormattedCitation":"(Krippendorff, 2018)","previouslyFormattedCitation":"(Krippendorff, 2018)"},"properties":{"noteIndex":0},"schema":"https://github.com/citation-style-language/schema/raw/master/csl-citation.json"}</w:instrText>
      </w:r>
      <w:r w:rsidR="00B15119" w:rsidRPr="005459E6">
        <w:rPr>
          <w:rFonts w:ascii="Times New Roman" w:hAnsi="Times New Roman" w:cs="Times New Roman"/>
        </w:rPr>
        <w:fldChar w:fldCharType="separate"/>
      </w:r>
      <w:r w:rsidR="00B15119" w:rsidRPr="005459E6">
        <w:rPr>
          <w:rFonts w:ascii="Times New Roman" w:hAnsi="Times New Roman" w:cs="Times New Roman"/>
          <w:noProof/>
        </w:rPr>
        <w:t>(Krippendorff, 2018)</w:t>
      </w:r>
      <w:r w:rsidR="00B15119" w:rsidRPr="005459E6">
        <w:rPr>
          <w:rFonts w:ascii="Times New Roman" w:hAnsi="Times New Roman" w:cs="Times New Roman"/>
        </w:rPr>
        <w:fldChar w:fldCharType="end"/>
      </w:r>
      <w:r w:rsidR="00B15119" w:rsidRPr="005459E6">
        <w:rPr>
          <w:rFonts w:ascii="Times New Roman" w:hAnsi="Times New Roman" w:cs="Times New Roman"/>
        </w:rPr>
        <w:t>.</w:t>
      </w:r>
      <w:r w:rsidR="006B79B8" w:rsidRPr="005459E6">
        <w:rPr>
          <w:rFonts w:ascii="Times New Roman" w:hAnsi="Times New Roman" w:cs="Times New Roman"/>
        </w:rPr>
        <w:t xml:space="preserve"> </w:t>
      </w:r>
      <w:r w:rsidR="003C0C38" w:rsidRPr="005459E6">
        <w:rPr>
          <w:rFonts w:ascii="Times New Roman" w:hAnsi="Times New Roman" w:cs="Times New Roman"/>
        </w:rPr>
        <w:t xml:space="preserve">The content analysis helped organize the data and elicit meaning from aggregated information (case studies) to draw a realistic conclusion. The in-depth analysis of companies provided a reflection on innovative health solutions that are based on A.I. and IoMT. </w:t>
      </w:r>
      <w:r w:rsidR="004421A1" w:rsidRPr="005459E6">
        <w:rPr>
          <w:rFonts w:ascii="Times New Roman" w:hAnsi="Times New Roman" w:cs="Times New Roman"/>
        </w:rPr>
        <w:t xml:space="preserve"> </w:t>
      </w:r>
      <w:r w:rsidR="003C0C38" w:rsidRPr="005459E6">
        <w:rPr>
          <w:rFonts w:ascii="Times New Roman" w:hAnsi="Times New Roman" w:cs="Times New Roman"/>
        </w:rPr>
        <w:t xml:space="preserve">Data extraction further led to an understanding of the emergence of </w:t>
      </w:r>
      <w:r w:rsidR="009D6771" w:rsidRPr="005459E6">
        <w:rPr>
          <w:rFonts w:ascii="Times New Roman" w:hAnsi="Times New Roman" w:cs="Times New Roman"/>
        </w:rPr>
        <w:t>valuable insights</w:t>
      </w:r>
      <w:r w:rsidR="003C0C38" w:rsidRPr="005459E6">
        <w:rPr>
          <w:rFonts w:ascii="Times New Roman" w:hAnsi="Times New Roman" w:cs="Times New Roman"/>
        </w:rPr>
        <w:t xml:space="preserve"> that </w:t>
      </w:r>
      <w:r w:rsidR="009D6771" w:rsidRPr="005459E6">
        <w:rPr>
          <w:rFonts w:ascii="Times New Roman" w:hAnsi="Times New Roman" w:cs="Times New Roman"/>
        </w:rPr>
        <w:t xml:space="preserve">implied </w:t>
      </w:r>
      <w:r w:rsidR="004970FE" w:rsidRPr="005459E6">
        <w:rPr>
          <w:rFonts w:ascii="Times New Roman" w:hAnsi="Times New Roman" w:cs="Times New Roman"/>
        </w:rPr>
        <w:t xml:space="preserve">the </w:t>
      </w:r>
      <w:r w:rsidR="009D6771" w:rsidRPr="005459E6">
        <w:rPr>
          <w:rFonts w:ascii="Times New Roman" w:hAnsi="Times New Roman" w:cs="Times New Roman"/>
        </w:rPr>
        <w:t>role o</w:t>
      </w:r>
      <w:r w:rsidR="004421A1" w:rsidRPr="005459E6">
        <w:rPr>
          <w:rFonts w:ascii="Times New Roman" w:hAnsi="Times New Roman" w:cs="Times New Roman"/>
        </w:rPr>
        <w:t>f</w:t>
      </w:r>
      <w:r w:rsidR="009D6771" w:rsidRPr="005459E6">
        <w:rPr>
          <w:rFonts w:ascii="Times New Roman" w:hAnsi="Times New Roman" w:cs="Times New Roman"/>
        </w:rPr>
        <w:t xml:space="preserve"> technological </w:t>
      </w:r>
      <w:r w:rsidR="003C0C38" w:rsidRPr="005459E6">
        <w:rPr>
          <w:rFonts w:ascii="Times New Roman" w:hAnsi="Times New Roman" w:cs="Times New Roman"/>
        </w:rPr>
        <w:t xml:space="preserve">innovation to improve </w:t>
      </w:r>
      <w:r w:rsidR="009D6771" w:rsidRPr="005459E6">
        <w:rPr>
          <w:rFonts w:ascii="Times New Roman" w:hAnsi="Times New Roman" w:cs="Times New Roman"/>
        </w:rPr>
        <w:t>patient</w:t>
      </w:r>
      <w:r w:rsidR="004970FE" w:rsidRPr="005459E6">
        <w:rPr>
          <w:rFonts w:ascii="Times New Roman" w:hAnsi="Times New Roman" w:cs="Times New Roman"/>
        </w:rPr>
        <w:t>s’</w:t>
      </w:r>
      <w:r w:rsidR="003C0C38" w:rsidRPr="005459E6">
        <w:rPr>
          <w:rFonts w:ascii="Times New Roman" w:hAnsi="Times New Roman" w:cs="Times New Roman"/>
        </w:rPr>
        <w:t xml:space="preserve"> self-efficacy to yield social and physical offerings.</w:t>
      </w:r>
    </w:p>
    <w:p w14:paraId="58983320" w14:textId="77777777" w:rsidR="003C0C38" w:rsidRPr="00FE41B3" w:rsidRDefault="003C0C38" w:rsidP="00042CB0">
      <w:pPr>
        <w:numPr>
          <w:ilvl w:val="0"/>
          <w:numId w:val="5"/>
        </w:numPr>
        <w:spacing w:line="360" w:lineRule="auto"/>
        <w:jc w:val="both"/>
        <w:rPr>
          <w:rFonts w:ascii="Times New Roman" w:hAnsi="Times New Roman" w:cs="Times New Roman"/>
          <w:b/>
          <w:bCs/>
        </w:rPr>
      </w:pPr>
      <w:r w:rsidRPr="00FE41B3">
        <w:rPr>
          <w:rFonts w:ascii="Times New Roman" w:hAnsi="Times New Roman" w:cs="Times New Roman"/>
          <w:b/>
          <w:bCs/>
        </w:rPr>
        <w:t>Qualitative Quotes from the Pilot study</w:t>
      </w:r>
    </w:p>
    <w:p w14:paraId="61EE3AC6" w14:textId="77777777" w:rsidR="003C0C38" w:rsidRPr="005459E6" w:rsidRDefault="003C0C38"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Query 1: Can you think of any innovative solution (using state-of-the-art technologies for medical intervention) to improve mental well-being?</w:t>
      </w:r>
    </w:p>
    <w:p w14:paraId="0B51AA34" w14:textId="4DD112B9"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 xml:space="preserve">Something that can give biofeedback in </w:t>
      </w:r>
      <w:r w:rsidR="004970FE" w:rsidRPr="005459E6">
        <w:rPr>
          <w:rFonts w:ascii="Times New Roman" w:hAnsi="Times New Roman" w:cs="Times New Roman"/>
          <w:i/>
          <w:iCs/>
        </w:rPr>
        <w:t>real-</w:t>
      </w:r>
      <w:r w:rsidR="003C0C38" w:rsidRPr="005459E6">
        <w:rPr>
          <w:rFonts w:ascii="Times New Roman" w:hAnsi="Times New Roman" w:cs="Times New Roman"/>
          <w:i/>
          <w:iCs/>
        </w:rPr>
        <w:t>time so that heart rate and breath can be read As it begins to rise or fall, and simultaneously provide audio-visual input to the patient that will guide in what to do to bring the functions to normal.</w:t>
      </w:r>
      <w:r w:rsidRPr="005459E6">
        <w:rPr>
          <w:rFonts w:ascii="Times New Roman" w:hAnsi="Times New Roman" w:cs="Times New Roman"/>
          <w:i/>
          <w:iCs/>
        </w:rPr>
        <w:t>”</w:t>
      </w:r>
    </w:p>
    <w:p w14:paraId="56FB526C" w14:textId="77777777" w:rsidR="003C0C38" w:rsidRPr="005459E6" w:rsidRDefault="003C0C38" w:rsidP="00042CB0">
      <w:pPr>
        <w:spacing w:line="360" w:lineRule="auto"/>
        <w:jc w:val="both"/>
        <w:rPr>
          <w:rFonts w:ascii="Times New Roman" w:hAnsi="Times New Roman" w:cs="Times New Roman"/>
          <w:i/>
          <w:iCs/>
        </w:rPr>
      </w:pPr>
    </w:p>
    <w:p w14:paraId="0295E8A8" w14:textId="3FFB5730"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Mood oriented/derived music therapy</w:t>
      </w:r>
      <w:r w:rsidRPr="005459E6">
        <w:rPr>
          <w:rFonts w:ascii="Times New Roman" w:hAnsi="Times New Roman" w:cs="Times New Roman"/>
          <w:i/>
          <w:iCs/>
        </w:rPr>
        <w:t>”</w:t>
      </w:r>
    </w:p>
    <w:p w14:paraId="4C0B2C54" w14:textId="77777777" w:rsidR="003C0C38" w:rsidRPr="005459E6" w:rsidRDefault="003C0C38" w:rsidP="00042CB0">
      <w:pPr>
        <w:spacing w:line="360" w:lineRule="auto"/>
        <w:jc w:val="both"/>
        <w:rPr>
          <w:rFonts w:ascii="Times New Roman" w:hAnsi="Times New Roman" w:cs="Times New Roman"/>
          <w:i/>
          <w:iCs/>
          <w:strike/>
        </w:rPr>
      </w:pPr>
    </w:p>
    <w:p w14:paraId="63B06E4E" w14:textId="1C90206A"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To relief from stress, anxiety is the solution what I think is to communicate, the more u communicates the more resolution the patient gets.</w:t>
      </w:r>
      <w:r w:rsidRPr="005459E6">
        <w:rPr>
          <w:rFonts w:ascii="Times New Roman" w:hAnsi="Times New Roman" w:cs="Times New Roman"/>
          <w:i/>
          <w:iCs/>
        </w:rPr>
        <w:t>”</w:t>
      </w:r>
    </w:p>
    <w:p w14:paraId="02848460" w14:textId="77777777" w:rsidR="003C0C38" w:rsidRPr="005459E6" w:rsidRDefault="003C0C38" w:rsidP="00042CB0">
      <w:pPr>
        <w:spacing w:line="360" w:lineRule="auto"/>
        <w:jc w:val="both"/>
        <w:rPr>
          <w:rFonts w:ascii="Times New Roman" w:hAnsi="Times New Roman" w:cs="Times New Roman"/>
          <w:i/>
          <w:iCs/>
        </w:rPr>
      </w:pPr>
    </w:p>
    <w:p w14:paraId="30D708C7" w14:textId="6AF374AE"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Personal help or assistance in form of robot which can remind oneself about medication, create awareness regarding changing heart rate or respiratory pattern in everyday life.</w:t>
      </w:r>
      <w:r w:rsidRPr="005459E6">
        <w:rPr>
          <w:rFonts w:ascii="Times New Roman" w:hAnsi="Times New Roman" w:cs="Times New Roman"/>
          <w:i/>
          <w:iCs/>
        </w:rPr>
        <w:t>”</w:t>
      </w:r>
    </w:p>
    <w:p w14:paraId="44789316" w14:textId="77777777" w:rsidR="003C0C38" w:rsidRPr="005459E6" w:rsidRDefault="003C0C38" w:rsidP="00042CB0">
      <w:pPr>
        <w:spacing w:line="360" w:lineRule="auto"/>
        <w:jc w:val="both"/>
        <w:rPr>
          <w:rFonts w:ascii="Times New Roman" w:hAnsi="Times New Roman" w:cs="Times New Roman"/>
          <w:i/>
          <w:iCs/>
        </w:rPr>
      </w:pPr>
    </w:p>
    <w:p w14:paraId="60AF86D6" w14:textId="37C538BB"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Just to stay away from the newer and quest for upgradation... These itself produce anxiety.</w:t>
      </w:r>
      <w:r w:rsidRPr="005459E6">
        <w:rPr>
          <w:rFonts w:ascii="Times New Roman" w:hAnsi="Times New Roman" w:cs="Times New Roman"/>
          <w:i/>
          <w:iCs/>
        </w:rPr>
        <w:t>”</w:t>
      </w:r>
    </w:p>
    <w:p w14:paraId="48D4A366" w14:textId="77777777" w:rsidR="003C0C38" w:rsidRPr="005459E6" w:rsidRDefault="003C0C38" w:rsidP="00042CB0">
      <w:pPr>
        <w:spacing w:line="360" w:lineRule="auto"/>
        <w:jc w:val="both"/>
        <w:rPr>
          <w:rFonts w:ascii="Times New Roman" w:hAnsi="Times New Roman" w:cs="Times New Roman"/>
          <w:i/>
          <w:iCs/>
        </w:rPr>
      </w:pPr>
    </w:p>
    <w:p w14:paraId="208D49DC" w14:textId="2E9C467E"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They can help to maintain positive attitude.</w:t>
      </w:r>
      <w:r w:rsidRPr="005459E6">
        <w:rPr>
          <w:rFonts w:ascii="Times New Roman" w:hAnsi="Times New Roman" w:cs="Times New Roman"/>
          <w:i/>
          <w:iCs/>
        </w:rPr>
        <w:t>”</w:t>
      </w:r>
    </w:p>
    <w:p w14:paraId="791ED9AD" w14:textId="77777777" w:rsidR="003C0C38" w:rsidRPr="005459E6" w:rsidRDefault="003C0C38" w:rsidP="00042CB0">
      <w:pPr>
        <w:spacing w:line="360" w:lineRule="auto"/>
        <w:jc w:val="both"/>
        <w:rPr>
          <w:rFonts w:ascii="Times New Roman" w:hAnsi="Times New Roman" w:cs="Times New Roman"/>
          <w:i/>
          <w:iCs/>
        </w:rPr>
      </w:pPr>
    </w:p>
    <w:p w14:paraId="2F91CCB1" w14:textId="7B603EB1"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Mental health counseling anywhere &amp; anytime</w:t>
      </w:r>
      <w:r w:rsidRPr="005459E6">
        <w:rPr>
          <w:rFonts w:ascii="Times New Roman" w:hAnsi="Times New Roman" w:cs="Times New Roman"/>
          <w:i/>
          <w:iCs/>
        </w:rPr>
        <w:t>”</w:t>
      </w:r>
    </w:p>
    <w:p w14:paraId="07666C1C" w14:textId="77777777" w:rsidR="003C0C38" w:rsidRPr="005459E6" w:rsidRDefault="003C0C38" w:rsidP="00042CB0">
      <w:pPr>
        <w:spacing w:line="360" w:lineRule="auto"/>
        <w:jc w:val="both"/>
        <w:rPr>
          <w:rFonts w:ascii="Times New Roman" w:hAnsi="Times New Roman" w:cs="Times New Roman"/>
          <w:i/>
          <w:iCs/>
        </w:rPr>
      </w:pPr>
    </w:p>
    <w:p w14:paraId="7F4E1E6C" w14:textId="1B885F91"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Yoga, meditation, experience of cured patients with other, most important is moral support and medicine and the help of surrounding people</w:t>
      </w:r>
      <w:r w:rsidRPr="005459E6">
        <w:rPr>
          <w:rFonts w:ascii="Times New Roman" w:hAnsi="Times New Roman" w:cs="Times New Roman"/>
          <w:i/>
          <w:iCs/>
        </w:rPr>
        <w:t>.”</w:t>
      </w:r>
    </w:p>
    <w:p w14:paraId="72F21489" w14:textId="77777777" w:rsidR="003C0C38" w:rsidRPr="005459E6" w:rsidRDefault="003C0C38" w:rsidP="00042CB0">
      <w:pPr>
        <w:spacing w:line="360" w:lineRule="auto"/>
        <w:jc w:val="both"/>
        <w:rPr>
          <w:rFonts w:ascii="Times New Roman" w:hAnsi="Times New Roman" w:cs="Times New Roman"/>
          <w:i/>
          <w:iCs/>
        </w:rPr>
      </w:pPr>
    </w:p>
    <w:p w14:paraId="4C0ABCFC" w14:textId="7B4BB4F8"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Speak out!</w:t>
      </w:r>
      <w:r w:rsidRPr="005459E6">
        <w:rPr>
          <w:rFonts w:ascii="Times New Roman" w:hAnsi="Times New Roman" w:cs="Times New Roman"/>
          <w:i/>
          <w:iCs/>
        </w:rPr>
        <w:t>”</w:t>
      </w:r>
    </w:p>
    <w:p w14:paraId="226A8C33" w14:textId="77777777" w:rsidR="00351E7B" w:rsidRPr="005459E6" w:rsidRDefault="00351E7B" w:rsidP="00042CB0">
      <w:pPr>
        <w:spacing w:line="360" w:lineRule="auto"/>
        <w:jc w:val="both"/>
        <w:rPr>
          <w:rFonts w:ascii="Times New Roman" w:hAnsi="Times New Roman" w:cs="Times New Roman"/>
          <w:i/>
          <w:iCs/>
        </w:rPr>
      </w:pPr>
    </w:p>
    <w:p w14:paraId="5300FB11" w14:textId="0CE246C5" w:rsidR="003C0C38" w:rsidRPr="005459E6" w:rsidRDefault="003C0C38"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 xml:space="preserve">Query 2: Provide any additional comments on how technology can help resolve </w:t>
      </w:r>
      <w:r w:rsidR="009D6771" w:rsidRPr="005459E6">
        <w:rPr>
          <w:rFonts w:ascii="Times New Roman" w:hAnsi="Times New Roman" w:cs="Times New Roman"/>
          <w:u w:val="single"/>
        </w:rPr>
        <w:t>psychological</w:t>
      </w:r>
      <w:r w:rsidRPr="005459E6">
        <w:rPr>
          <w:rFonts w:ascii="Times New Roman" w:hAnsi="Times New Roman" w:cs="Times New Roman"/>
          <w:u w:val="single"/>
        </w:rPr>
        <w:t xml:space="preserve"> issues?</w:t>
      </w:r>
    </w:p>
    <w:p w14:paraId="19923F40" w14:textId="77777777" w:rsidR="00483C70" w:rsidRPr="005459E6" w:rsidRDefault="00483C70" w:rsidP="00042CB0">
      <w:pPr>
        <w:spacing w:line="360" w:lineRule="auto"/>
        <w:jc w:val="both"/>
        <w:rPr>
          <w:rFonts w:ascii="Times New Roman" w:hAnsi="Times New Roman" w:cs="Times New Roman"/>
          <w:i/>
          <w:iCs/>
        </w:rPr>
      </w:pPr>
    </w:p>
    <w:p w14:paraId="67ACAE1D" w14:textId="16F8928C"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 xml:space="preserve">I believe that overuse of technology to control stress maybe counter effective as the mind is already undergoing stress &amp; facing it can add to its effect. Technology can only support stress control functions &amp; patterns from backend &amp; not with opinion of the person undergoing stress </w:t>
      </w:r>
      <w:r w:rsidR="00351E7B" w:rsidRPr="005459E6">
        <w:rPr>
          <w:rFonts w:ascii="Times New Roman" w:hAnsi="Times New Roman" w:cs="Times New Roman"/>
          <w:i/>
          <w:iCs/>
        </w:rPr>
        <w:t>directly. “</w:t>
      </w:r>
    </w:p>
    <w:p w14:paraId="66A080CC" w14:textId="77777777" w:rsidR="003C0C38" w:rsidRPr="005459E6" w:rsidRDefault="003C0C38" w:rsidP="00042CB0">
      <w:pPr>
        <w:spacing w:line="360" w:lineRule="auto"/>
        <w:jc w:val="both"/>
        <w:rPr>
          <w:rFonts w:ascii="Times New Roman" w:hAnsi="Times New Roman" w:cs="Times New Roman"/>
          <w:i/>
          <w:iCs/>
        </w:rPr>
      </w:pPr>
    </w:p>
    <w:p w14:paraId="367A1263" w14:textId="7D06F739"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Suggestions on the exercise patterns with respect to daily routine or eating habits.</w:t>
      </w:r>
      <w:r w:rsidRPr="005459E6">
        <w:rPr>
          <w:rFonts w:ascii="Times New Roman" w:hAnsi="Times New Roman" w:cs="Times New Roman"/>
          <w:i/>
          <w:iCs/>
        </w:rPr>
        <w:t>”</w:t>
      </w:r>
    </w:p>
    <w:p w14:paraId="0420389C" w14:textId="77777777" w:rsidR="003C0C38" w:rsidRPr="005459E6" w:rsidRDefault="003C0C38" w:rsidP="00042CB0">
      <w:pPr>
        <w:spacing w:line="360" w:lineRule="auto"/>
        <w:jc w:val="both"/>
        <w:rPr>
          <w:rFonts w:ascii="Times New Roman" w:hAnsi="Times New Roman" w:cs="Times New Roman"/>
          <w:i/>
          <w:iCs/>
        </w:rPr>
      </w:pPr>
    </w:p>
    <w:p w14:paraId="63286793" w14:textId="44AEC5CD"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“D</w:t>
      </w:r>
      <w:r w:rsidR="003C0C38" w:rsidRPr="005459E6">
        <w:rPr>
          <w:rFonts w:ascii="Times New Roman" w:hAnsi="Times New Roman" w:cs="Times New Roman"/>
          <w:i/>
          <w:iCs/>
        </w:rPr>
        <w:t>evelopment of simple devices that could detect psychological stress, like necklaces, wristwatches etc.</w:t>
      </w:r>
      <w:r w:rsidRPr="005459E6">
        <w:rPr>
          <w:rFonts w:ascii="Times New Roman" w:hAnsi="Times New Roman" w:cs="Times New Roman"/>
          <w:i/>
          <w:iCs/>
        </w:rPr>
        <w:t>”</w:t>
      </w:r>
    </w:p>
    <w:p w14:paraId="201A675E" w14:textId="77777777" w:rsidR="003C0C38" w:rsidRPr="005459E6" w:rsidRDefault="003C0C38" w:rsidP="00042CB0">
      <w:pPr>
        <w:spacing w:line="360" w:lineRule="auto"/>
        <w:jc w:val="both"/>
        <w:rPr>
          <w:rFonts w:ascii="Times New Roman" w:hAnsi="Times New Roman" w:cs="Times New Roman"/>
          <w:i/>
          <w:iCs/>
        </w:rPr>
      </w:pPr>
    </w:p>
    <w:p w14:paraId="2FFC4961" w14:textId="7DC6C995"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Communication and learning help.</w:t>
      </w:r>
      <w:r w:rsidRPr="005459E6">
        <w:rPr>
          <w:rFonts w:ascii="Times New Roman" w:hAnsi="Times New Roman" w:cs="Times New Roman"/>
          <w:i/>
          <w:iCs/>
        </w:rPr>
        <w:t>”</w:t>
      </w:r>
    </w:p>
    <w:p w14:paraId="7C97EBF8" w14:textId="77777777" w:rsidR="003C0C38" w:rsidRPr="005459E6" w:rsidRDefault="003C0C38" w:rsidP="00042CB0">
      <w:pPr>
        <w:spacing w:line="360" w:lineRule="auto"/>
        <w:jc w:val="both"/>
        <w:rPr>
          <w:rFonts w:ascii="Times New Roman" w:hAnsi="Times New Roman" w:cs="Times New Roman"/>
          <w:i/>
          <w:iCs/>
        </w:rPr>
      </w:pPr>
    </w:p>
    <w:p w14:paraId="6B449236" w14:textId="69F6E83F"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Being accessible whenever needed</w:t>
      </w:r>
      <w:r w:rsidRPr="005459E6">
        <w:rPr>
          <w:rFonts w:ascii="Times New Roman" w:hAnsi="Times New Roman" w:cs="Times New Roman"/>
          <w:i/>
          <w:iCs/>
        </w:rPr>
        <w:t>”</w:t>
      </w:r>
    </w:p>
    <w:p w14:paraId="40AA0B0B" w14:textId="77777777" w:rsidR="003C0C38" w:rsidRPr="005459E6" w:rsidRDefault="003C0C38" w:rsidP="00042CB0">
      <w:pPr>
        <w:spacing w:line="360" w:lineRule="auto"/>
        <w:jc w:val="both"/>
        <w:rPr>
          <w:rFonts w:ascii="Times New Roman" w:hAnsi="Times New Roman" w:cs="Times New Roman"/>
          <w:i/>
          <w:iCs/>
        </w:rPr>
      </w:pPr>
    </w:p>
    <w:p w14:paraId="56766E5A" w14:textId="52C555A5"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While some mental health apps are designed to deliver outcomes (an improved mood, lessened anxiety), but online technology won’t be able to control humans from suicidal inclinations, burgeoning manic episodes, or depressive episodes.</w:t>
      </w:r>
      <w:r w:rsidRPr="005459E6">
        <w:rPr>
          <w:rFonts w:ascii="Times New Roman" w:hAnsi="Times New Roman" w:cs="Times New Roman"/>
          <w:i/>
          <w:iCs/>
        </w:rPr>
        <w:t>”</w:t>
      </w:r>
    </w:p>
    <w:p w14:paraId="187445DE" w14:textId="77777777" w:rsidR="003C0C38" w:rsidRPr="005459E6" w:rsidRDefault="003C0C38" w:rsidP="00042CB0">
      <w:pPr>
        <w:spacing w:line="360" w:lineRule="auto"/>
        <w:jc w:val="both"/>
        <w:rPr>
          <w:rFonts w:ascii="Times New Roman" w:hAnsi="Times New Roman" w:cs="Times New Roman"/>
          <w:i/>
          <w:iCs/>
        </w:rPr>
      </w:pPr>
    </w:p>
    <w:p w14:paraId="3FA920F4" w14:textId="73101914"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I do not believe in technology resolving psychological issues.</w:t>
      </w:r>
      <w:r w:rsidRPr="005459E6">
        <w:rPr>
          <w:rFonts w:ascii="Times New Roman" w:hAnsi="Times New Roman" w:cs="Times New Roman"/>
          <w:i/>
          <w:iCs/>
        </w:rPr>
        <w:t>”</w:t>
      </w:r>
    </w:p>
    <w:p w14:paraId="5661F92C" w14:textId="77777777" w:rsidR="003C0C38" w:rsidRPr="005459E6" w:rsidRDefault="003C0C38" w:rsidP="00042CB0">
      <w:pPr>
        <w:spacing w:line="360" w:lineRule="auto"/>
        <w:jc w:val="both"/>
        <w:rPr>
          <w:rFonts w:ascii="Times New Roman" w:hAnsi="Times New Roman" w:cs="Times New Roman"/>
          <w:i/>
          <w:iCs/>
        </w:rPr>
      </w:pPr>
    </w:p>
    <w:p w14:paraId="07A0E03C" w14:textId="0C57B9D1"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Encourage sports and outdoor activities.</w:t>
      </w:r>
      <w:r w:rsidRPr="005459E6">
        <w:rPr>
          <w:rFonts w:ascii="Times New Roman" w:hAnsi="Times New Roman" w:cs="Times New Roman"/>
          <w:i/>
          <w:iCs/>
        </w:rPr>
        <w:t>”</w:t>
      </w:r>
    </w:p>
    <w:p w14:paraId="41C709B4" w14:textId="77777777" w:rsidR="003C0C38" w:rsidRPr="005459E6" w:rsidRDefault="003C0C38" w:rsidP="00042CB0">
      <w:pPr>
        <w:spacing w:line="360" w:lineRule="auto"/>
        <w:jc w:val="both"/>
        <w:rPr>
          <w:rFonts w:ascii="Times New Roman" w:hAnsi="Times New Roman" w:cs="Times New Roman"/>
          <w:i/>
          <w:iCs/>
        </w:rPr>
      </w:pPr>
    </w:p>
    <w:p w14:paraId="0BCC292B" w14:textId="4B950F40" w:rsidR="003C0C38"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By knowing mental health of a person, his confidence that reflects his personal his and his faithfulness.</w:t>
      </w:r>
      <w:r w:rsidRPr="005459E6">
        <w:rPr>
          <w:rFonts w:ascii="Times New Roman" w:hAnsi="Times New Roman" w:cs="Times New Roman"/>
          <w:i/>
          <w:iCs/>
        </w:rPr>
        <w:t>”</w:t>
      </w:r>
    </w:p>
    <w:p w14:paraId="325403E1" w14:textId="77777777" w:rsidR="003C0C38" w:rsidRPr="005459E6" w:rsidRDefault="003C0C38" w:rsidP="00042CB0">
      <w:pPr>
        <w:spacing w:line="360" w:lineRule="auto"/>
        <w:jc w:val="both"/>
        <w:rPr>
          <w:rFonts w:ascii="Times New Roman" w:hAnsi="Times New Roman" w:cs="Times New Roman"/>
          <w:i/>
          <w:iCs/>
        </w:rPr>
      </w:pPr>
    </w:p>
    <w:p w14:paraId="797D0846" w14:textId="2D3DE60E" w:rsidR="004421A1" w:rsidRPr="005459E6" w:rsidRDefault="00483C70"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003C0C38" w:rsidRPr="005459E6">
        <w:rPr>
          <w:rFonts w:ascii="Times New Roman" w:hAnsi="Times New Roman" w:cs="Times New Roman"/>
          <w:i/>
          <w:iCs/>
        </w:rPr>
        <w:t>Till a good extent it can help in.</w:t>
      </w:r>
      <w:r w:rsidRPr="005459E6">
        <w:rPr>
          <w:rFonts w:ascii="Times New Roman" w:hAnsi="Times New Roman" w:cs="Times New Roman"/>
          <w:i/>
          <w:iCs/>
        </w:rPr>
        <w:t>”</w:t>
      </w:r>
    </w:p>
    <w:p w14:paraId="087AC87C" w14:textId="68A4338F" w:rsidR="003C0C38" w:rsidRPr="005459E6" w:rsidRDefault="003C0C38" w:rsidP="00042CB0">
      <w:pPr>
        <w:numPr>
          <w:ilvl w:val="0"/>
          <w:numId w:val="5"/>
        </w:numPr>
        <w:spacing w:line="360" w:lineRule="auto"/>
        <w:jc w:val="both"/>
        <w:rPr>
          <w:rFonts w:ascii="Times New Roman" w:hAnsi="Times New Roman" w:cs="Times New Roman"/>
          <w:b/>
          <w:bCs/>
        </w:rPr>
      </w:pPr>
      <w:r w:rsidRPr="005459E6">
        <w:rPr>
          <w:rFonts w:ascii="Times New Roman" w:hAnsi="Times New Roman" w:cs="Times New Roman"/>
          <w:b/>
          <w:bCs/>
        </w:rPr>
        <w:t xml:space="preserve">Qualitative </w:t>
      </w:r>
      <w:r w:rsidR="007A2917" w:rsidRPr="005459E6">
        <w:rPr>
          <w:rFonts w:ascii="Times New Roman" w:hAnsi="Times New Roman" w:cs="Times New Roman"/>
          <w:b/>
          <w:bCs/>
        </w:rPr>
        <w:t>content analysis of the Case Studies</w:t>
      </w:r>
    </w:p>
    <w:p w14:paraId="40B5E9DC" w14:textId="77777777" w:rsidR="003C0C38" w:rsidRPr="005459E6" w:rsidRDefault="003C0C38" w:rsidP="00042CB0">
      <w:pPr>
        <w:spacing w:line="360" w:lineRule="auto"/>
        <w:jc w:val="both"/>
        <w:rPr>
          <w:rFonts w:ascii="Times New Roman" w:hAnsi="Times New Roman" w:cs="Times New Roman"/>
        </w:rPr>
      </w:pPr>
    </w:p>
    <w:p w14:paraId="4EAB5164" w14:textId="662D20F9" w:rsidR="00706CCC" w:rsidRPr="005459E6" w:rsidRDefault="00FD7268" w:rsidP="00042CB0">
      <w:pPr>
        <w:spacing w:line="360" w:lineRule="auto"/>
        <w:jc w:val="both"/>
        <w:rPr>
          <w:rFonts w:ascii="Times New Roman" w:hAnsi="Times New Roman" w:cs="Times New Roman"/>
          <w:b/>
          <w:bCs/>
          <w:u w:val="single"/>
        </w:rPr>
      </w:pPr>
      <w:r w:rsidRPr="005459E6">
        <w:rPr>
          <w:rFonts w:ascii="Times New Roman" w:hAnsi="Times New Roman" w:cs="Times New Roman"/>
          <w:b/>
          <w:bCs/>
          <w:u w:val="single"/>
        </w:rPr>
        <w:t>The Research tags used to identify relevant case studies were as follows:</w:t>
      </w:r>
    </w:p>
    <w:p w14:paraId="24EECD1A" w14:textId="77777777" w:rsidR="000A75A3" w:rsidRPr="005459E6" w:rsidRDefault="000A75A3" w:rsidP="00042CB0">
      <w:pPr>
        <w:spacing w:line="360" w:lineRule="auto"/>
        <w:jc w:val="both"/>
        <w:rPr>
          <w:rFonts w:ascii="Times New Roman" w:hAnsi="Times New Roman" w:cs="Times New Roman"/>
          <w:i/>
          <w:iCs/>
        </w:rPr>
      </w:pPr>
    </w:p>
    <w:p w14:paraId="7E386DC9" w14:textId="13A10FFB" w:rsidR="00FD7268" w:rsidRPr="005459E6" w:rsidRDefault="00FD7268" w:rsidP="00042CB0">
      <w:pPr>
        <w:spacing w:line="360" w:lineRule="auto"/>
        <w:jc w:val="both"/>
        <w:rPr>
          <w:rFonts w:ascii="Times New Roman" w:hAnsi="Times New Roman" w:cs="Times New Roman"/>
          <w:i/>
          <w:iCs/>
        </w:rPr>
      </w:pPr>
      <w:r w:rsidRPr="005459E6">
        <w:rPr>
          <w:rFonts w:ascii="Times New Roman" w:hAnsi="Times New Roman" w:cs="Times New Roman"/>
          <w:i/>
          <w:iCs/>
        </w:rPr>
        <w:t>“Mental Healthcare using technology” (1)</w:t>
      </w:r>
    </w:p>
    <w:p w14:paraId="741ACBBB" w14:textId="77777777" w:rsidR="00FD7268" w:rsidRPr="005459E6" w:rsidRDefault="00FD7268" w:rsidP="00042CB0">
      <w:pPr>
        <w:spacing w:line="360" w:lineRule="auto"/>
        <w:jc w:val="both"/>
        <w:rPr>
          <w:rFonts w:ascii="Times New Roman" w:hAnsi="Times New Roman" w:cs="Times New Roman"/>
          <w:i/>
          <w:iCs/>
        </w:rPr>
      </w:pPr>
    </w:p>
    <w:p w14:paraId="44F3B036" w14:textId="77777777" w:rsidR="0024091A" w:rsidRPr="005459E6" w:rsidRDefault="0024091A" w:rsidP="00042CB0">
      <w:pPr>
        <w:spacing w:line="360" w:lineRule="auto"/>
        <w:jc w:val="both"/>
        <w:rPr>
          <w:rFonts w:ascii="Times New Roman" w:hAnsi="Times New Roman" w:cs="Times New Roman"/>
          <w:i/>
          <w:iCs/>
        </w:rPr>
      </w:pPr>
    </w:p>
    <w:p w14:paraId="4306B22E" w14:textId="77777777" w:rsidR="00FD7268" w:rsidRPr="005459E6" w:rsidRDefault="00FD7268" w:rsidP="00042CB0">
      <w:pPr>
        <w:spacing w:line="360" w:lineRule="auto"/>
        <w:jc w:val="both"/>
        <w:rPr>
          <w:rFonts w:ascii="Times New Roman" w:hAnsi="Times New Roman" w:cs="Times New Roman"/>
          <w:i/>
          <w:iCs/>
        </w:rPr>
      </w:pPr>
      <w:r w:rsidRPr="005459E6">
        <w:rPr>
          <w:rFonts w:ascii="Times New Roman" w:hAnsi="Times New Roman" w:cs="Times New Roman"/>
          <w:i/>
          <w:iCs/>
        </w:rPr>
        <w:t>“Psychosomatic health therapy with technology” (1)</w:t>
      </w:r>
    </w:p>
    <w:p w14:paraId="72EE6241" w14:textId="77777777" w:rsidR="00FD7268" w:rsidRPr="005459E6" w:rsidRDefault="00FD7268" w:rsidP="00042CB0">
      <w:pPr>
        <w:spacing w:line="360" w:lineRule="auto"/>
        <w:jc w:val="both"/>
        <w:rPr>
          <w:rFonts w:ascii="Times New Roman" w:hAnsi="Times New Roman" w:cs="Times New Roman"/>
          <w:i/>
          <w:iCs/>
        </w:rPr>
      </w:pPr>
    </w:p>
    <w:p w14:paraId="3E3C45C2" w14:textId="77777777" w:rsidR="00FD7268" w:rsidRPr="005459E6" w:rsidRDefault="00FD7268" w:rsidP="00042CB0">
      <w:pPr>
        <w:spacing w:line="360" w:lineRule="auto"/>
        <w:jc w:val="both"/>
        <w:rPr>
          <w:rFonts w:ascii="Times New Roman" w:hAnsi="Times New Roman" w:cs="Times New Roman"/>
          <w:i/>
          <w:iCs/>
        </w:rPr>
      </w:pPr>
    </w:p>
    <w:p w14:paraId="294CFDEB" w14:textId="77777777" w:rsidR="00FD7268" w:rsidRPr="005459E6" w:rsidRDefault="00FD7268" w:rsidP="00042CB0">
      <w:pPr>
        <w:spacing w:line="360" w:lineRule="auto"/>
        <w:jc w:val="both"/>
        <w:rPr>
          <w:rFonts w:ascii="Times New Roman" w:hAnsi="Times New Roman" w:cs="Times New Roman"/>
          <w:i/>
          <w:iCs/>
        </w:rPr>
      </w:pPr>
      <w:r w:rsidRPr="005459E6">
        <w:rPr>
          <w:rFonts w:ascii="Times New Roman" w:hAnsi="Times New Roman" w:cs="Times New Roman"/>
          <w:i/>
          <w:iCs/>
        </w:rPr>
        <w:t>“Psychological health treatment using technology” (1)</w:t>
      </w:r>
    </w:p>
    <w:p w14:paraId="280A834E" w14:textId="77777777" w:rsidR="0024091A" w:rsidRPr="005459E6" w:rsidRDefault="0024091A" w:rsidP="00042CB0">
      <w:pPr>
        <w:spacing w:line="360" w:lineRule="auto"/>
        <w:jc w:val="both"/>
        <w:rPr>
          <w:rFonts w:ascii="Times New Roman" w:hAnsi="Times New Roman" w:cs="Times New Roman"/>
          <w:i/>
          <w:iCs/>
        </w:rPr>
      </w:pPr>
    </w:p>
    <w:p w14:paraId="20EE8D99" w14:textId="77777777" w:rsidR="00FD7268" w:rsidRPr="005459E6" w:rsidRDefault="00FD7268" w:rsidP="00042CB0">
      <w:pPr>
        <w:spacing w:line="360" w:lineRule="auto"/>
        <w:jc w:val="both"/>
        <w:rPr>
          <w:rFonts w:ascii="Times New Roman" w:hAnsi="Times New Roman" w:cs="Times New Roman"/>
          <w:i/>
          <w:iCs/>
        </w:rPr>
      </w:pPr>
    </w:p>
    <w:p w14:paraId="7ABAF7CD" w14:textId="77777777" w:rsidR="00FD7268" w:rsidRPr="005459E6" w:rsidRDefault="00FD7268" w:rsidP="00042CB0">
      <w:pPr>
        <w:spacing w:line="360" w:lineRule="auto"/>
        <w:jc w:val="both"/>
        <w:rPr>
          <w:rFonts w:ascii="Times New Roman" w:hAnsi="Times New Roman" w:cs="Times New Roman"/>
          <w:i/>
          <w:iCs/>
        </w:rPr>
      </w:pPr>
      <w:r w:rsidRPr="005459E6">
        <w:rPr>
          <w:rFonts w:ascii="Times New Roman" w:hAnsi="Times New Roman" w:cs="Times New Roman"/>
          <w:i/>
          <w:iCs/>
        </w:rPr>
        <w:t>"Case study mental health artificial intelligence” (1)</w:t>
      </w:r>
    </w:p>
    <w:p w14:paraId="0491AE22" w14:textId="77777777" w:rsidR="0024091A" w:rsidRPr="005459E6" w:rsidRDefault="0024091A" w:rsidP="00042CB0">
      <w:pPr>
        <w:spacing w:line="360" w:lineRule="auto"/>
        <w:jc w:val="both"/>
        <w:rPr>
          <w:rFonts w:ascii="Times New Roman" w:hAnsi="Times New Roman" w:cs="Times New Roman"/>
          <w:i/>
          <w:iCs/>
        </w:rPr>
      </w:pPr>
    </w:p>
    <w:p w14:paraId="24EA0C52" w14:textId="77777777" w:rsidR="00FD7268" w:rsidRPr="005459E6" w:rsidRDefault="00FD7268" w:rsidP="00042CB0">
      <w:pPr>
        <w:spacing w:line="360" w:lineRule="auto"/>
        <w:jc w:val="both"/>
        <w:rPr>
          <w:rFonts w:ascii="Times New Roman" w:hAnsi="Times New Roman" w:cs="Times New Roman"/>
          <w:i/>
          <w:iCs/>
        </w:rPr>
      </w:pPr>
    </w:p>
    <w:p w14:paraId="41E77656" w14:textId="77777777" w:rsidR="00FD7268" w:rsidRPr="005459E6" w:rsidRDefault="00FD7268" w:rsidP="00042CB0">
      <w:pPr>
        <w:spacing w:line="360" w:lineRule="auto"/>
        <w:jc w:val="both"/>
        <w:rPr>
          <w:rFonts w:ascii="Times New Roman" w:hAnsi="Times New Roman" w:cs="Times New Roman"/>
          <w:i/>
          <w:iCs/>
        </w:rPr>
      </w:pPr>
      <w:r w:rsidRPr="005459E6">
        <w:rPr>
          <w:rFonts w:ascii="Times New Roman" w:hAnsi="Times New Roman" w:cs="Times New Roman"/>
          <w:i/>
          <w:iCs/>
        </w:rPr>
        <w:t>"Case study mental health Machine Learning” (1)</w:t>
      </w:r>
    </w:p>
    <w:p w14:paraId="71D554D7" w14:textId="77777777" w:rsidR="00FD7268" w:rsidRPr="005459E6" w:rsidRDefault="00FD7268" w:rsidP="00042CB0">
      <w:pPr>
        <w:spacing w:line="360" w:lineRule="auto"/>
        <w:jc w:val="both"/>
        <w:rPr>
          <w:rFonts w:ascii="Times New Roman" w:hAnsi="Times New Roman" w:cs="Times New Roman"/>
        </w:rPr>
      </w:pPr>
    </w:p>
    <w:p w14:paraId="5F81DBFA" w14:textId="77777777" w:rsidR="0024091A" w:rsidRPr="005459E6" w:rsidRDefault="0024091A" w:rsidP="00042CB0">
      <w:pPr>
        <w:spacing w:line="360" w:lineRule="auto"/>
        <w:jc w:val="both"/>
        <w:rPr>
          <w:rFonts w:ascii="Times New Roman" w:hAnsi="Times New Roman" w:cs="Times New Roman"/>
        </w:rPr>
      </w:pPr>
    </w:p>
    <w:p w14:paraId="2DC15555" w14:textId="77777777" w:rsidR="000A75A3" w:rsidRPr="005459E6" w:rsidRDefault="000A75A3" w:rsidP="00042CB0">
      <w:pPr>
        <w:spacing w:line="360" w:lineRule="auto"/>
        <w:jc w:val="both"/>
        <w:rPr>
          <w:rFonts w:ascii="Times New Roman" w:hAnsi="Times New Roman" w:cs="Times New Roman"/>
        </w:rPr>
      </w:pPr>
    </w:p>
    <w:p w14:paraId="70389238" w14:textId="178B8BE0" w:rsidR="00FD7268" w:rsidRPr="005459E6" w:rsidRDefault="00FD7268" w:rsidP="00042CB0">
      <w:pPr>
        <w:spacing w:line="360" w:lineRule="auto"/>
        <w:jc w:val="both"/>
        <w:rPr>
          <w:rFonts w:ascii="Times New Roman" w:hAnsi="Times New Roman" w:cs="Times New Roman"/>
          <w:b/>
        </w:rPr>
      </w:pPr>
      <w:r w:rsidRPr="005459E6">
        <w:rPr>
          <w:rFonts w:ascii="Times New Roman" w:hAnsi="Times New Roman" w:cs="Times New Roman"/>
        </w:rPr>
        <w:t xml:space="preserve">The number of case studies gathered using </w:t>
      </w:r>
      <w:r w:rsidR="003656E4" w:rsidRPr="005459E6">
        <w:rPr>
          <w:rFonts w:ascii="Times New Roman" w:hAnsi="Times New Roman" w:cs="Times New Roman"/>
        </w:rPr>
        <w:t xml:space="preserve">the </w:t>
      </w:r>
      <w:r w:rsidRPr="005459E6">
        <w:rPr>
          <w:rFonts w:ascii="Times New Roman" w:hAnsi="Times New Roman" w:cs="Times New Roman"/>
        </w:rPr>
        <w:t xml:space="preserve">above tags were analyzed using </w:t>
      </w:r>
      <w:r w:rsidR="003656E4" w:rsidRPr="005459E6">
        <w:rPr>
          <w:rFonts w:ascii="Times New Roman" w:hAnsi="Times New Roman" w:cs="Times New Roman"/>
        </w:rPr>
        <w:t xml:space="preserve">the </w:t>
      </w:r>
      <w:r w:rsidRPr="005459E6">
        <w:rPr>
          <w:rFonts w:ascii="Times New Roman" w:hAnsi="Times New Roman" w:cs="Times New Roman"/>
        </w:rPr>
        <w:t>Qualitative Content Analysis tool.</w:t>
      </w:r>
      <w:bookmarkStart w:id="276" w:name="_Toc73172007"/>
      <w:bookmarkStart w:id="277" w:name="_Toc73172051"/>
      <w:bookmarkStart w:id="278" w:name="_Toc73172154"/>
      <w:r w:rsidR="0024091A" w:rsidRPr="005459E6">
        <w:rPr>
          <w:rFonts w:ascii="Times New Roman" w:hAnsi="Times New Roman" w:cs="Times New Roman"/>
        </w:rPr>
        <w:t xml:space="preserve"> </w:t>
      </w:r>
      <w:r w:rsidRPr="005459E6">
        <w:rPr>
          <w:rFonts w:ascii="Times New Roman" w:hAnsi="Times New Roman" w:cs="Times New Roman"/>
        </w:rPr>
        <w:t xml:space="preserve">Content Analysis was done using NVivo based on the ten selected case studies as shown in </w:t>
      </w:r>
      <w:r w:rsidRPr="005459E6">
        <w:rPr>
          <w:rFonts w:ascii="Times New Roman" w:hAnsi="Times New Roman" w:cs="Times New Roman"/>
          <w:b/>
        </w:rPr>
        <w:t>Table 1.</w:t>
      </w:r>
    </w:p>
    <w:p w14:paraId="2A7F0FCA" w14:textId="77777777" w:rsidR="000A75A3" w:rsidRPr="005459E6" w:rsidRDefault="000A75A3" w:rsidP="00042CB0">
      <w:pPr>
        <w:spacing w:line="360" w:lineRule="auto"/>
        <w:jc w:val="both"/>
        <w:rPr>
          <w:rFonts w:ascii="Times New Roman" w:hAnsi="Times New Roman" w:cs="Times New Roman"/>
          <w:b/>
        </w:rPr>
      </w:pPr>
    </w:p>
    <w:p w14:paraId="6DBF54F2" w14:textId="77777777" w:rsidR="000A75A3" w:rsidRPr="005459E6" w:rsidRDefault="000A75A3" w:rsidP="00042CB0">
      <w:pPr>
        <w:spacing w:line="360" w:lineRule="auto"/>
        <w:jc w:val="both"/>
        <w:rPr>
          <w:rFonts w:ascii="Times New Roman" w:hAnsi="Times New Roman" w:cs="Times New Roman"/>
        </w:rPr>
      </w:pPr>
    </w:p>
    <w:p w14:paraId="454E719E" w14:textId="2E82D262" w:rsidR="00FD7268" w:rsidRPr="005459E6" w:rsidRDefault="00FD7268" w:rsidP="00042CB0">
      <w:pPr>
        <w:pStyle w:val="Sommario1"/>
        <w:rPr>
          <w:rFonts w:ascii="Times New Roman" w:hAnsi="Times New Roman" w:cs="Times New Roman"/>
        </w:rPr>
      </w:pPr>
      <w:bookmarkStart w:id="279" w:name="_Toc96343330"/>
      <w:bookmarkStart w:id="280" w:name="_Toc99916011"/>
      <w:r w:rsidRPr="005459E6">
        <w:rPr>
          <w:rFonts w:ascii="Times New Roman" w:hAnsi="Times New Roman" w:cs="Times New Roman"/>
        </w:rPr>
        <w:t xml:space="preserve">Table </w:t>
      </w:r>
      <w:r w:rsidR="001721AC" w:rsidRPr="005459E6">
        <w:rPr>
          <w:rFonts w:ascii="Times New Roman" w:hAnsi="Times New Roman" w:cs="Times New Roman"/>
        </w:rPr>
        <w:fldChar w:fldCharType="begin"/>
      </w:r>
      <w:r w:rsidR="001721AC" w:rsidRPr="005459E6">
        <w:rPr>
          <w:rFonts w:ascii="Times New Roman" w:hAnsi="Times New Roman" w:cs="Times New Roman"/>
        </w:rPr>
        <w:instrText xml:space="preserve"> SEQ Table \* ARABIC </w:instrText>
      </w:r>
      <w:r w:rsidR="001721AC" w:rsidRPr="005459E6">
        <w:rPr>
          <w:rFonts w:ascii="Times New Roman" w:hAnsi="Times New Roman" w:cs="Times New Roman"/>
        </w:rPr>
        <w:fldChar w:fldCharType="separate"/>
      </w:r>
      <w:r w:rsidR="006C645B">
        <w:rPr>
          <w:rFonts w:ascii="Times New Roman" w:hAnsi="Times New Roman" w:cs="Times New Roman"/>
          <w:noProof/>
        </w:rPr>
        <w:t>1</w:t>
      </w:r>
      <w:r w:rsidR="001721AC" w:rsidRPr="005459E6">
        <w:rPr>
          <w:rFonts w:ascii="Times New Roman" w:hAnsi="Times New Roman" w:cs="Times New Roman"/>
          <w:noProof/>
        </w:rPr>
        <w:fldChar w:fldCharType="end"/>
      </w:r>
      <w:r w:rsidRPr="005459E6">
        <w:rPr>
          <w:rFonts w:ascii="Times New Roman" w:hAnsi="Times New Roman" w:cs="Times New Roman"/>
        </w:rPr>
        <w:t xml:space="preserve"> : Content </w:t>
      </w:r>
      <w:bookmarkEnd w:id="276"/>
      <w:bookmarkEnd w:id="277"/>
      <w:r w:rsidRPr="005459E6">
        <w:rPr>
          <w:rFonts w:ascii="Times New Roman" w:hAnsi="Times New Roman" w:cs="Times New Roman"/>
        </w:rPr>
        <w:t>analysis</w:t>
      </w:r>
      <w:bookmarkEnd w:id="278"/>
      <w:bookmarkEnd w:id="279"/>
      <w:r w:rsidRPr="005459E6">
        <w:rPr>
          <w:rFonts w:ascii="Times New Roman" w:hAnsi="Times New Roman" w:cs="Times New Roman"/>
        </w:rPr>
        <w:t xml:space="preserve"> of case studies</w:t>
      </w:r>
      <w:bookmarkEnd w:id="280"/>
    </w:p>
    <w:tbl>
      <w:tblPr>
        <w:tblStyle w:val="Tabellagriglia1chiara"/>
        <w:tblW w:w="0" w:type="auto"/>
        <w:tblLook w:val="04A0" w:firstRow="1" w:lastRow="0" w:firstColumn="1" w:lastColumn="0" w:noHBand="0" w:noVBand="1"/>
      </w:tblPr>
      <w:tblGrid>
        <w:gridCol w:w="928"/>
        <w:gridCol w:w="3176"/>
        <w:gridCol w:w="1427"/>
        <w:gridCol w:w="3819"/>
      </w:tblGrid>
      <w:tr w:rsidR="005459E6" w:rsidRPr="005459E6" w14:paraId="443CA78F" w14:textId="77777777" w:rsidTr="00351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6D699D3A"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 xml:space="preserve"> Number</w:t>
            </w:r>
          </w:p>
        </w:tc>
        <w:tc>
          <w:tcPr>
            <w:tcW w:w="3207" w:type="dxa"/>
          </w:tcPr>
          <w:p w14:paraId="07C1AA51" w14:textId="77777777" w:rsidR="00FD7268" w:rsidRPr="005459E6" w:rsidRDefault="00FD7268" w:rsidP="00042CB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59E6">
              <w:rPr>
                <w:rFonts w:ascii="Times New Roman" w:hAnsi="Times New Roman" w:cs="Times New Roman"/>
                <w:sz w:val="20"/>
                <w:szCs w:val="20"/>
              </w:rPr>
              <w:t>Title of the Case study</w:t>
            </w:r>
          </w:p>
        </w:tc>
        <w:tc>
          <w:tcPr>
            <w:tcW w:w="1350" w:type="dxa"/>
          </w:tcPr>
          <w:p w14:paraId="2BAF9CCD" w14:textId="77777777" w:rsidR="00FD7268" w:rsidRPr="005459E6" w:rsidRDefault="00FD7268" w:rsidP="00042CB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59E6">
              <w:rPr>
                <w:rFonts w:ascii="Times New Roman" w:hAnsi="Times New Roman" w:cs="Times New Roman"/>
                <w:sz w:val="20"/>
                <w:szCs w:val="20"/>
              </w:rPr>
              <w:t>Nomenclature</w:t>
            </w:r>
          </w:p>
        </w:tc>
        <w:tc>
          <w:tcPr>
            <w:tcW w:w="3865" w:type="dxa"/>
          </w:tcPr>
          <w:p w14:paraId="0B1F20DE" w14:textId="77777777" w:rsidR="00FD7268" w:rsidRPr="005459E6" w:rsidRDefault="00FD7268" w:rsidP="00042CB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59E6">
              <w:rPr>
                <w:rFonts w:ascii="Times New Roman" w:hAnsi="Times New Roman" w:cs="Times New Roman"/>
                <w:sz w:val="20"/>
                <w:szCs w:val="20"/>
              </w:rPr>
              <w:t>Summary</w:t>
            </w:r>
          </w:p>
        </w:tc>
      </w:tr>
      <w:tr w:rsidR="005459E6" w:rsidRPr="005459E6" w14:paraId="51363859"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65F4FAA7"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1</w:t>
            </w:r>
          </w:p>
        </w:tc>
        <w:tc>
          <w:tcPr>
            <w:tcW w:w="3207" w:type="dxa"/>
          </w:tcPr>
          <w:p w14:paraId="0240D37B" w14:textId="30227A25" w:rsidR="00FD7268" w:rsidRPr="005459E6" w:rsidRDefault="00351E7B"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“Using</w:t>
            </w:r>
            <w:r w:rsidR="00FD7268" w:rsidRPr="005459E6">
              <w:rPr>
                <w:rFonts w:ascii="Times New Roman" w:hAnsi="Times New Roman" w:cs="Times New Roman"/>
                <w:sz w:val="18"/>
                <w:szCs w:val="18"/>
              </w:rPr>
              <w:t xml:space="preserve"> AI to provide better behavioral health care</w:t>
            </w:r>
            <w:r w:rsidR="009F7AE4" w:rsidRPr="005459E6">
              <w:rPr>
                <w:rFonts w:ascii="Times New Roman" w:hAnsi="Times New Roman" w:cs="Times New Roman"/>
                <w:sz w:val="18"/>
                <w:szCs w:val="18"/>
              </w:rPr>
              <w:t xml:space="preserve"> “</w:t>
            </w:r>
          </w:p>
        </w:tc>
        <w:tc>
          <w:tcPr>
            <w:tcW w:w="1350" w:type="dxa"/>
          </w:tcPr>
          <w:p w14:paraId="0BFDBE00"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Mental health management through technology</w:t>
            </w:r>
          </w:p>
        </w:tc>
        <w:tc>
          <w:tcPr>
            <w:tcW w:w="3865" w:type="dxa"/>
          </w:tcPr>
          <w:p w14:paraId="206EAED7"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 xml:space="preserve"> This real-time collection of information provides an authentic, more complete picture of the patient’s state between sessions. And therefore, withholding data that is key to treatment planning and delivery.</w:t>
            </w:r>
          </w:p>
        </w:tc>
      </w:tr>
      <w:tr w:rsidR="005459E6" w:rsidRPr="005459E6" w14:paraId="68484608"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281C9F83"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2</w:t>
            </w:r>
          </w:p>
        </w:tc>
        <w:tc>
          <w:tcPr>
            <w:tcW w:w="3207" w:type="dxa"/>
          </w:tcPr>
          <w:p w14:paraId="6D203968" w14:textId="28E38C2E" w:rsidR="00FD7268" w:rsidRPr="005459E6" w:rsidRDefault="00351E7B"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“Designing</w:t>
            </w:r>
            <w:r w:rsidR="00FD7268" w:rsidRPr="005459E6">
              <w:rPr>
                <w:rFonts w:ascii="Times New Roman" w:hAnsi="Times New Roman" w:cs="Times New Roman"/>
                <w:sz w:val="18"/>
                <w:szCs w:val="18"/>
              </w:rPr>
              <w:t xml:space="preserve"> with AI for Mental Health. Amygdala Case Study</w:t>
            </w:r>
            <w:r w:rsidR="009F7AE4" w:rsidRPr="005459E6">
              <w:rPr>
                <w:rFonts w:ascii="Times New Roman" w:hAnsi="Times New Roman" w:cs="Times New Roman"/>
                <w:sz w:val="18"/>
                <w:szCs w:val="18"/>
              </w:rPr>
              <w:t>”</w:t>
            </w:r>
          </w:p>
        </w:tc>
        <w:tc>
          <w:tcPr>
            <w:tcW w:w="1350" w:type="dxa"/>
          </w:tcPr>
          <w:p w14:paraId="08473C4D"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Mental health management through technology</w:t>
            </w:r>
          </w:p>
        </w:tc>
        <w:tc>
          <w:tcPr>
            <w:tcW w:w="3865" w:type="dxa"/>
          </w:tcPr>
          <w:p w14:paraId="2FE110A5"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Discovering new relationships between mental illnesses and latent variables relies significantly on the availability of enormous, high-quality datasets. AI alone cannot cure healthcare’s ills and those new technologies bring novel and potentially under-appreciated challenges.</w:t>
            </w:r>
          </w:p>
        </w:tc>
      </w:tr>
      <w:tr w:rsidR="005459E6" w:rsidRPr="005459E6" w14:paraId="6504533F"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37B394AC"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3</w:t>
            </w:r>
          </w:p>
        </w:tc>
        <w:tc>
          <w:tcPr>
            <w:tcW w:w="3207" w:type="dxa"/>
          </w:tcPr>
          <w:p w14:paraId="7F5B564F" w14:textId="4518B1CD" w:rsidR="00FD7268" w:rsidRPr="005459E6" w:rsidRDefault="009F7AE4"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w:t>
            </w:r>
            <w:r w:rsidR="00FD7268" w:rsidRPr="005459E6">
              <w:rPr>
                <w:rFonts w:ascii="Times New Roman" w:hAnsi="Times New Roman" w:cs="Times New Roman"/>
                <w:sz w:val="18"/>
                <w:szCs w:val="18"/>
              </w:rPr>
              <w:t>AI can help diagnose mental health disorders where access to care lacking</w:t>
            </w:r>
            <w:r w:rsidRPr="005459E6">
              <w:rPr>
                <w:rFonts w:ascii="Times New Roman" w:hAnsi="Times New Roman" w:cs="Times New Roman"/>
                <w:sz w:val="18"/>
                <w:szCs w:val="18"/>
              </w:rPr>
              <w:t>”</w:t>
            </w:r>
          </w:p>
        </w:tc>
        <w:tc>
          <w:tcPr>
            <w:tcW w:w="1350" w:type="dxa"/>
          </w:tcPr>
          <w:p w14:paraId="6E0B0E01"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Mental health management through technology</w:t>
            </w:r>
          </w:p>
        </w:tc>
        <w:tc>
          <w:tcPr>
            <w:tcW w:w="3865" w:type="dxa"/>
          </w:tcPr>
          <w:p w14:paraId="39253F90" w14:textId="57466716"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Using the combination of sociodemographic information and brain imaging to assess brain age act as a measure of cognitive function and performance and a</w:t>
            </w:r>
            <w:r w:rsidR="006723C2" w:rsidRPr="005459E6">
              <w:rPr>
                <w:rFonts w:ascii="Times New Roman" w:hAnsi="Times New Roman" w:cs="Times New Roman"/>
                <w:sz w:val="18"/>
                <w:szCs w:val="18"/>
              </w:rPr>
              <w:t>pply</w:t>
            </w:r>
            <w:r w:rsidRPr="005459E6">
              <w:rPr>
                <w:rFonts w:ascii="Times New Roman" w:hAnsi="Times New Roman" w:cs="Times New Roman"/>
                <w:sz w:val="18"/>
                <w:szCs w:val="18"/>
              </w:rPr>
              <w:t xml:space="preserve"> to constructs directly related to mental health.</w:t>
            </w:r>
          </w:p>
        </w:tc>
      </w:tr>
      <w:tr w:rsidR="005459E6" w:rsidRPr="005459E6" w14:paraId="76EB7561"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71FA9337"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4</w:t>
            </w:r>
          </w:p>
        </w:tc>
        <w:tc>
          <w:tcPr>
            <w:tcW w:w="3207" w:type="dxa"/>
          </w:tcPr>
          <w:p w14:paraId="34EEA46F" w14:textId="3155ABDE" w:rsidR="00FD7268" w:rsidRPr="005459E6" w:rsidRDefault="009F7AE4"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w:t>
            </w:r>
            <w:r w:rsidR="00FD7268" w:rsidRPr="005459E6">
              <w:rPr>
                <w:rFonts w:ascii="Times New Roman" w:hAnsi="Times New Roman" w:cs="Times New Roman"/>
                <w:sz w:val="18"/>
                <w:szCs w:val="18"/>
              </w:rPr>
              <w:t>Evidence case study: Use of computer and mobile phone in the treatment of depression or anxiety</w:t>
            </w:r>
            <w:r w:rsidRPr="005459E6">
              <w:rPr>
                <w:rFonts w:ascii="Times New Roman" w:hAnsi="Times New Roman" w:cs="Times New Roman"/>
                <w:sz w:val="18"/>
                <w:szCs w:val="18"/>
              </w:rPr>
              <w:t>”</w:t>
            </w:r>
          </w:p>
        </w:tc>
        <w:tc>
          <w:tcPr>
            <w:tcW w:w="1350" w:type="dxa"/>
          </w:tcPr>
          <w:p w14:paraId="42270F1D"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eHealth Technology</w:t>
            </w:r>
          </w:p>
        </w:tc>
        <w:tc>
          <w:tcPr>
            <w:tcW w:w="3865" w:type="dxa"/>
          </w:tcPr>
          <w:p w14:paraId="6F7BAEBD" w14:textId="3B60338C"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 xml:space="preserve">The evidence retrieved using </w:t>
            </w:r>
            <w:r w:rsidR="00864691" w:rsidRPr="005459E6">
              <w:rPr>
                <w:rFonts w:ascii="Times New Roman" w:hAnsi="Times New Roman" w:cs="Times New Roman"/>
                <w:sz w:val="18"/>
                <w:szCs w:val="18"/>
              </w:rPr>
              <w:t xml:space="preserve">a </w:t>
            </w:r>
            <w:r w:rsidRPr="005459E6">
              <w:rPr>
                <w:rFonts w:ascii="Times New Roman" w:hAnsi="Times New Roman" w:cs="Times New Roman"/>
                <w:sz w:val="18"/>
                <w:szCs w:val="18"/>
              </w:rPr>
              <w:t xml:space="preserve">technological backbone can be fed to develop ideas to help shape </w:t>
            </w:r>
            <w:r w:rsidR="003656E4" w:rsidRPr="005459E6">
              <w:rPr>
                <w:rFonts w:ascii="Times New Roman" w:hAnsi="Times New Roman" w:cs="Times New Roman"/>
                <w:sz w:val="18"/>
                <w:szCs w:val="18"/>
              </w:rPr>
              <w:t xml:space="preserve">the </w:t>
            </w:r>
            <w:r w:rsidRPr="005459E6">
              <w:rPr>
                <w:rFonts w:ascii="Times New Roman" w:hAnsi="Times New Roman" w:cs="Times New Roman"/>
                <w:sz w:val="18"/>
                <w:szCs w:val="18"/>
              </w:rPr>
              <w:t xml:space="preserve">development of new services in </w:t>
            </w:r>
            <w:r w:rsidR="003656E4" w:rsidRPr="005459E6">
              <w:rPr>
                <w:rFonts w:ascii="Times New Roman" w:hAnsi="Times New Roman" w:cs="Times New Roman"/>
                <w:sz w:val="18"/>
                <w:szCs w:val="18"/>
              </w:rPr>
              <w:t xml:space="preserve">the </w:t>
            </w:r>
            <w:r w:rsidRPr="005459E6">
              <w:rPr>
                <w:rFonts w:ascii="Times New Roman" w:hAnsi="Times New Roman" w:cs="Times New Roman"/>
                <w:sz w:val="18"/>
                <w:szCs w:val="18"/>
              </w:rPr>
              <w:t>periphery of mental health.</w:t>
            </w:r>
          </w:p>
        </w:tc>
      </w:tr>
      <w:tr w:rsidR="005459E6" w:rsidRPr="005459E6" w14:paraId="13332981"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4202F9A8"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5</w:t>
            </w:r>
          </w:p>
        </w:tc>
        <w:tc>
          <w:tcPr>
            <w:tcW w:w="3207" w:type="dxa"/>
          </w:tcPr>
          <w:p w14:paraId="07307FC5" w14:textId="28D642B7" w:rsidR="00FD7268" w:rsidRPr="005459E6" w:rsidRDefault="009F7AE4"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w:t>
            </w:r>
            <w:r w:rsidR="00FD7268" w:rsidRPr="005459E6">
              <w:rPr>
                <w:rFonts w:ascii="Times New Roman" w:hAnsi="Times New Roman" w:cs="Times New Roman"/>
                <w:sz w:val="18"/>
                <w:szCs w:val="18"/>
              </w:rPr>
              <w:t>Digital Mental health: A Case study</w:t>
            </w:r>
            <w:r w:rsidRPr="005459E6">
              <w:rPr>
                <w:rFonts w:ascii="Times New Roman" w:hAnsi="Times New Roman" w:cs="Times New Roman"/>
                <w:sz w:val="18"/>
                <w:szCs w:val="18"/>
              </w:rPr>
              <w:t>”</w:t>
            </w:r>
          </w:p>
        </w:tc>
        <w:tc>
          <w:tcPr>
            <w:tcW w:w="1350" w:type="dxa"/>
          </w:tcPr>
          <w:p w14:paraId="6AA264F5"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Digital technology in Mental healthcare</w:t>
            </w:r>
          </w:p>
        </w:tc>
        <w:tc>
          <w:tcPr>
            <w:tcW w:w="3865" w:type="dxa"/>
          </w:tcPr>
          <w:p w14:paraId="7307F446" w14:textId="2C861A4C"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The future business direction for digital health is beginning to evolve to ensure a continued critical role, specifically with emerging digital medicines &amp; diagnostics focused on early detection, prevention, and early intervention.</w:t>
            </w:r>
          </w:p>
        </w:tc>
      </w:tr>
      <w:tr w:rsidR="005459E6" w:rsidRPr="005459E6" w14:paraId="60728128"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2CCBE7F2"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6</w:t>
            </w:r>
          </w:p>
        </w:tc>
        <w:tc>
          <w:tcPr>
            <w:tcW w:w="3207" w:type="dxa"/>
          </w:tcPr>
          <w:p w14:paraId="258DFD97" w14:textId="6C0CC7DC" w:rsidR="00FD7268" w:rsidRPr="005459E6" w:rsidRDefault="009F7AE4"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w:t>
            </w:r>
            <w:r w:rsidR="00FD7268" w:rsidRPr="005459E6">
              <w:rPr>
                <w:rFonts w:ascii="Times New Roman" w:hAnsi="Times New Roman" w:cs="Times New Roman"/>
                <w:sz w:val="18"/>
                <w:szCs w:val="18"/>
              </w:rPr>
              <w:t>Case studies from Digital Clinic: Integrating digital phenotyping and clinical practice into today’s world</w:t>
            </w:r>
            <w:r w:rsidRPr="005459E6">
              <w:rPr>
                <w:rFonts w:ascii="Times New Roman" w:hAnsi="Times New Roman" w:cs="Times New Roman"/>
                <w:sz w:val="18"/>
                <w:szCs w:val="18"/>
              </w:rPr>
              <w:t>”</w:t>
            </w:r>
          </w:p>
        </w:tc>
        <w:tc>
          <w:tcPr>
            <w:tcW w:w="1350" w:type="dxa"/>
          </w:tcPr>
          <w:p w14:paraId="5346590E" w14:textId="77777777"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Digital Technologies in Clinical practices</w:t>
            </w:r>
          </w:p>
        </w:tc>
        <w:tc>
          <w:tcPr>
            <w:tcW w:w="3865" w:type="dxa"/>
          </w:tcPr>
          <w:p w14:paraId="4CD347B3" w14:textId="74A657E0" w:rsidR="00FD7268" w:rsidRPr="005459E6" w:rsidRDefault="00C95AED"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As mental healthcare strives to improve access to care, the careful application of digital technologies will progressively expand care and present opportunities for mental health treatment. The Digital Clinic framework can be a fruitful means for existing and novel technologies to translate into clinically meaningful access to care.</w:t>
            </w:r>
          </w:p>
        </w:tc>
      </w:tr>
      <w:tr w:rsidR="005459E6" w:rsidRPr="005459E6" w14:paraId="1FC85E01" w14:textId="77777777" w:rsidTr="00351E7B">
        <w:tc>
          <w:tcPr>
            <w:cnfStyle w:val="001000000000" w:firstRow="0" w:lastRow="0" w:firstColumn="1" w:lastColumn="0" w:oddVBand="0" w:evenVBand="0" w:oddHBand="0" w:evenHBand="0" w:firstRowFirstColumn="0" w:firstRowLastColumn="0" w:lastRowFirstColumn="0" w:lastRowLastColumn="0"/>
            <w:tcW w:w="928" w:type="dxa"/>
          </w:tcPr>
          <w:p w14:paraId="23D1C149" w14:textId="77777777" w:rsidR="00FD7268" w:rsidRPr="005459E6" w:rsidRDefault="00FD7268" w:rsidP="00042CB0">
            <w:pPr>
              <w:spacing w:line="360" w:lineRule="auto"/>
              <w:jc w:val="both"/>
              <w:rPr>
                <w:rFonts w:ascii="Times New Roman" w:hAnsi="Times New Roman" w:cs="Times New Roman"/>
                <w:b w:val="0"/>
                <w:bCs w:val="0"/>
                <w:sz w:val="20"/>
                <w:szCs w:val="20"/>
              </w:rPr>
            </w:pPr>
            <w:r w:rsidRPr="005459E6">
              <w:rPr>
                <w:rFonts w:ascii="Times New Roman" w:hAnsi="Times New Roman" w:cs="Times New Roman"/>
                <w:sz w:val="20"/>
                <w:szCs w:val="20"/>
              </w:rPr>
              <w:t>Case study 7</w:t>
            </w:r>
          </w:p>
        </w:tc>
        <w:tc>
          <w:tcPr>
            <w:tcW w:w="3207" w:type="dxa"/>
          </w:tcPr>
          <w:p w14:paraId="40F0DA9F" w14:textId="22CB7473" w:rsidR="00FD7268" w:rsidRPr="005459E6" w:rsidRDefault="009F7AE4"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w:t>
            </w:r>
            <w:r w:rsidR="00FD7268" w:rsidRPr="005459E6">
              <w:rPr>
                <w:rFonts w:ascii="Times New Roman" w:hAnsi="Times New Roman" w:cs="Times New Roman"/>
                <w:sz w:val="18"/>
                <w:szCs w:val="18"/>
              </w:rPr>
              <w:t>Technology‑Based Psychosocial Management for Psychological Distress Due to Stigma Associated with COVID‑19: A Case Study from North Karnataka</w:t>
            </w:r>
            <w:r w:rsidRPr="005459E6">
              <w:rPr>
                <w:rFonts w:ascii="Times New Roman" w:hAnsi="Times New Roman" w:cs="Times New Roman"/>
                <w:sz w:val="18"/>
                <w:szCs w:val="18"/>
              </w:rPr>
              <w:t>”</w:t>
            </w:r>
          </w:p>
        </w:tc>
        <w:tc>
          <w:tcPr>
            <w:tcW w:w="1350" w:type="dxa"/>
          </w:tcPr>
          <w:p w14:paraId="72FFDC14" w14:textId="202C0C6B" w:rsidR="00FD7268" w:rsidRPr="005459E6" w:rsidRDefault="00FD726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5459E6">
              <w:rPr>
                <w:rFonts w:ascii="Times New Roman" w:hAnsi="Times New Roman" w:cs="Times New Roman"/>
                <w:i/>
                <w:iCs/>
                <w:sz w:val="20"/>
                <w:szCs w:val="20"/>
              </w:rPr>
              <w:t>Trends in Psychosomatic Health</w:t>
            </w:r>
            <w:r w:rsidR="00771CF3" w:rsidRPr="005459E6">
              <w:rPr>
                <w:rFonts w:ascii="Times New Roman" w:hAnsi="Times New Roman" w:cs="Times New Roman"/>
                <w:i/>
                <w:iCs/>
                <w:sz w:val="20"/>
                <w:szCs w:val="20"/>
              </w:rPr>
              <w:t xml:space="preserve"> management</w:t>
            </w:r>
          </w:p>
        </w:tc>
        <w:tc>
          <w:tcPr>
            <w:tcW w:w="3865" w:type="dxa"/>
          </w:tcPr>
          <w:p w14:paraId="5CAACEB2" w14:textId="01C289B0" w:rsidR="00FD7268" w:rsidRPr="005459E6" w:rsidRDefault="00C449D8"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459E6">
              <w:rPr>
                <w:rFonts w:ascii="Times New Roman" w:hAnsi="Times New Roman" w:cs="Times New Roman"/>
                <w:sz w:val="18"/>
                <w:szCs w:val="18"/>
              </w:rPr>
              <w:t>In treating psychological distress, online psychosocial management has a significant role to play.</w:t>
            </w:r>
          </w:p>
        </w:tc>
      </w:tr>
    </w:tbl>
    <w:p w14:paraId="64CB0FF2" w14:textId="77777777" w:rsidR="00FD7268" w:rsidRPr="005459E6" w:rsidRDefault="00FD7268" w:rsidP="00042CB0">
      <w:pPr>
        <w:spacing w:line="360" w:lineRule="auto"/>
        <w:jc w:val="both"/>
        <w:rPr>
          <w:rFonts w:ascii="Times New Roman" w:hAnsi="Times New Roman" w:cs="Times New Roman"/>
        </w:rPr>
      </w:pPr>
    </w:p>
    <w:p w14:paraId="5D2FB0F9"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The software employed an Auto-coding feature to avoid any bias from the researcher's end. The software was used to code the sentences, not the paragraph. Through such coding, Case studies focused on the ‘role of technology for mental health’ focus on the following themes.</w:t>
      </w:r>
    </w:p>
    <w:p w14:paraId="09A5162E" w14:textId="77777777" w:rsidR="00FD7268" w:rsidRPr="005459E6" w:rsidRDefault="00FD7268" w:rsidP="00042CB0">
      <w:pPr>
        <w:spacing w:line="360" w:lineRule="auto"/>
        <w:jc w:val="both"/>
        <w:rPr>
          <w:rFonts w:ascii="Times New Roman" w:hAnsi="Times New Roman" w:cs="Times New Roman"/>
        </w:rPr>
      </w:pPr>
    </w:p>
    <w:p w14:paraId="1D508E66" w14:textId="77777777" w:rsidR="00FD7268" w:rsidRPr="005459E6" w:rsidRDefault="00FD7268" w:rsidP="00042CB0">
      <w:pPr>
        <w:spacing w:line="360" w:lineRule="auto"/>
        <w:jc w:val="both"/>
        <w:rPr>
          <w:rFonts w:ascii="Times New Roman" w:hAnsi="Times New Roman" w:cs="Times New Roman"/>
          <w:b/>
          <w:bCs/>
        </w:rPr>
      </w:pPr>
      <w:r w:rsidRPr="005459E6">
        <w:rPr>
          <w:rFonts w:ascii="Times New Roman" w:hAnsi="Times New Roman" w:cs="Times New Roman"/>
          <w:b/>
          <w:bCs/>
        </w:rPr>
        <w:t>Themes:</w:t>
      </w:r>
    </w:p>
    <w:p w14:paraId="36738E8F"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Based on the case study-based analysis with Automated software following classifications were derived.</w:t>
      </w:r>
    </w:p>
    <w:p w14:paraId="0A30E3F0" w14:textId="77777777" w:rsidR="00FD7268" w:rsidRPr="005459E6" w:rsidRDefault="00FD7268" w:rsidP="00042CB0">
      <w:pPr>
        <w:spacing w:line="360" w:lineRule="auto"/>
        <w:jc w:val="both"/>
        <w:rPr>
          <w:rFonts w:ascii="Times New Roman" w:hAnsi="Times New Roman" w:cs="Times New Roman"/>
          <w:b/>
          <w:bCs/>
        </w:rPr>
      </w:pPr>
    </w:p>
    <w:p w14:paraId="10A51574" w14:textId="77777777" w:rsidR="00FD7268" w:rsidRPr="005459E6" w:rsidRDefault="00FD7268" w:rsidP="00042CB0">
      <w:pPr>
        <w:spacing w:line="360" w:lineRule="auto"/>
        <w:jc w:val="both"/>
        <w:rPr>
          <w:rFonts w:ascii="Times New Roman" w:hAnsi="Times New Roman" w:cs="Times New Roman"/>
          <w:b/>
          <w:bCs/>
        </w:rPr>
      </w:pPr>
      <w:r w:rsidRPr="005459E6">
        <w:rPr>
          <w:rFonts w:ascii="Times New Roman" w:hAnsi="Times New Roman" w:cs="Times New Roman"/>
          <w:b/>
          <w:bCs/>
        </w:rPr>
        <w:t>Classification:</w:t>
      </w:r>
    </w:p>
    <w:p w14:paraId="2834BD83" w14:textId="77777777" w:rsidR="00FD7268" w:rsidRPr="005459E6" w:rsidRDefault="00FD7268" w:rsidP="00042CB0">
      <w:pPr>
        <w:spacing w:line="360" w:lineRule="auto"/>
        <w:jc w:val="both"/>
        <w:rPr>
          <w:rFonts w:ascii="Times New Roman" w:hAnsi="Times New Roman" w:cs="Times New Roman"/>
          <w:b/>
          <w:bCs/>
        </w:rPr>
      </w:pPr>
    </w:p>
    <w:p w14:paraId="0A57112D" w14:textId="77777777" w:rsidR="00FD7268" w:rsidRPr="005459E6" w:rsidRDefault="00FD7268" w:rsidP="00042CB0">
      <w:pPr>
        <w:pStyle w:val="Paragrafoelenco"/>
        <w:numPr>
          <w:ilvl w:val="0"/>
          <w:numId w:val="23"/>
        </w:numPr>
        <w:spacing w:line="360" w:lineRule="auto"/>
        <w:jc w:val="both"/>
        <w:rPr>
          <w:rFonts w:ascii="Times New Roman" w:hAnsi="Times New Roman" w:cs="Times New Roman"/>
          <w:b/>
          <w:bCs/>
          <w:i/>
          <w:iCs/>
          <w:sz w:val="22"/>
          <w:szCs w:val="22"/>
        </w:rPr>
      </w:pPr>
      <w:r w:rsidRPr="005459E6">
        <w:rPr>
          <w:rFonts w:ascii="Times New Roman" w:hAnsi="Times New Roman" w:cs="Times New Roman"/>
          <w:i/>
          <w:iCs/>
          <w:sz w:val="22"/>
          <w:szCs w:val="22"/>
        </w:rPr>
        <w:t xml:space="preserve">Psychosomatic Issue: </w:t>
      </w:r>
      <w:r w:rsidRPr="005459E6">
        <w:rPr>
          <w:rFonts w:ascii="Times New Roman" w:hAnsi="Times New Roman" w:cs="Times New Roman"/>
          <w:b/>
          <w:bCs/>
          <w:i/>
          <w:iCs/>
          <w:sz w:val="22"/>
          <w:szCs w:val="22"/>
        </w:rPr>
        <w:t xml:space="preserve"> Patient</w:t>
      </w:r>
    </w:p>
    <w:p w14:paraId="493AA2DF" w14:textId="77777777" w:rsidR="00FD7268" w:rsidRPr="005459E6" w:rsidRDefault="00FD7268" w:rsidP="00042CB0">
      <w:pPr>
        <w:spacing w:line="360" w:lineRule="auto"/>
        <w:jc w:val="both"/>
        <w:rPr>
          <w:rFonts w:ascii="Times New Roman" w:hAnsi="Times New Roman" w:cs="Times New Roman"/>
          <w:i/>
          <w:iCs/>
        </w:rPr>
      </w:pPr>
    </w:p>
    <w:p w14:paraId="69870F57" w14:textId="12290D37" w:rsidR="00FD7268" w:rsidRPr="005459E6" w:rsidRDefault="00FD7268" w:rsidP="00042CB0">
      <w:pPr>
        <w:pStyle w:val="Paragrafoelenco"/>
        <w:numPr>
          <w:ilvl w:val="0"/>
          <w:numId w:val="23"/>
        </w:numPr>
        <w:spacing w:line="360" w:lineRule="auto"/>
        <w:jc w:val="both"/>
        <w:rPr>
          <w:rFonts w:ascii="Times New Roman" w:hAnsi="Times New Roman" w:cs="Times New Roman"/>
          <w:b/>
          <w:bCs/>
          <w:i/>
          <w:iCs/>
          <w:sz w:val="22"/>
          <w:szCs w:val="22"/>
        </w:rPr>
      </w:pPr>
      <w:r w:rsidRPr="005459E6">
        <w:rPr>
          <w:rFonts w:ascii="Times New Roman" w:hAnsi="Times New Roman" w:cs="Times New Roman"/>
          <w:i/>
          <w:iCs/>
          <w:sz w:val="22"/>
          <w:szCs w:val="22"/>
        </w:rPr>
        <w:t xml:space="preserve">Psychosomatic Health: </w:t>
      </w:r>
      <w:r w:rsidRPr="005459E6">
        <w:rPr>
          <w:rFonts w:ascii="Times New Roman" w:hAnsi="Times New Roman" w:cs="Times New Roman"/>
          <w:b/>
          <w:bCs/>
          <w:i/>
          <w:iCs/>
          <w:sz w:val="22"/>
          <w:szCs w:val="22"/>
        </w:rPr>
        <w:t xml:space="preserve">Health </w:t>
      </w:r>
      <w:r w:rsidR="005F70BA" w:rsidRPr="005459E6">
        <w:rPr>
          <w:rFonts w:ascii="Times New Roman" w:hAnsi="Times New Roman" w:cs="Times New Roman"/>
          <w:b/>
          <w:bCs/>
          <w:i/>
          <w:iCs/>
          <w:sz w:val="22"/>
          <w:szCs w:val="22"/>
        </w:rPr>
        <w:t xml:space="preserve">&amp; </w:t>
      </w:r>
      <w:r w:rsidRPr="005459E6">
        <w:rPr>
          <w:rFonts w:ascii="Times New Roman" w:hAnsi="Times New Roman" w:cs="Times New Roman"/>
          <w:b/>
          <w:bCs/>
          <w:i/>
          <w:iCs/>
          <w:sz w:val="22"/>
          <w:szCs w:val="22"/>
        </w:rPr>
        <w:t>Care</w:t>
      </w:r>
    </w:p>
    <w:p w14:paraId="7D645DA2" w14:textId="77777777" w:rsidR="00FD7268" w:rsidRPr="005459E6" w:rsidRDefault="00FD7268" w:rsidP="00042CB0">
      <w:pPr>
        <w:spacing w:line="360" w:lineRule="auto"/>
        <w:jc w:val="both"/>
        <w:rPr>
          <w:rFonts w:ascii="Times New Roman" w:hAnsi="Times New Roman" w:cs="Times New Roman"/>
          <w:i/>
          <w:iCs/>
        </w:rPr>
      </w:pPr>
    </w:p>
    <w:p w14:paraId="0E6918AD" w14:textId="03175CC5" w:rsidR="00FD7268" w:rsidRPr="005459E6" w:rsidRDefault="00FD7268" w:rsidP="00042CB0">
      <w:pPr>
        <w:pStyle w:val="Paragrafoelenco"/>
        <w:numPr>
          <w:ilvl w:val="0"/>
          <w:numId w:val="23"/>
        </w:numPr>
        <w:spacing w:line="360" w:lineRule="auto"/>
        <w:jc w:val="both"/>
        <w:rPr>
          <w:rFonts w:ascii="Times New Roman" w:hAnsi="Times New Roman" w:cs="Times New Roman"/>
          <w:b/>
          <w:bCs/>
          <w:i/>
          <w:iCs/>
          <w:sz w:val="22"/>
          <w:szCs w:val="22"/>
        </w:rPr>
      </w:pPr>
      <w:r w:rsidRPr="005459E6">
        <w:rPr>
          <w:rFonts w:ascii="Times New Roman" w:hAnsi="Times New Roman" w:cs="Times New Roman"/>
          <w:i/>
          <w:iCs/>
          <w:sz w:val="22"/>
          <w:szCs w:val="22"/>
        </w:rPr>
        <w:t xml:space="preserve">Role of Technology: </w:t>
      </w:r>
      <w:r w:rsidR="00351E7B" w:rsidRPr="005459E6">
        <w:rPr>
          <w:rFonts w:ascii="Times New Roman" w:hAnsi="Times New Roman" w:cs="Times New Roman"/>
          <w:b/>
          <w:bCs/>
          <w:i/>
          <w:iCs/>
          <w:sz w:val="22"/>
          <w:szCs w:val="22"/>
        </w:rPr>
        <w:t>Data,</w:t>
      </w:r>
      <w:r w:rsidR="005F70BA" w:rsidRPr="005459E6">
        <w:rPr>
          <w:rFonts w:ascii="Times New Roman" w:hAnsi="Times New Roman" w:cs="Times New Roman"/>
          <w:b/>
          <w:bCs/>
          <w:i/>
          <w:iCs/>
          <w:sz w:val="22"/>
          <w:szCs w:val="22"/>
        </w:rPr>
        <w:t xml:space="preserve"> </w:t>
      </w:r>
      <w:r w:rsidRPr="005459E6">
        <w:rPr>
          <w:rFonts w:ascii="Times New Roman" w:hAnsi="Times New Roman" w:cs="Times New Roman"/>
          <w:b/>
          <w:bCs/>
          <w:i/>
          <w:iCs/>
          <w:sz w:val="22"/>
          <w:szCs w:val="22"/>
        </w:rPr>
        <w:t xml:space="preserve">Technology </w:t>
      </w:r>
      <w:r w:rsidR="005F70BA" w:rsidRPr="005459E6">
        <w:rPr>
          <w:rFonts w:ascii="Times New Roman" w:hAnsi="Times New Roman" w:cs="Times New Roman"/>
          <w:b/>
          <w:bCs/>
          <w:i/>
          <w:iCs/>
          <w:sz w:val="22"/>
          <w:szCs w:val="22"/>
        </w:rPr>
        <w:t>&amp;</w:t>
      </w:r>
      <w:r w:rsidRPr="005459E6">
        <w:rPr>
          <w:rFonts w:ascii="Times New Roman" w:hAnsi="Times New Roman" w:cs="Times New Roman"/>
          <w:b/>
          <w:bCs/>
          <w:i/>
          <w:iCs/>
          <w:sz w:val="22"/>
          <w:szCs w:val="22"/>
        </w:rPr>
        <w:t>App</w:t>
      </w:r>
    </w:p>
    <w:p w14:paraId="70E44C08" w14:textId="77777777" w:rsidR="00FD7268" w:rsidRPr="005459E6" w:rsidRDefault="00FD7268" w:rsidP="00042CB0">
      <w:pPr>
        <w:spacing w:line="360" w:lineRule="auto"/>
        <w:jc w:val="both"/>
        <w:rPr>
          <w:rFonts w:ascii="Times New Roman" w:hAnsi="Times New Roman" w:cs="Times New Roman"/>
          <w:i/>
          <w:iCs/>
        </w:rPr>
      </w:pPr>
    </w:p>
    <w:p w14:paraId="0145CF0A" w14:textId="77777777" w:rsidR="00FD7268" w:rsidRPr="005459E6" w:rsidRDefault="00FD7268" w:rsidP="00042CB0">
      <w:pPr>
        <w:pStyle w:val="Paragrafoelenco"/>
        <w:numPr>
          <w:ilvl w:val="0"/>
          <w:numId w:val="23"/>
        </w:numPr>
        <w:spacing w:line="360" w:lineRule="auto"/>
        <w:jc w:val="both"/>
        <w:rPr>
          <w:rFonts w:ascii="Times New Roman" w:hAnsi="Times New Roman" w:cs="Times New Roman"/>
          <w:b/>
          <w:bCs/>
          <w:i/>
          <w:iCs/>
          <w:sz w:val="22"/>
          <w:szCs w:val="22"/>
        </w:rPr>
      </w:pPr>
      <w:r w:rsidRPr="005459E6">
        <w:rPr>
          <w:rFonts w:ascii="Times New Roman" w:hAnsi="Times New Roman" w:cs="Times New Roman"/>
          <w:i/>
          <w:iCs/>
          <w:sz w:val="22"/>
          <w:szCs w:val="22"/>
        </w:rPr>
        <w:t>Therapeutic Intervention</w:t>
      </w:r>
      <w:r w:rsidRPr="005459E6">
        <w:rPr>
          <w:rFonts w:ascii="Times New Roman" w:hAnsi="Times New Roman" w:cs="Times New Roman"/>
          <w:b/>
          <w:bCs/>
          <w:i/>
          <w:iCs/>
          <w:sz w:val="22"/>
          <w:szCs w:val="22"/>
        </w:rPr>
        <w:t xml:space="preserve">: Treatment </w:t>
      </w:r>
    </w:p>
    <w:p w14:paraId="6E24571F" w14:textId="77777777" w:rsidR="00FD7268" w:rsidRPr="005459E6" w:rsidRDefault="00FD7268" w:rsidP="00042CB0">
      <w:pPr>
        <w:pStyle w:val="Paragrafoelenco"/>
        <w:spacing w:line="360" w:lineRule="auto"/>
        <w:jc w:val="both"/>
        <w:rPr>
          <w:rFonts w:ascii="Times New Roman" w:hAnsi="Times New Roman" w:cs="Times New Roman"/>
          <w:i/>
          <w:iCs/>
        </w:rPr>
      </w:pPr>
    </w:p>
    <w:p w14:paraId="032F2BB7" w14:textId="77777777" w:rsidR="00FD7268" w:rsidRPr="005459E6" w:rsidRDefault="00FD7268" w:rsidP="00042CB0">
      <w:pPr>
        <w:spacing w:line="360" w:lineRule="auto"/>
        <w:jc w:val="both"/>
        <w:rPr>
          <w:rFonts w:ascii="Times New Roman" w:hAnsi="Times New Roman" w:cs="Times New Roman"/>
          <w:i/>
          <w:iCs/>
        </w:rPr>
      </w:pPr>
    </w:p>
    <w:p w14:paraId="43ACB644" w14:textId="77777777" w:rsidR="00FD7268" w:rsidRPr="005459E6" w:rsidRDefault="00FD7268" w:rsidP="00042CB0">
      <w:pPr>
        <w:pStyle w:val="Paragrafoelenco"/>
        <w:spacing w:line="360" w:lineRule="auto"/>
        <w:jc w:val="both"/>
        <w:rPr>
          <w:rFonts w:ascii="Times New Roman" w:hAnsi="Times New Roman" w:cs="Times New Roman"/>
          <w:i/>
          <w:iCs/>
        </w:rPr>
      </w:pPr>
    </w:p>
    <w:p w14:paraId="53D91DAE" w14:textId="77777777" w:rsidR="00FD7268" w:rsidRPr="005459E6" w:rsidRDefault="00FD7268" w:rsidP="00042CB0">
      <w:pPr>
        <w:pStyle w:val="Paragrafoelenco"/>
        <w:spacing w:line="360" w:lineRule="auto"/>
        <w:jc w:val="both"/>
        <w:rPr>
          <w:rFonts w:ascii="Times New Roman" w:hAnsi="Times New Roman" w:cs="Times New Roman"/>
          <w:i/>
          <w:iCs/>
        </w:rPr>
      </w:pPr>
    </w:p>
    <w:p w14:paraId="4B5477EC" w14:textId="77777777" w:rsidR="00FD7268" w:rsidRPr="005459E6" w:rsidRDefault="00FD7268" w:rsidP="00042CB0">
      <w:pPr>
        <w:pStyle w:val="Paragrafoelenco"/>
        <w:spacing w:line="360" w:lineRule="auto"/>
        <w:jc w:val="both"/>
        <w:rPr>
          <w:rFonts w:ascii="Times New Roman" w:hAnsi="Times New Roman" w:cs="Times New Roman"/>
          <w:i/>
          <w:iCs/>
        </w:rPr>
      </w:pPr>
    </w:p>
    <w:p w14:paraId="02897F2A" w14:textId="77777777" w:rsidR="00FD7268" w:rsidRPr="005459E6" w:rsidRDefault="00FD7268" w:rsidP="00042CB0">
      <w:pPr>
        <w:pStyle w:val="Paragrafoelenco"/>
        <w:spacing w:line="360" w:lineRule="auto"/>
        <w:jc w:val="both"/>
        <w:rPr>
          <w:rFonts w:ascii="Times New Roman" w:hAnsi="Times New Roman" w:cs="Times New Roman"/>
          <w:i/>
          <w:iCs/>
        </w:rPr>
      </w:pPr>
    </w:p>
    <w:p w14:paraId="1B35DFD0" w14:textId="77777777" w:rsidR="00FD7268" w:rsidRPr="005459E6" w:rsidRDefault="00FD7268" w:rsidP="00042CB0">
      <w:pPr>
        <w:spacing w:line="360" w:lineRule="auto"/>
        <w:jc w:val="both"/>
        <w:rPr>
          <w:rFonts w:ascii="Times New Roman" w:hAnsi="Times New Roman" w:cs="Times New Roman"/>
          <w:i/>
          <w:iCs/>
        </w:rPr>
      </w:pPr>
    </w:p>
    <w:p w14:paraId="7CD7F0CC" w14:textId="77777777" w:rsidR="00FD7268" w:rsidRPr="005459E6" w:rsidRDefault="00FD7268" w:rsidP="00042CB0">
      <w:pPr>
        <w:pStyle w:val="Titolo3"/>
        <w:spacing w:line="360" w:lineRule="auto"/>
        <w:jc w:val="both"/>
        <w:rPr>
          <w:rFonts w:ascii="Times New Roman" w:hAnsi="Times New Roman" w:cs="Times New Roman"/>
          <w:color w:val="auto"/>
          <w:sz w:val="22"/>
          <w:szCs w:val="22"/>
        </w:rPr>
      </w:pPr>
      <w:bookmarkStart w:id="281" w:name="_Toc85542447"/>
      <w:bookmarkStart w:id="282" w:name="_Toc87349532"/>
      <w:bookmarkStart w:id="283" w:name="_Toc87349645"/>
      <w:bookmarkStart w:id="284" w:name="_Toc87349752"/>
      <w:bookmarkStart w:id="285" w:name="_Toc96026714"/>
      <w:bookmarkStart w:id="286" w:name="_Toc107248315"/>
      <w:r w:rsidRPr="005459E6">
        <w:rPr>
          <w:rFonts w:ascii="Times New Roman" w:hAnsi="Times New Roman" w:cs="Times New Roman"/>
          <w:color w:val="auto"/>
          <w:sz w:val="22"/>
          <w:szCs w:val="22"/>
        </w:rPr>
        <w:t>Sentiment Analysis</w:t>
      </w:r>
      <w:bookmarkEnd w:id="281"/>
      <w:bookmarkEnd w:id="282"/>
      <w:bookmarkEnd w:id="283"/>
      <w:bookmarkEnd w:id="284"/>
      <w:bookmarkEnd w:id="285"/>
      <w:bookmarkEnd w:id="286"/>
    </w:p>
    <w:p w14:paraId="033DB1D5" w14:textId="433F1C01" w:rsidR="00FD7268" w:rsidRPr="005459E6" w:rsidRDefault="00C3582E" w:rsidP="00C3582E">
      <w:pPr>
        <w:spacing w:line="360" w:lineRule="auto"/>
        <w:jc w:val="both"/>
        <w:rPr>
          <w:rFonts w:ascii="Times New Roman" w:hAnsi="Times New Roman" w:cs="Times New Roman"/>
        </w:rPr>
      </w:pPr>
      <w:r w:rsidRPr="005459E6">
        <w:rPr>
          <w:rFonts w:ascii="Times New Roman" w:hAnsi="Times New Roman" w:cs="Times New Roman"/>
        </w:rPr>
        <w:t xml:space="preserve">In the field of sentiment analysis, machine learning techniques are used to systematically evaluate textual content. </w:t>
      </w:r>
      <w:r w:rsidR="00FD7268" w:rsidRPr="005459E6">
        <w:rPr>
          <w:rFonts w:ascii="Times New Roman" w:hAnsi="Times New Roman" w:cs="Times New Roman"/>
        </w:rPr>
        <w:t xml:space="preserve">A feature from NVivo software was utilized to capture the content of case studies to be able to identify the sentiments. It has been shown to deliver accurate and repeatable results </w:t>
      </w:r>
      <w:r w:rsidR="00FD7268" w:rsidRPr="005459E6">
        <w:rPr>
          <w:rFonts w:ascii="Times New Roman" w:hAnsi="Times New Roman" w:cs="Times New Roman"/>
        </w:rPr>
        <w:fldChar w:fldCharType="begin" w:fldLock="1"/>
      </w:r>
      <w:r w:rsidR="00FD7268" w:rsidRPr="005459E6">
        <w:rPr>
          <w:rFonts w:ascii="Times New Roman" w:hAnsi="Times New Roman" w:cs="Times New Roman"/>
        </w:rPr>
        <w:instrText>ADDIN CSL_CITATION {"citationItems":[{"id":"ITEM-1","itemData":{"author":[{"dropping-particle":"","family":"Rambocas","given":"Meena","non-dropping-particle":"","parse-names":false,"suffix":""},{"dropping-particle":"","family":"Gama","given":"João","non-dropping-particle":"","parse-names":false,"suffix":""}],"id":"ITEM-1","issued":{"date-parts":[["2013"]]},"publisher":"Universidade do Porto, Faculdade de Economia do Porto","title":"Marketing research: The role of sentiment analysis","type":"report"},"uris":["http://www.mendeley.com/documents/?uuid=4d53c720-6b45-4cc9-871a-cbb24b1c4d70"]}],"mendeley":{"formattedCitation":"(Rambocas &amp; Gama, 2013)","plainTextFormattedCitation":"(Rambocas &amp; Gama, 2013)","previouslyFormattedCitation":"(Rambocas &amp; Gama, 2013)"},"properties":{"noteIndex":0},"schema":"https://github.com/citation-style-language/schema/raw/master/csl-citation.json"}</w:instrText>
      </w:r>
      <w:r w:rsidR="00FD7268" w:rsidRPr="005459E6">
        <w:rPr>
          <w:rFonts w:ascii="Times New Roman" w:hAnsi="Times New Roman" w:cs="Times New Roman"/>
        </w:rPr>
        <w:fldChar w:fldCharType="separate"/>
      </w:r>
      <w:r w:rsidR="00FD7268" w:rsidRPr="005459E6">
        <w:rPr>
          <w:rFonts w:ascii="Times New Roman" w:hAnsi="Times New Roman" w:cs="Times New Roman"/>
          <w:noProof/>
        </w:rPr>
        <w:t>(Rambocas &amp; Gama, 2013)</w:t>
      </w:r>
      <w:r w:rsidR="00FD7268" w:rsidRPr="005459E6">
        <w:rPr>
          <w:rFonts w:ascii="Times New Roman" w:hAnsi="Times New Roman" w:cs="Times New Roman"/>
        </w:rPr>
        <w:fldChar w:fldCharType="end"/>
      </w:r>
      <w:r w:rsidR="00FD7268" w:rsidRPr="005459E6">
        <w:rPr>
          <w:rFonts w:ascii="Times New Roman" w:hAnsi="Times New Roman" w:cs="Times New Roman"/>
        </w:rPr>
        <w:t>.</w:t>
      </w:r>
    </w:p>
    <w:p w14:paraId="70DBE542" w14:textId="77777777" w:rsidR="00FD7268" w:rsidRPr="005459E6" w:rsidRDefault="00FD7268" w:rsidP="00042CB0">
      <w:pPr>
        <w:spacing w:line="360" w:lineRule="auto"/>
        <w:jc w:val="both"/>
        <w:rPr>
          <w:rFonts w:ascii="Times New Roman" w:hAnsi="Times New Roman" w:cs="Times New Roman"/>
        </w:rPr>
      </w:pPr>
    </w:p>
    <w:p w14:paraId="3EF70D9D" w14:textId="3CE45CF1" w:rsidR="00FD7268" w:rsidRPr="005459E6" w:rsidRDefault="00FD7268" w:rsidP="00042CB0">
      <w:pPr>
        <w:spacing w:line="360" w:lineRule="auto"/>
        <w:jc w:val="both"/>
        <w:rPr>
          <w:rFonts w:ascii="Times New Roman" w:hAnsi="Times New Roman" w:cs="Times New Roman"/>
          <w:b/>
          <w:bCs/>
        </w:rPr>
      </w:pPr>
      <w:r w:rsidRPr="005459E6">
        <w:rPr>
          <w:rFonts w:ascii="Times New Roman" w:hAnsi="Times New Roman" w:cs="Times New Roman"/>
        </w:rPr>
        <w:t xml:space="preserve">Further, the sentiment analysis carried out presents the sentiments as marked below in </w:t>
      </w:r>
      <w:r w:rsidR="000E7838" w:rsidRPr="005459E6">
        <w:rPr>
          <w:rFonts w:ascii="Times New Roman" w:hAnsi="Times New Roman" w:cs="Times New Roman"/>
          <w:b/>
          <w:bCs/>
        </w:rPr>
        <w:t>Figure 17</w:t>
      </w:r>
      <w:r w:rsidRPr="005459E6">
        <w:rPr>
          <w:rFonts w:ascii="Times New Roman" w:hAnsi="Times New Roman" w:cs="Times New Roman"/>
          <w:b/>
          <w:bCs/>
        </w:rPr>
        <w:t>.</w:t>
      </w:r>
    </w:p>
    <w:p w14:paraId="16125759" w14:textId="77777777" w:rsidR="00FD7268" w:rsidRPr="005459E6" w:rsidRDefault="00FD7268" w:rsidP="00042CB0">
      <w:pPr>
        <w:spacing w:line="360" w:lineRule="auto"/>
        <w:jc w:val="both"/>
        <w:rPr>
          <w:rFonts w:ascii="Times New Roman" w:hAnsi="Times New Roman" w:cs="Times New Roman"/>
          <w:lang w:val="en-IN"/>
        </w:rPr>
      </w:pPr>
      <w:r w:rsidRPr="005459E6">
        <w:rPr>
          <w:rFonts w:ascii="Times New Roman" w:hAnsi="Times New Roman" w:cs="Times New Roman"/>
          <w:noProof/>
          <w:lang w:val="en-IN"/>
        </w:rPr>
        <w:drawing>
          <wp:inline distT="0" distB="0" distL="0" distR="0" wp14:anchorId="0E019ABF" wp14:editId="6E9A4349">
            <wp:extent cx="5943600" cy="4018280"/>
            <wp:effectExtent l="0" t="0" r="0" b="1270"/>
            <wp:docPr id="3"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018280"/>
                    </a:xfrm>
                    <a:prstGeom prst="rect">
                      <a:avLst/>
                    </a:prstGeom>
                  </pic:spPr>
                </pic:pic>
              </a:graphicData>
            </a:graphic>
          </wp:inline>
        </w:drawing>
      </w:r>
    </w:p>
    <w:p w14:paraId="58ADA16F" w14:textId="7969C764" w:rsidR="00FD7268" w:rsidRPr="005459E6" w:rsidRDefault="000E7838" w:rsidP="00042CB0">
      <w:pPr>
        <w:pStyle w:val="Didascalia"/>
        <w:spacing w:line="360" w:lineRule="auto"/>
        <w:jc w:val="both"/>
        <w:rPr>
          <w:rFonts w:ascii="Times New Roman" w:hAnsi="Times New Roman" w:cs="Times New Roman"/>
          <w:i w:val="0"/>
          <w:iCs w:val="0"/>
          <w:color w:val="auto"/>
          <w:sz w:val="22"/>
          <w:szCs w:val="22"/>
        </w:rPr>
      </w:pPr>
      <w:bookmarkStart w:id="287" w:name="_Toc99915986"/>
      <w:bookmarkStart w:id="288" w:name="_Toc104968803"/>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17</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w:t>
      </w:r>
      <w:r w:rsidR="00314D85" w:rsidRPr="005459E6">
        <w:rPr>
          <w:rFonts w:ascii="Times New Roman" w:hAnsi="Times New Roman" w:cs="Times New Roman"/>
          <w:i w:val="0"/>
          <w:iCs w:val="0"/>
          <w:color w:val="auto"/>
          <w:sz w:val="22"/>
          <w:szCs w:val="22"/>
        </w:rPr>
        <w:t>Case</w:t>
      </w:r>
      <w:r w:rsidR="00C3582E" w:rsidRPr="005459E6">
        <w:rPr>
          <w:rFonts w:ascii="Times New Roman" w:hAnsi="Times New Roman" w:cs="Times New Roman"/>
          <w:i w:val="0"/>
          <w:iCs w:val="0"/>
          <w:color w:val="auto"/>
          <w:sz w:val="22"/>
          <w:szCs w:val="22"/>
        </w:rPr>
        <w:t>-</w:t>
      </w:r>
      <w:r w:rsidR="00314D85" w:rsidRPr="005459E6">
        <w:rPr>
          <w:rFonts w:ascii="Times New Roman" w:hAnsi="Times New Roman" w:cs="Times New Roman"/>
          <w:i w:val="0"/>
          <w:iCs w:val="0"/>
          <w:color w:val="auto"/>
          <w:sz w:val="22"/>
          <w:szCs w:val="22"/>
        </w:rPr>
        <w:t>wise</w:t>
      </w:r>
      <w:r w:rsidRPr="005459E6">
        <w:rPr>
          <w:rFonts w:ascii="Times New Roman" w:hAnsi="Times New Roman" w:cs="Times New Roman"/>
          <w:i w:val="0"/>
          <w:iCs w:val="0"/>
          <w:color w:val="auto"/>
          <w:sz w:val="22"/>
          <w:szCs w:val="22"/>
        </w:rPr>
        <w:t xml:space="preserve"> Sentiments</w:t>
      </w:r>
      <w:bookmarkEnd w:id="287"/>
      <w:bookmarkEnd w:id="288"/>
    </w:p>
    <w:p w14:paraId="7F74D65A" w14:textId="77777777" w:rsidR="000E7838" w:rsidRPr="005459E6" w:rsidRDefault="000E7838" w:rsidP="00042CB0">
      <w:pPr>
        <w:spacing w:line="360" w:lineRule="auto"/>
        <w:jc w:val="both"/>
        <w:rPr>
          <w:rFonts w:ascii="Times New Roman" w:hAnsi="Times New Roman" w:cs="Times New Roman"/>
        </w:rPr>
      </w:pPr>
    </w:p>
    <w:p w14:paraId="181710B2" w14:textId="6519E86B"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As</w:t>
      </w:r>
      <w:r w:rsidRPr="005459E6">
        <w:rPr>
          <w:rFonts w:ascii="Times New Roman" w:hAnsi="Times New Roman" w:cs="Times New Roman"/>
          <w:b/>
          <w:bCs/>
        </w:rPr>
        <w:t xml:space="preserve"> </w:t>
      </w:r>
      <w:r w:rsidR="000E7838" w:rsidRPr="005459E6">
        <w:rPr>
          <w:rFonts w:ascii="Times New Roman" w:hAnsi="Times New Roman" w:cs="Times New Roman"/>
          <w:b/>
          <w:bCs/>
        </w:rPr>
        <w:t xml:space="preserve">Figure 17 </w:t>
      </w:r>
      <w:r w:rsidR="000E7838" w:rsidRPr="005459E6">
        <w:rPr>
          <w:rFonts w:ascii="Times New Roman" w:hAnsi="Times New Roman" w:cs="Times New Roman"/>
        </w:rPr>
        <w:t>showed</w:t>
      </w:r>
      <w:r w:rsidRPr="005459E6">
        <w:rPr>
          <w:rFonts w:ascii="Times New Roman" w:hAnsi="Times New Roman" w:cs="Times New Roman"/>
        </w:rPr>
        <w:t>, the case study selection was balanced in the selected seven case studies. The case-wise sentiment analysis also reflected the same. It indicates that the selected case and articles were balanced with positive and negative sentiments, suggesting minimal bias in the qualitative study.</w:t>
      </w:r>
    </w:p>
    <w:p w14:paraId="47E82952" w14:textId="77777777" w:rsidR="00FD7268" w:rsidRPr="005459E6" w:rsidRDefault="00FD7268" w:rsidP="00042CB0">
      <w:pPr>
        <w:spacing w:line="360" w:lineRule="auto"/>
        <w:jc w:val="both"/>
        <w:rPr>
          <w:rFonts w:ascii="Times New Roman" w:hAnsi="Times New Roman" w:cs="Times New Roman"/>
        </w:rPr>
      </w:pPr>
    </w:p>
    <w:p w14:paraId="30861285" w14:textId="77777777" w:rsidR="00FD7268" w:rsidRPr="005459E6" w:rsidRDefault="00FD7268" w:rsidP="00042CB0">
      <w:pPr>
        <w:pStyle w:val="Titolo3"/>
        <w:spacing w:line="360" w:lineRule="auto"/>
        <w:jc w:val="both"/>
        <w:rPr>
          <w:rFonts w:ascii="Times New Roman" w:hAnsi="Times New Roman" w:cs="Times New Roman"/>
          <w:color w:val="auto"/>
          <w:sz w:val="22"/>
          <w:szCs w:val="22"/>
        </w:rPr>
      </w:pPr>
      <w:bookmarkStart w:id="289" w:name="_Toc85542448"/>
      <w:bookmarkStart w:id="290" w:name="_Toc87349533"/>
      <w:bookmarkStart w:id="291" w:name="_Toc87349646"/>
      <w:bookmarkStart w:id="292" w:name="_Toc87349753"/>
      <w:bookmarkStart w:id="293" w:name="_Toc107248316"/>
      <w:r w:rsidRPr="005459E6">
        <w:rPr>
          <w:rFonts w:ascii="Times New Roman" w:hAnsi="Times New Roman" w:cs="Times New Roman"/>
          <w:color w:val="auto"/>
          <w:sz w:val="22"/>
          <w:szCs w:val="22"/>
        </w:rPr>
        <w:t>Cluster Analysis</w:t>
      </w:r>
      <w:bookmarkEnd w:id="289"/>
      <w:bookmarkEnd w:id="290"/>
      <w:bookmarkEnd w:id="291"/>
      <w:bookmarkEnd w:id="292"/>
      <w:bookmarkEnd w:id="293"/>
    </w:p>
    <w:p w14:paraId="54DDC9DA" w14:textId="3E9FD57E"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Qualitative methods can add depth to preventive research, but even with small samples, they can generate vast volumes of complex data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{"citationItems":[{"id":"ITEM-1","itemData":{"DOI":"10.1007/s11121-015-0561-z","ISSN":"1573-6695 (Electronic)","PMID":"25946969","abstract":"Qualitative methods potentially add depth to prevention research but can produce  large amounts of complex data even with small samples. Studies conducted with culturally distinct samples often produce voluminous qualitative data but may lack sufficient sample sizes for sophisticated quantitative analysis. Currently lacking in mixed-methods research are methods allowing for more fully integrating qualitative and quantitative analysis techniques. Cluster analysis can be applied to coded qualitative data to clarify the findings of prevention studies by aiding efforts to reveal such things as the motives of participants for their actions and the reasons behind counterintuitive findings. By clustering groups of participants with similar profiles of codes in a quantitative analysis, cluster analysis can serve as a key component in mixed-methods research. This article reports two studies. In the first study, we conduct simulations to test the accuracy of cluster assignment using three different clustering methods with binary data as produced when coding qualitative interviews. Results indicated that hierarchical clustering, K-means clustering, and latent class analysis produced similar levels of accuracy with binary data and that the accuracy of these methods did not decrease with samples as small as 50. Whereas the first study explores the feasibility of using common clustering methods with binary data, the second study provides a \"real-world\" example using data from a qualitative study of community leadership connected with a drug abuse prevention project. We discuss the implications of this approach for conducting prevention research, especially with small samples and culturally distinct communities.","author":[{"dropping-particle":"","family":"Henry","given":"David","non-dropping-particle":"","parse-names":false,"suffix":""},{"dropping-particle":"","family":"Dymnicki","given":"Allison B","non-dropping-particle":"","parse-names":false,"suffix":""},{"dropping-particle":"","family":"Mohatt","given":"Nathaniel","non-dropping-particle":"","parse-names":false,"suffix":""},{"dropping-particle":"","family":"Allen","given":"James","non-dropping-particle":"","parse-names":false,"suffix":""},{"dropping-particle":"","family":"Kelly","given":"James G","non-dropping-particle":"","parse-names":false,"suffix":""}],"container-title":"Prevention science : the official journal of the Society for Prevention Research","id":"ITEM-1","issue":"7","issued":{"date-parts":[["2015","10"]]},"language":"eng","page":"1007-1016","title":"Clustering Methods with Qualitative Data: a Mixed-Methods Approach for Prevention  Research with Small Samples.","type":"article-journal","volume":"16"},"uris":["http://www.mendeley.com/documents/?uuid=458dcad2-6a10-4c21-bb36-b8caf0653eee"]}],"mendeley":{"formattedCitation":"(Henry et al., 2015)","plainTextFormattedCitation":"(Henry et al., 2015)","previouslyFormattedCitation":"(Henry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(Henry et al., 2015)</w:t>
      </w:r>
      <w:r w:rsidRPr="005459E6">
        <w:rPr>
          <w:rFonts w:ascii="Times New Roman" w:hAnsi="Times New Roman" w:cs="Times New Roman"/>
        </w:rPr>
        <w:fldChar w:fldCharType="end"/>
      </w:r>
      <w:r w:rsidRPr="005459E6">
        <w:rPr>
          <w:rFonts w:ascii="Times New Roman" w:hAnsi="Times New Roman" w:cs="Times New Roman"/>
        </w:rPr>
        <w:t>.</w:t>
      </w:r>
      <w:r w:rsidR="00314D85" w:rsidRPr="005459E6">
        <w:rPr>
          <w:rFonts w:ascii="Times New Roman" w:hAnsi="Times New Roman" w:cs="Times New Roman"/>
        </w:rPr>
        <w:t xml:space="preserve"> </w:t>
      </w:r>
      <w:r w:rsidRPr="005459E6">
        <w:rPr>
          <w:rFonts w:ascii="Times New Roman" w:hAnsi="Times New Roman" w:cs="Times New Roman"/>
        </w:rPr>
        <w:t>Cluster analysis is an exploratory approach for detecting correlations in qualitative data, and it can be very useful in identifying patterns.</w:t>
      </w:r>
    </w:p>
    <w:p w14:paraId="5B958982"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F1446AD" wp14:editId="37E817C4">
            <wp:extent cx="5974080" cy="3579261"/>
            <wp:effectExtent l="0" t="0" r="7620" b="2540"/>
            <wp:docPr id="44" name="Picture 4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treemap 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79074" cy="3582253"/>
                    </a:xfrm>
                    <a:prstGeom prst="rect">
                      <a:avLst/>
                    </a:prstGeom>
                  </pic:spPr>
                </pic:pic>
              </a:graphicData>
            </a:graphic>
          </wp:inline>
        </w:drawing>
      </w:r>
    </w:p>
    <w:p w14:paraId="12C92DDA" w14:textId="4677BA2B" w:rsidR="00FD7268" w:rsidRPr="005459E6" w:rsidRDefault="00FD7268" w:rsidP="00042CB0">
      <w:pPr>
        <w:pStyle w:val="Sommario1"/>
        <w:rPr>
          <w:rFonts w:ascii="Times New Roman" w:hAnsi="Times New Roman" w:cs="Times New Roman"/>
        </w:rPr>
      </w:pPr>
      <w:bookmarkStart w:id="294" w:name="_Toc66897454"/>
      <w:bookmarkStart w:id="295" w:name="_Toc67303745"/>
      <w:bookmarkStart w:id="296" w:name="_Toc68521783"/>
      <w:bookmarkStart w:id="297" w:name="_Toc73099147"/>
      <w:bookmarkStart w:id="298" w:name="_Toc73099503"/>
      <w:bookmarkStart w:id="299" w:name="_Toc96343311"/>
      <w:bookmarkStart w:id="300" w:name="_Toc99915987"/>
      <w:bookmarkStart w:id="301" w:name="_Toc104968804"/>
      <w:r w:rsidRPr="005459E6">
        <w:rPr>
          <w:rFonts w:ascii="Times New Roman" w:hAnsi="Times New Roman" w:cs="Times New Roman"/>
        </w:rPr>
        <w:t xml:space="preserve">Figure </w:t>
      </w:r>
      <w:r w:rsidR="001721AC" w:rsidRPr="005459E6">
        <w:rPr>
          <w:rFonts w:ascii="Times New Roman" w:hAnsi="Times New Roman" w:cs="Times New Roman"/>
        </w:rPr>
        <w:fldChar w:fldCharType="begin"/>
      </w:r>
      <w:r w:rsidR="001721AC" w:rsidRPr="005459E6">
        <w:rPr>
          <w:rFonts w:ascii="Times New Roman" w:hAnsi="Times New Roman" w:cs="Times New Roman"/>
        </w:rPr>
        <w:instrText xml:space="preserve"> SEQ Figure \* ARABIC </w:instrText>
      </w:r>
      <w:r w:rsidR="001721AC" w:rsidRPr="005459E6">
        <w:rPr>
          <w:rFonts w:ascii="Times New Roman" w:hAnsi="Times New Roman" w:cs="Times New Roman"/>
        </w:rPr>
        <w:fldChar w:fldCharType="separate"/>
      </w:r>
      <w:r w:rsidR="006C645B">
        <w:rPr>
          <w:rFonts w:ascii="Times New Roman" w:hAnsi="Times New Roman" w:cs="Times New Roman"/>
          <w:noProof/>
        </w:rPr>
        <w:t>18</w:t>
      </w:r>
      <w:r w:rsidR="001721AC" w:rsidRPr="005459E6">
        <w:rPr>
          <w:rFonts w:ascii="Times New Roman" w:hAnsi="Times New Roman" w:cs="Times New Roman"/>
          <w:noProof/>
        </w:rPr>
        <w:fldChar w:fldCharType="end"/>
      </w:r>
      <w:r w:rsidRPr="005459E6">
        <w:rPr>
          <w:rFonts w:ascii="Times New Roman" w:hAnsi="Times New Roman" w:cs="Times New Roman"/>
        </w:rPr>
        <w:t xml:space="preserve">: </w:t>
      </w:r>
      <w:bookmarkEnd w:id="294"/>
      <w:bookmarkEnd w:id="295"/>
      <w:bookmarkEnd w:id="296"/>
      <w:bookmarkEnd w:id="297"/>
      <w:bookmarkEnd w:id="298"/>
      <w:r w:rsidRPr="005459E6">
        <w:rPr>
          <w:rFonts w:ascii="Times New Roman" w:hAnsi="Times New Roman" w:cs="Times New Roman"/>
        </w:rPr>
        <w:t>Cluster Analysis</w:t>
      </w:r>
      <w:bookmarkEnd w:id="299"/>
      <w:bookmarkEnd w:id="300"/>
      <w:bookmarkEnd w:id="301"/>
    </w:p>
    <w:p w14:paraId="4AF0ADB5"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It can be used to clarify the findings of preventative research by assisting efforts to disclose things like participants' motivations for their activities and the reasons behind surprising outcomes using coded qualitative data </w:t>
      </w:r>
      <w:r w:rsidRPr="005459E6">
        <w:rPr>
          <w:rFonts w:ascii="Times New Roman" w:hAnsi="Times New Roman" w:cs="Times New Roman"/>
          <w:b/>
          <w:bCs/>
        </w:rPr>
        <w:fldChar w:fldCharType="begin" w:fldLock="1"/>
      </w:r>
      <w:r w:rsidRPr="005459E6">
        <w:rPr>
          <w:rFonts w:ascii="Times New Roman" w:hAnsi="Times New Roman" w:cs="Times New Roman"/>
          <w:b/>
          <w:bCs/>
        </w:rPr>
        <w:instrText>ADDIN CSL_CITATION {"citationItems":[{"id":"ITEM-1","itemData":{"DOI":"10.46743/2160-3715/2015.2201","ISSN":"10520147","abstract":"In this article I discuss cluster analysis as an exploratory tool to support the identification of associations within qualitative data. While not appropriate for all qualitative projects, cluster analysis can be particularly helpful in identifying patterns where numerous cases are studied. I use as illustration a research project on Latino grievances to offer a detailed explanation of the main steps in cluster analysis, providing specific considerations for its use with qualitative data. I specifically describe the issues of data transformation, the choice of clustering methods and similarity measures, the identification of a cluster solution, and the interpretation of the data in a qualitative context.","author":[{"dropping-particle":"","family":"Macia","given":"Laura","non-dropping-particle":"","parse-names":false,"suffix":""}],"container-title":"Qualitative Report","id":"ITEM-1","issue":"7","issued":{"date-parts":[["2015"]]},"page":"1083-1094","title":"Using clustering as a tool: Mixed methods in qualitative data analysis","type":"article-journal","volume":"20"},"uris":["http://www.mendeley.com/documents/?uuid=3207cdeb-9602-4c01-a963-2752205eede9"]}],"mendeley":{"formattedCitation":"(Macia, 2015)","plainTextFormattedCitation":"(Macia, 2015)","previouslyFormattedCitation":"(Macia, 2015)"},"properties":{"noteIndex":0},"schema":"https://github.com/citation-style-language/schema/raw/master/csl-citation.json"}</w:instrText>
      </w:r>
      <w:r w:rsidRPr="005459E6">
        <w:rPr>
          <w:rFonts w:ascii="Times New Roman" w:hAnsi="Times New Roman" w:cs="Times New Roman"/>
          <w:b/>
          <w:bCs/>
        </w:rPr>
        <w:fldChar w:fldCharType="separate"/>
      </w:r>
      <w:r w:rsidRPr="005459E6">
        <w:rPr>
          <w:rFonts w:ascii="Times New Roman" w:hAnsi="Times New Roman" w:cs="Times New Roman"/>
          <w:bCs/>
          <w:noProof/>
        </w:rPr>
        <w:t>(Macia, 2015)</w:t>
      </w:r>
      <w:r w:rsidRPr="005459E6">
        <w:rPr>
          <w:rFonts w:ascii="Times New Roman" w:hAnsi="Times New Roman" w:cs="Times New Roman"/>
          <w:b/>
          <w:bCs/>
        </w:rPr>
        <w:fldChar w:fldCharType="end"/>
      </w:r>
      <w:r w:rsidRPr="005459E6">
        <w:rPr>
          <w:rFonts w:ascii="Times New Roman" w:hAnsi="Times New Roman" w:cs="Times New Roman"/>
          <w:b/>
          <w:bCs/>
        </w:rPr>
        <w:t>.</w:t>
      </w:r>
    </w:p>
    <w:p w14:paraId="4F9B5ED2" w14:textId="7CF9D2F7" w:rsidR="00475425"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As displayed in </w:t>
      </w:r>
      <w:r w:rsidRPr="005459E6">
        <w:rPr>
          <w:rFonts w:ascii="Times New Roman" w:hAnsi="Times New Roman" w:cs="Times New Roman"/>
          <w:b/>
          <w:bCs/>
        </w:rPr>
        <w:t>Figure 18,</w:t>
      </w:r>
      <w:r w:rsidRPr="005459E6">
        <w:rPr>
          <w:rFonts w:ascii="Times New Roman" w:hAnsi="Times New Roman" w:cs="Times New Roman"/>
        </w:rPr>
        <w:t xml:space="preserve"> through this approach, the merging trend of the role of technology (as eHealth) can be identified and applied for the betterment of Psychosomatic Health. It further suggests that comprehensive psychological healthcare can be deployed using Ubiquitous technology. Building research on and linking it to current knowledge is an increasingly intricate building block of research activity. </w:t>
      </w:r>
      <w:r w:rsidR="00475425" w:rsidRPr="005459E6">
        <w:rPr>
          <w:rFonts w:ascii="Times New Roman" w:hAnsi="Times New Roman" w:cs="Times New Roman"/>
        </w:rPr>
        <w:t xml:space="preserve">Literature reviews act as a crucial foundation of studies and serve as a foundation for knowledge </w:t>
      </w:r>
      <w:r w:rsidR="00F64307" w:rsidRPr="005459E6">
        <w:rPr>
          <w:rFonts w:ascii="Times New Roman" w:hAnsi="Times New Roman" w:cs="Times New Roman"/>
        </w:rPr>
        <w:t>creation and</w:t>
      </w:r>
      <w:r w:rsidR="00475425" w:rsidRPr="005459E6">
        <w:rPr>
          <w:rFonts w:ascii="Times New Roman" w:hAnsi="Times New Roman" w:cs="Times New Roman"/>
        </w:rPr>
        <w:t xml:space="preserve"> possess the potential to generate new ideas and directions for a field. As a result, a Literature Review can be inducted as a study methodology or as a foundation for future research </w:t>
      </w:r>
      <w:r w:rsidR="00475425" w:rsidRPr="005459E6">
        <w:rPr>
          <w:rFonts w:ascii="Times New Roman" w:hAnsi="Times New Roman" w:cs="Times New Roman"/>
        </w:rPr>
        <w:fldChar w:fldCharType="begin" w:fldLock="1"/>
      </w:r>
      <w:r w:rsidR="00475425" w:rsidRPr="005459E6">
        <w:rPr>
          <w:rFonts w:ascii="Times New Roman" w:hAnsi="Times New Roman" w:cs="Times New Roman"/>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Research","id":"ITEM-1","issue":"August","issued":{"date-parts":[["2019"]]},"page":"333-339","publisher":"Elsevier","title":"Literature review as a research methodology: An overview and guidelines","type":"article-journal","volume":"104"},"uris":["http://www.mendeley.com/documents/?uuid=a5d7c926-8375-4a7d-88ed-79a2eb49fa28"]}],"mendeley":{"formattedCitation":"(Snyder, 2019)","plainTextFormattedCitation":"(Snyder, 2019)","previouslyFormattedCitation":"(Snyder, 2019)"},"properties":{"noteIndex":0},"schema":"https://github.com/citation-style-language/schema/raw/master/csl-citation.json"}</w:instrText>
      </w:r>
      <w:r w:rsidR="00475425" w:rsidRPr="005459E6">
        <w:rPr>
          <w:rFonts w:ascii="Times New Roman" w:hAnsi="Times New Roman" w:cs="Times New Roman"/>
        </w:rPr>
        <w:fldChar w:fldCharType="separate"/>
      </w:r>
      <w:r w:rsidR="00475425" w:rsidRPr="005459E6">
        <w:rPr>
          <w:rFonts w:ascii="Times New Roman" w:hAnsi="Times New Roman" w:cs="Times New Roman"/>
          <w:noProof/>
        </w:rPr>
        <w:t>(Snyder, 2019)</w:t>
      </w:r>
      <w:r w:rsidR="00475425" w:rsidRPr="005459E6">
        <w:rPr>
          <w:rFonts w:ascii="Times New Roman" w:hAnsi="Times New Roman" w:cs="Times New Roman"/>
        </w:rPr>
        <w:fldChar w:fldCharType="end"/>
      </w:r>
      <w:r w:rsidR="00475425" w:rsidRPr="005459E6">
        <w:rPr>
          <w:rFonts w:ascii="Times New Roman" w:hAnsi="Times New Roman" w:cs="Times New Roman"/>
        </w:rPr>
        <w:t>.</w:t>
      </w:r>
    </w:p>
    <w:p w14:paraId="0E44C45C" w14:textId="16916C84" w:rsidR="00FD7268" w:rsidRPr="005459E6" w:rsidRDefault="00FD7268" w:rsidP="00042CB0">
      <w:pPr>
        <w:spacing w:line="360" w:lineRule="auto"/>
        <w:jc w:val="both"/>
        <w:rPr>
          <w:rFonts w:ascii="Times New Roman" w:hAnsi="Times New Roman" w:cs="Times New Roman"/>
        </w:rPr>
      </w:pPr>
    </w:p>
    <w:p w14:paraId="7F2DBB75" w14:textId="77777777" w:rsidR="00FD7268" w:rsidRPr="005459E6" w:rsidRDefault="00FD7268" w:rsidP="00042CB0">
      <w:pPr>
        <w:pStyle w:val="Titolo3"/>
        <w:spacing w:line="360" w:lineRule="auto"/>
        <w:jc w:val="both"/>
        <w:rPr>
          <w:rFonts w:ascii="Times New Roman" w:hAnsi="Times New Roman" w:cs="Times New Roman"/>
          <w:color w:val="auto"/>
          <w:sz w:val="22"/>
          <w:szCs w:val="22"/>
        </w:rPr>
      </w:pPr>
      <w:bookmarkStart w:id="302" w:name="_Toc85542444"/>
      <w:bookmarkStart w:id="303" w:name="_Toc87349529"/>
      <w:bookmarkStart w:id="304" w:name="_Toc87349642"/>
      <w:bookmarkStart w:id="305" w:name="_Toc87349749"/>
      <w:bookmarkStart w:id="306" w:name="_Toc107248317"/>
      <w:r w:rsidRPr="005459E6">
        <w:rPr>
          <w:rFonts w:ascii="Times New Roman" w:hAnsi="Times New Roman" w:cs="Times New Roman"/>
          <w:color w:val="auto"/>
          <w:sz w:val="22"/>
          <w:szCs w:val="22"/>
        </w:rPr>
        <w:t>Co-occurrence Table</w:t>
      </w:r>
      <w:bookmarkStart w:id="307" w:name="_Toc73129089"/>
      <w:bookmarkStart w:id="308" w:name="_Toc73172008"/>
      <w:bookmarkStart w:id="309" w:name="_Toc73172052"/>
      <w:bookmarkStart w:id="310" w:name="_Toc73172155"/>
      <w:bookmarkEnd w:id="302"/>
      <w:bookmarkEnd w:id="303"/>
      <w:bookmarkEnd w:id="304"/>
      <w:bookmarkEnd w:id="305"/>
      <w:bookmarkEnd w:id="306"/>
    </w:p>
    <w:p w14:paraId="68B56BF3" w14:textId="77777777" w:rsidR="000E7838" w:rsidRPr="005459E6" w:rsidRDefault="00FD7268" w:rsidP="00042CB0">
      <w:pPr>
        <w:spacing w:line="360" w:lineRule="auto"/>
        <w:jc w:val="both"/>
        <w:rPr>
          <w:rFonts w:ascii="Times New Roman" w:hAnsi="Times New Roman" w:cs="Times New Roman"/>
          <w:lang w:val="en-IN"/>
        </w:rPr>
      </w:pPr>
      <w:r w:rsidRPr="005459E6">
        <w:rPr>
          <w:rFonts w:ascii="Times New Roman" w:hAnsi="Times New Roman" w:cs="Times New Roman"/>
          <w:lang w:val="en-IN"/>
        </w:rPr>
        <w:t xml:space="preserve">As per </w:t>
      </w:r>
      <w:r w:rsidRPr="005459E6">
        <w:rPr>
          <w:rFonts w:ascii="Times New Roman" w:hAnsi="Times New Roman" w:cs="Times New Roman"/>
          <w:lang w:val="en-IN"/>
        </w:rPr>
        <w:fldChar w:fldCharType="begin" w:fldLock="1"/>
      </w:r>
      <w:r w:rsidRPr="005459E6">
        <w:rPr>
          <w:rFonts w:ascii="Times New Roman" w:hAnsi="Times New Roman" w:cs="Times New Roman"/>
          <w:lang w:val="en-IN"/>
        </w:rPr>
        <w:instrText>ADDIN CSL_CITATION {"citationItems":[{"id":"ITEM-1","itemData":{"DOI":"10.52399/001c.22175","ISSN":"0791-9638","author":[{"dropping-particle":"","family":"Martyn","given":"Patricia","non-dropping-particle":"","parse-names":false,"suffix":""}],"container-title":"Accounting, Finance, &amp; Governance Review","id":"ITEM-1","issued":{"date-parts":[["2021"]]},"page":"70-80","title":"Using Quantitative Analytical Methods to Support Qualitative Data Analysis: Lessons Learnt During a PhD Study","type":"article-journal","volume":"27"},"uris":["http://www.mendeley.com/documents/?uuid=c3c89062-40da-45ad-8f35-538973a845c9"]}],"mendeley":{"formattedCitation":"(Martyn, 2021)","manualFormatting":"Martyn (2021)","plainTextFormattedCitation":"(Martyn, 2021)","previouslyFormattedCitation":"(Martyn, 2021)"},"properties":{"noteIndex":0},"schema":"https://github.com/citation-style-language/schema/raw/master/csl-citation.json"}</w:instrText>
      </w:r>
      <w:r w:rsidRPr="005459E6">
        <w:rPr>
          <w:rFonts w:ascii="Times New Roman" w:hAnsi="Times New Roman" w:cs="Times New Roman"/>
          <w:lang w:val="en-IN"/>
        </w:rPr>
        <w:fldChar w:fldCharType="separate"/>
      </w:r>
      <w:r w:rsidRPr="005459E6">
        <w:rPr>
          <w:rFonts w:ascii="Times New Roman" w:hAnsi="Times New Roman" w:cs="Times New Roman"/>
          <w:noProof/>
          <w:lang w:val="en-IN"/>
        </w:rPr>
        <w:t>Martyn (2021)</w:t>
      </w:r>
      <w:r w:rsidRPr="005459E6">
        <w:rPr>
          <w:rFonts w:ascii="Times New Roman" w:hAnsi="Times New Roman" w:cs="Times New Roman"/>
          <w:lang w:val="en-IN"/>
        </w:rPr>
        <w:fldChar w:fldCharType="end"/>
      </w:r>
      <w:r w:rsidRPr="005459E6">
        <w:rPr>
          <w:rFonts w:ascii="Times New Roman" w:hAnsi="Times New Roman" w:cs="Times New Roman"/>
          <w:lang w:val="en-IN"/>
        </w:rPr>
        <w:t>, co-occurrences are the frequencies that render elements of quantification while analy</w:t>
      </w:r>
      <w:r w:rsidR="005F70BA" w:rsidRPr="005459E6">
        <w:rPr>
          <w:rFonts w:ascii="Times New Roman" w:hAnsi="Times New Roman" w:cs="Times New Roman"/>
          <w:lang w:val="en-IN"/>
        </w:rPr>
        <w:t>z</w:t>
      </w:r>
      <w:r w:rsidRPr="005459E6">
        <w:rPr>
          <w:rFonts w:ascii="Times New Roman" w:hAnsi="Times New Roman" w:cs="Times New Roman"/>
          <w:lang w:val="en-IN"/>
        </w:rPr>
        <w:t xml:space="preserve">ing qualitative data. Researchers have successfully used the technique of words and phrases (or both) counts or frequency for content analysis in the analysis of content. </w:t>
      </w:r>
    </w:p>
    <w:p w14:paraId="187D86FF" w14:textId="4E7B3BE4" w:rsidR="00FD7268" w:rsidRPr="005459E6" w:rsidRDefault="00FD7268" w:rsidP="00042CB0">
      <w:pPr>
        <w:spacing w:line="360" w:lineRule="auto"/>
        <w:jc w:val="both"/>
        <w:rPr>
          <w:rFonts w:ascii="Times New Roman" w:hAnsi="Times New Roman" w:cs="Times New Roman"/>
          <w:lang w:val="en-IN"/>
        </w:rPr>
      </w:pPr>
      <w:r w:rsidRPr="005459E6">
        <w:rPr>
          <w:rFonts w:ascii="Times New Roman" w:hAnsi="Times New Roman" w:cs="Times New Roman"/>
          <w:lang w:val="en-IN"/>
        </w:rPr>
        <w:t xml:space="preserve">This provides a systematic method to analyze the content of a text </w:t>
      </w:r>
      <w:r w:rsidRPr="005459E6">
        <w:rPr>
          <w:rFonts w:ascii="Times New Roman" w:hAnsi="Times New Roman" w:cs="Times New Roman"/>
          <w:lang w:val="en-IN"/>
        </w:rPr>
        <w:fldChar w:fldCharType="begin" w:fldLock="1"/>
      </w:r>
      <w:r w:rsidRPr="005459E6">
        <w:rPr>
          <w:rFonts w:ascii="Times New Roman" w:hAnsi="Times New Roman" w:cs="Times New Roman"/>
          <w:lang w:val="en-IN"/>
        </w:rPr>
        <w:instrText>ADDIN CSL_CITATION {"citationItems":[{"id":"ITEM-1","itemData":{"DOI":"10.1177/0894439315596311","ISSN":"0894-4393","abstract":"Qualitative data analysis software QDAS programs are well-established research tools, but little is known about how researchers use them. This article reports the results of a content analysis of 763 empirical articles, published in the Scopus database between 1994 and 2013, which explored how researchers use the ATLAS.tiundefined and NVivoundefined QDAS programs.* The analysis specifically investigated who is using these tools in terms of subject discipline and author country of origin, and how they are being used to support research in terms of type of data, type of study, and phase of the research process that QDAS were used to support. The study found that the number of articles reporting QDAS is increasing each year, and that the majority of studies using ATLAS.tiundefined and NVivoundefined were published in health sciences journals by authors from the United Kingdom, United States, Netherlands, Canada, and Australia. Researchers used QDAS to support a variety of research designs and most commonly used the programs to support analyses of data gathered through interviews, focus groups, documents, field notes, and open-ended survey questions. Although QDAS can support multiple phases of the research process, the study found the vast majority of researchers are using it for data management and analysis, with fewer using it for data collection/creation or to visually display their methods and findings. This article concludes with some discussion of the extent to which QDAS users appear to have leveraged the potential of these programs to support new approaches to research.","author":[{"dropping-particle":"","family":"Woods","given":"Megan","non-dropping-particle":"","parse-names":false,"suffix":""},{"dropping-particle":"","family":"Paulus","given":"Trena","non-dropping-particle":"","parse-names":false,"suffix":""},{"dropping-particle":"","family":"Atkins","given":"David P","non-dropping-particle":"","parse-names":false,"suffix":""},{"dropping-particle":"","family":"Macklin","given":"Rob","non-dropping-particle":"","parse-names":false,"suffix":""}],"container-title":"Soc. Sci. Comput. Rev.","id":"ITEM-1","issue":"5","issued":{"date-parts":[["2016","10"]]},"page":"597–617","publisher":"Sage Publications, Inc.","publisher-place":"USA","title":"Advancing Qualitative Research Using Qualitative Data Analysis Software QDAS?","type":"article-journal","volume":"34"},"uris":["http://www.mendeley.com/documents/?uuid=9941d295-8887-4a9e-bd07-bcae5cbfd418"]}],"mendeley":{"formattedCitation":"(Woods et al., 2016)","plainTextFormattedCitation":"(Woods et al., 2016)","previouslyFormattedCitation":"(Woods et al., 2016)"},"properties":{"noteIndex":0},"schema":"https://github.com/citation-style-language/schema/raw/master/csl-citation.json"}</w:instrText>
      </w:r>
      <w:r w:rsidRPr="005459E6">
        <w:rPr>
          <w:rFonts w:ascii="Times New Roman" w:hAnsi="Times New Roman" w:cs="Times New Roman"/>
          <w:lang w:val="en-IN"/>
        </w:rPr>
        <w:fldChar w:fldCharType="separate"/>
      </w:r>
      <w:r w:rsidRPr="005459E6">
        <w:rPr>
          <w:rFonts w:ascii="Times New Roman" w:hAnsi="Times New Roman" w:cs="Times New Roman"/>
          <w:noProof/>
          <w:lang w:val="en-IN"/>
        </w:rPr>
        <w:t>(Woods et al., 2016)</w:t>
      </w:r>
      <w:r w:rsidRPr="005459E6">
        <w:rPr>
          <w:rFonts w:ascii="Times New Roman" w:hAnsi="Times New Roman" w:cs="Times New Roman"/>
          <w:lang w:val="en-IN"/>
        </w:rPr>
        <w:fldChar w:fldCharType="end"/>
      </w:r>
      <w:r w:rsidRPr="005459E6">
        <w:rPr>
          <w:rFonts w:ascii="Times New Roman" w:hAnsi="Times New Roman" w:cs="Times New Roman"/>
          <w:lang w:val="en-IN"/>
        </w:rPr>
        <w:t>.</w:t>
      </w:r>
    </w:p>
    <w:p w14:paraId="47F20266" w14:textId="77777777" w:rsidR="000E7838" w:rsidRPr="005459E6" w:rsidRDefault="000E7838" w:rsidP="00042CB0">
      <w:pPr>
        <w:pStyle w:val="Didascalia"/>
        <w:spacing w:line="360" w:lineRule="auto"/>
        <w:jc w:val="both"/>
        <w:rPr>
          <w:rFonts w:ascii="Times New Roman" w:hAnsi="Times New Roman" w:cs="Times New Roman"/>
          <w:i w:val="0"/>
          <w:iCs w:val="0"/>
          <w:color w:val="auto"/>
          <w:sz w:val="22"/>
          <w:szCs w:val="22"/>
        </w:rPr>
      </w:pPr>
    </w:p>
    <w:p w14:paraId="6AE26C8D" w14:textId="06334150" w:rsidR="00FD7268" w:rsidRPr="005459E6" w:rsidRDefault="000E7838" w:rsidP="00042CB0">
      <w:pPr>
        <w:pStyle w:val="Didascalia"/>
        <w:spacing w:line="360" w:lineRule="auto"/>
        <w:jc w:val="both"/>
        <w:rPr>
          <w:rFonts w:ascii="Times New Roman" w:hAnsi="Times New Roman" w:cs="Times New Roman"/>
          <w:i w:val="0"/>
          <w:iCs w:val="0"/>
          <w:color w:val="auto"/>
          <w:sz w:val="22"/>
          <w:szCs w:val="22"/>
        </w:rPr>
      </w:pPr>
      <w:bookmarkStart w:id="311" w:name="_Toc99916012"/>
      <w:r w:rsidRPr="005459E6">
        <w:rPr>
          <w:rFonts w:ascii="Times New Roman" w:hAnsi="Times New Roman" w:cs="Times New Roman"/>
          <w:i w:val="0"/>
          <w:iCs w:val="0"/>
          <w:color w:val="auto"/>
          <w:sz w:val="22"/>
          <w:szCs w:val="22"/>
        </w:rPr>
        <w:t xml:space="preserve">Table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Table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Co-occurrence Table</w:t>
      </w:r>
      <w:bookmarkEnd w:id="307"/>
      <w:bookmarkEnd w:id="308"/>
      <w:bookmarkEnd w:id="309"/>
      <w:bookmarkEnd w:id="310"/>
      <w:bookmarkEnd w:id="311"/>
    </w:p>
    <w:tbl>
      <w:tblPr>
        <w:tblW w:w="8900" w:type="dxa"/>
        <w:tblLook w:val="04A0" w:firstRow="1" w:lastRow="0" w:firstColumn="1" w:lastColumn="0" w:noHBand="0" w:noVBand="1"/>
      </w:tblPr>
      <w:tblGrid>
        <w:gridCol w:w="1480"/>
        <w:gridCol w:w="1060"/>
        <w:gridCol w:w="1060"/>
        <w:gridCol w:w="1060"/>
        <w:gridCol w:w="1060"/>
        <w:gridCol w:w="1060"/>
        <w:gridCol w:w="1060"/>
        <w:gridCol w:w="1060"/>
      </w:tblGrid>
      <w:tr w:rsidR="005459E6" w:rsidRPr="005459E6" w14:paraId="4EB1122A" w14:textId="77777777" w:rsidTr="00E37749">
        <w:trPr>
          <w:trHeight w:val="276"/>
        </w:trPr>
        <w:tc>
          <w:tcPr>
            <w:tcW w:w="1480" w:type="dxa"/>
            <w:tcBorders>
              <w:top w:val="single" w:sz="8" w:space="0" w:color="auto"/>
              <w:left w:val="single" w:sz="8" w:space="0" w:color="auto"/>
              <w:bottom w:val="nil"/>
              <w:right w:val="nil"/>
            </w:tcBorders>
            <w:shd w:val="clear" w:color="auto" w:fill="auto"/>
            <w:noWrap/>
            <w:vAlign w:val="bottom"/>
            <w:hideMark/>
          </w:tcPr>
          <w:p w14:paraId="0B6B4D65"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 </w:t>
            </w:r>
          </w:p>
        </w:tc>
        <w:tc>
          <w:tcPr>
            <w:tcW w:w="1060" w:type="dxa"/>
            <w:tcBorders>
              <w:top w:val="single" w:sz="8" w:space="0" w:color="auto"/>
              <w:left w:val="single" w:sz="4" w:space="0" w:color="auto"/>
              <w:bottom w:val="single" w:sz="4" w:space="0" w:color="auto"/>
              <w:right w:val="single" w:sz="4" w:space="0" w:color="auto"/>
            </w:tcBorders>
            <w:shd w:val="clear" w:color="000000" w:fill="F0F0F0"/>
            <w:noWrap/>
            <w:vAlign w:val="center"/>
            <w:hideMark/>
          </w:tcPr>
          <w:p w14:paraId="2E84CC0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1</w:t>
            </w:r>
          </w:p>
        </w:tc>
        <w:tc>
          <w:tcPr>
            <w:tcW w:w="1060" w:type="dxa"/>
            <w:tcBorders>
              <w:top w:val="single" w:sz="8" w:space="0" w:color="auto"/>
              <w:left w:val="nil"/>
              <w:bottom w:val="single" w:sz="4" w:space="0" w:color="auto"/>
              <w:right w:val="single" w:sz="4" w:space="0" w:color="auto"/>
            </w:tcBorders>
            <w:shd w:val="clear" w:color="000000" w:fill="F0F0F0"/>
            <w:noWrap/>
            <w:vAlign w:val="center"/>
            <w:hideMark/>
          </w:tcPr>
          <w:p w14:paraId="3793BBBA"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2</w:t>
            </w:r>
          </w:p>
        </w:tc>
        <w:tc>
          <w:tcPr>
            <w:tcW w:w="1060" w:type="dxa"/>
            <w:tcBorders>
              <w:top w:val="single" w:sz="8" w:space="0" w:color="auto"/>
              <w:left w:val="nil"/>
              <w:bottom w:val="single" w:sz="4" w:space="0" w:color="auto"/>
              <w:right w:val="single" w:sz="4" w:space="0" w:color="auto"/>
            </w:tcBorders>
            <w:shd w:val="clear" w:color="000000" w:fill="F0F0F0"/>
            <w:noWrap/>
            <w:vAlign w:val="center"/>
            <w:hideMark/>
          </w:tcPr>
          <w:p w14:paraId="3995953A"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3</w:t>
            </w:r>
          </w:p>
        </w:tc>
        <w:tc>
          <w:tcPr>
            <w:tcW w:w="1060" w:type="dxa"/>
            <w:tcBorders>
              <w:top w:val="single" w:sz="8" w:space="0" w:color="auto"/>
              <w:left w:val="nil"/>
              <w:bottom w:val="single" w:sz="4" w:space="0" w:color="auto"/>
              <w:right w:val="single" w:sz="4" w:space="0" w:color="auto"/>
            </w:tcBorders>
            <w:shd w:val="clear" w:color="000000" w:fill="F0F0F0"/>
            <w:noWrap/>
            <w:vAlign w:val="center"/>
            <w:hideMark/>
          </w:tcPr>
          <w:p w14:paraId="3A8AB6ED"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4</w:t>
            </w:r>
          </w:p>
        </w:tc>
        <w:tc>
          <w:tcPr>
            <w:tcW w:w="1060" w:type="dxa"/>
            <w:tcBorders>
              <w:top w:val="single" w:sz="8" w:space="0" w:color="auto"/>
              <w:left w:val="nil"/>
              <w:bottom w:val="single" w:sz="4" w:space="0" w:color="auto"/>
              <w:right w:val="single" w:sz="4" w:space="0" w:color="auto"/>
            </w:tcBorders>
            <w:shd w:val="clear" w:color="000000" w:fill="F0F0F0"/>
            <w:noWrap/>
            <w:vAlign w:val="center"/>
            <w:hideMark/>
          </w:tcPr>
          <w:p w14:paraId="7698684D"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5</w:t>
            </w:r>
          </w:p>
        </w:tc>
        <w:tc>
          <w:tcPr>
            <w:tcW w:w="1060" w:type="dxa"/>
            <w:tcBorders>
              <w:top w:val="single" w:sz="8" w:space="0" w:color="auto"/>
              <w:left w:val="nil"/>
              <w:bottom w:val="single" w:sz="4" w:space="0" w:color="auto"/>
              <w:right w:val="single" w:sz="4" w:space="0" w:color="auto"/>
            </w:tcBorders>
            <w:shd w:val="clear" w:color="000000" w:fill="F0F0F0"/>
            <w:noWrap/>
            <w:vAlign w:val="center"/>
            <w:hideMark/>
          </w:tcPr>
          <w:p w14:paraId="4FE659BE"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6</w:t>
            </w:r>
          </w:p>
        </w:tc>
        <w:tc>
          <w:tcPr>
            <w:tcW w:w="1060" w:type="dxa"/>
            <w:tcBorders>
              <w:top w:val="single" w:sz="8" w:space="0" w:color="auto"/>
              <w:left w:val="nil"/>
              <w:bottom w:val="single" w:sz="4" w:space="0" w:color="auto"/>
              <w:right w:val="single" w:sz="8" w:space="0" w:color="auto"/>
            </w:tcBorders>
            <w:shd w:val="clear" w:color="000000" w:fill="F0F0F0"/>
            <w:noWrap/>
            <w:vAlign w:val="center"/>
            <w:hideMark/>
          </w:tcPr>
          <w:p w14:paraId="530DACF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Case study 7</w:t>
            </w:r>
          </w:p>
        </w:tc>
      </w:tr>
      <w:tr w:rsidR="005459E6" w:rsidRPr="005459E6" w14:paraId="736F8FE5" w14:textId="77777777" w:rsidTr="00E37749">
        <w:trPr>
          <w:trHeight w:val="288"/>
        </w:trPr>
        <w:tc>
          <w:tcPr>
            <w:tcW w:w="1480" w:type="dxa"/>
            <w:tcBorders>
              <w:top w:val="single" w:sz="4" w:space="0" w:color="000000"/>
              <w:left w:val="single" w:sz="8" w:space="0" w:color="auto"/>
              <w:bottom w:val="single" w:sz="4" w:space="0" w:color="000000"/>
              <w:right w:val="nil"/>
            </w:tcBorders>
            <w:shd w:val="clear" w:color="FFFFFF" w:fill="F0F0F0"/>
            <w:noWrap/>
            <w:vAlign w:val="bottom"/>
            <w:hideMark/>
          </w:tcPr>
          <w:p w14:paraId="7A12A2F5"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1 : app</w:t>
            </w:r>
          </w:p>
        </w:tc>
        <w:tc>
          <w:tcPr>
            <w:tcW w:w="1060" w:type="dxa"/>
            <w:tcBorders>
              <w:top w:val="nil"/>
              <w:left w:val="single" w:sz="4" w:space="0" w:color="auto"/>
              <w:bottom w:val="single" w:sz="4" w:space="0" w:color="auto"/>
              <w:right w:val="single" w:sz="4" w:space="0" w:color="auto"/>
            </w:tcBorders>
            <w:shd w:val="clear" w:color="auto" w:fill="auto"/>
            <w:noWrap/>
            <w:hideMark/>
          </w:tcPr>
          <w:p w14:paraId="380278B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51DD7A37"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3</w:t>
            </w:r>
          </w:p>
        </w:tc>
        <w:tc>
          <w:tcPr>
            <w:tcW w:w="1060" w:type="dxa"/>
            <w:tcBorders>
              <w:top w:val="nil"/>
              <w:left w:val="nil"/>
              <w:bottom w:val="single" w:sz="4" w:space="0" w:color="auto"/>
              <w:right w:val="single" w:sz="4" w:space="0" w:color="auto"/>
            </w:tcBorders>
            <w:shd w:val="clear" w:color="auto" w:fill="auto"/>
            <w:noWrap/>
            <w:hideMark/>
          </w:tcPr>
          <w:p w14:paraId="38A66E3E"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auto" w:fill="auto"/>
            <w:noWrap/>
            <w:hideMark/>
          </w:tcPr>
          <w:p w14:paraId="63E00754"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2486144F"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2</w:t>
            </w:r>
          </w:p>
        </w:tc>
        <w:tc>
          <w:tcPr>
            <w:tcW w:w="1060" w:type="dxa"/>
            <w:tcBorders>
              <w:top w:val="nil"/>
              <w:left w:val="nil"/>
              <w:bottom w:val="single" w:sz="4" w:space="0" w:color="auto"/>
              <w:right w:val="single" w:sz="4" w:space="0" w:color="auto"/>
            </w:tcBorders>
            <w:shd w:val="clear" w:color="000000" w:fill="9595FF"/>
            <w:noWrap/>
            <w:hideMark/>
          </w:tcPr>
          <w:p w14:paraId="46C5D8AA"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6</w:t>
            </w:r>
          </w:p>
        </w:tc>
        <w:tc>
          <w:tcPr>
            <w:tcW w:w="1060" w:type="dxa"/>
            <w:tcBorders>
              <w:top w:val="nil"/>
              <w:left w:val="nil"/>
              <w:bottom w:val="single" w:sz="4" w:space="0" w:color="auto"/>
              <w:right w:val="single" w:sz="8" w:space="0" w:color="auto"/>
            </w:tcBorders>
            <w:shd w:val="clear" w:color="auto" w:fill="auto"/>
            <w:noWrap/>
            <w:hideMark/>
          </w:tcPr>
          <w:p w14:paraId="2F15D3EA"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r>
      <w:tr w:rsidR="005459E6" w:rsidRPr="005459E6" w14:paraId="1DF19F46" w14:textId="77777777" w:rsidTr="00E37749">
        <w:trPr>
          <w:trHeight w:val="288"/>
        </w:trPr>
        <w:tc>
          <w:tcPr>
            <w:tcW w:w="1480" w:type="dxa"/>
            <w:tcBorders>
              <w:top w:val="nil"/>
              <w:left w:val="single" w:sz="8" w:space="0" w:color="auto"/>
              <w:bottom w:val="single" w:sz="4" w:space="0" w:color="000000"/>
              <w:right w:val="nil"/>
            </w:tcBorders>
            <w:shd w:val="clear" w:color="FFFFFF" w:fill="F0F0F0"/>
            <w:noWrap/>
            <w:vAlign w:val="bottom"/>
            <w:hideMark/>
          </w:tcPr>
          <w:p w14:paraId="19F046DE"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2 : care</w:t>
            </w:r>
          </w:p>
        </w:tc>
        <w:tc>
          <w:tcPr>
            <w:tcW w:w="1060" w:type="dxa"/>
            <w:tcBorders>
              <w:top w:val="nil"/>
              <w:left w:val="single" w:sz="4" w:space="0" w:color="auto"/>
              <w:bottom w:val="single" w:sz="4" w:space="0" w:color="auto"/>
              <w:right w:val="single" w:sz="4" w:space="0" w:color="auto"/>
            </w:tcBorders>
            <w:shd w:val="clear" w:color="000000" w:fill="9595FF"/>
            <w:noWrap/>
            <w:hideMark/>
          </w:tcPr>
          <w:p w14:paraId="31DB8419"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6</w:t>
            </w:r>
          </w:p>
        </w:tc>
        <w:tc>
          <w:tcPr>
            <w:tcW w:w="1060" w:type="dxa"/>
            <w:tcBorders>
              <w:top w:val="nil"/>
              <w:left w:val="nil"/>
              <w:bottom w:val="single" w:sz="4" w:space="0" w:color="auto"/>
              <w:right w:val="single" w:sz="4" w:space="0" w:color="auto"/>
            </w:tcBorders>
            <w:shd w:val="clear" w:color="000000" w:fill="C0C0FF"/>
            <w:noWrap/>
            <w:hideMark/>
          </w:tcPr>
          <w:p w14:paraId="4D677791"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2</w:t>
            </w:r>
          </w:p>
        </w:tc>
        <w:tc>
          <w:tcPr>
            <w:tcW w:w="1060" w:type="dxa"/>
            <w:tcBorders>
              <w:top w:val="nil"/>
              <w:left w:val="nil"/>
              <w:bottom w:val="single" w:sz="4" w:space="0" w:color="auto"/>
              <w:right w:val="single" w:sz="4" w:space="0" w:color="auto"/>
            </w:tcBorders>
            <w:shd w:val="clear" w:color="auto" w:fill="auto"/>
            <w:noWrap/>
            <w:hideMark/>
          </w:tcPr>
          <w:p w14:paraId="1562D044"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auto" w:fill="auto"/>
            <w:noWrap/>
            <w:hideMark/>
          </w:tcPr>
          <w:p w14:paraId="0ADC8B5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49DA126C"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3</w:t>
            </w:r>
          </w:p>
        </w:tc>
        <w:tc>
          <w:tcPr>
            <w:tcW w:w="1060" w:type="dxa"/>
            <w:tcBorders>
              <w:top w:val="nil"/>
              <w:left w:val="nil"/>
              <w:bottom w:val="single" w:sz="4" w:space="0" w:color="auto"/>
              <w:right w:val="single" w:sz="4" w:space="0" w:color="auto"/>
            </w:tcBorders>
            <w:shd w:val="clear" w:color="000000" w:fill="6B6BFF"/>
            <w:noWrap/>
            <w:hideMark/>
          </w:tcPr>
          <w:p w14:paraId="4E018B3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9</w:t>
            </w:r>
          </w:p>
        </w:tc>
        <w:tc>
          <w:tcPr>
            <w:tcW w:w="1060" w:type="dxa"/>
            <w:tcBorders>
              <w:top w:val="nil"/>
              <w:left w:val="nil"/>
              <w:bottom w:val="single" w:sz="4" w:space="0" w:color="auto"/>
              <w:right w:val="single" w:sz="8" w:space="0" w:color="auto"/>
            </w:tcBorders>
            <w:shd w:val="clear" w:color="auto" w:fill="auto"/>
            <w:noWrap/>
            <w:hideMark/>
          </w:tcPr>
          <w:p w14:paraId="2C463F2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r>
      <w:tr w:rsidR="005459E6" w:rsidRPr="005459E6" w14:paraId="5129F6B0" w14:textId="77777777" w:rsidTr="00E37749">
        <w:trPr>
          <w:trHeight w:val="288"/>
        </w:trPr>
        <w:tc>
          <w:tcPr>
            <w:tcW w:w="1480" w:type="dxa"/>
            <w:tcBorders>
              <w:top w:val="nil"/>
              <w:left w:val="single" w:sz="8" w:space="0" w:color="auto"/>
              <w:bottom w:val="single" w:sz="4" w:space="0" w:color="000000"/>
              <w:right w:val="nil"/>
            </w:tcBorders>
            <w:shd w:val="clear" w:color="FFFFFF" w:fill="F0F0F0"/>
            <w:noWrap/>
            <w:vAlign w:val="bottom"/>
            <w:hideMark/>
          </w:tcPr>
          <w:p w14:paraId="59780DAE"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3 : data</w:t>
            </w:r>
          </w:p>
        </w:tc>
        <w:tc>
          <w:tcPr>
            <w:tcW w:w="1060" w:type="dxa"/>
            <w:tcBorders>
              <w:top w:val="nil"/>
              <w:left w:val="single" w:sz="4" w:space="0" w:color="auto"/>
              <w:bottom w:val="single" w:sz="4" w:space="0" w:color="auto"/>
              <w:right w:val="single" w:sz="4" w:space="0" w:color="auto"/>
            </w:tcBorders>
            <w:shd w:val="clear" w:color="000000" w:fill="C0C0FF"/>
            <w:noWrap/>
            <w:hideMark/>
          </w:tcPr>
          <w:p w14:paraId="6DB1B07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2</w:t>
            </w:r>
          </w:p>
        </w:tc>
        <w:tc>
          <w:tcPr>
            <w:tcW w:w="1060" w:type="dxa"/>
            <w:tcBorders>
              <w:top w:val="nil"/>
              <w:left w:val="nil"/>
              <w:bottom w:val="single" w:sz="4" w:space="0" w:color="auto"/>
              <w:right w:val="single" w:sz="4" w:space="0" w:color="auto"/>
            </w:tcBorders>
            <w:shd w:val="clear" w:color="000000" w:fill="C0C0FF"/>
            <w:noWrap/>
            <w:hideMark/>
          </w:tcPr>
          <w:p w14:paraId="54CBA06B"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3</w:t>
            </w:r>
          </w:p>
        </w:tc>
        <w:tc>
          <w:tcPr>
            <w:tcW w:w="1060" w:type="dxa"/>
            <w:tcBorders>
              <w:top w:val="nil"/>
              <w:left w:val="nil"/>
              <w:bottom w:val="single" w:sz="4" w:space="0" w:color="auto"/>
              <w:right w:val="single" w:sz="4" w:space="0" w:color="auto"/>
            </w:tcBorders>
            <w:shd w:val="clear" w:color="000000" w:fill="9595FF"/>
            <w:noWrap/>
            <w:hideMark/>
          </w:tcPr>
          <w:p w14:paraId="22D604F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6</w:t>
            </w:r>
          </w:p>
        </w:tc>
        <w:tc>
          <w:tcPr>
            <w:tcW w:w="1060" w:type="dxa"/>
            <w:tcBorders>
              <w:top w:val="nil"/>
              <w:left w:val="nil"/>
              <w:bottom w:val="single" w:sz="4" w:space="0" w:color="auto"/>
              <w:right w:val="single" w:sz="4" w:space="0" w:color="auto"/>
            </w:tcBorders>
            <w:shd w:val="clear" w:color="auto" w:fill="auto"/>
            <w:noWrap/>
            <w:hideMark/>
          </w:tcPr>
          <w:p w14:paraId="07890DEA"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auto" w:fill="auto"/>
            <w:noWrap/>
            <w:hideMark/>
          </w:tcPr>
          <w:p w14:paraId="2FE7747E"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6B6BFF"/>
            <w:noWrap/>
            <w:hideMark/>
          </w:tcPr>
          <w:p w14:paraId="5D6CDF3D"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11</w:t>
            </w:r>
          </w:p>
        </w:tc>
        <w:tc>
          <w:tcPr>
            <w:tcW w:w="1060" w:type="dxa"/>
            <w:tcBorders>
              <w:top w:val="nil"/>
              <w:left w:val="nil"/>
              <w:bottom w:val="single" w:sz="4" w:space="0" w:color="auto"/>
              <w:right w:val="single" w:sz="8" w:space="0" w:color="auto"/>
            </w:tcBorders>
            <w:shd w:val="clear" w:color="auto" w:fill="auto"/>
            <w:noWrap/>
            <w:hideMark/>
          </w:tcPr>
          <w:p w14:paraId="34BCFC5B"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r>
      <w:tr w:rsidR="005459E6" w:rsidRPr="005459E6" w14:paraId="7FAC2574" w14:textId="77777777" w:rsidTr="00E37749">
        <w:trPr>
          <w:trHeight w:val="288"/>
        </w:trPr>
        <w:tc>
          <w:tcPr>
            <w:tcW w:w="1480" w:type="dxa"/>
            <w:tcBorders>
              <w:top w:val="nil"/>
              <w:left w:val="single" w:sz="8" w:space="0" w:color="auto"/>
              <w:bottom w:val="single" w:sz="4" w:space="0" w:color="000000"/>
              <w:right w:val="nil"/>
            </w:tcBorders>
            <w:shd w:val="clear" w:color="FFFFFF" w:fill="F0F0F0"/>
            <w:noWrap/>
            <w:vAlign w:val="bottom"/>
            <w:hideMark/>
          </w:tcPr>
          <w:p w14:paraId="51E9B0A7"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4 : health</w:t>
            </w:r>
          </w:p>
        </w:tc>
        <w:tc>
          <w:tcPr>
            <w:tcW w:w="1060" w:type="dxa"/>
            <w:tcBorders>
              <w:top w:val="nil"/>
              <w:left w:val="single" w:sz="4" w:space="0" w:color="auto"/>
              <w:bottom w:val="single" w:sz="4" w:space="0" w:color="auto"/>
              <w:right w:val="single" w:sz="4" w:space="0" w:color="auto"/>
            </w:tcBorders>
            <w:shd w:val="clear" w:color="000000" w:fill="C0C0FF"/>
            <w:noWrap/>
            <w:hideMark/>
          </w:tcPr>
          <w:p w14:paraId="0D2AD40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4</w:t>
            </w:r>
          </w:p>
        </w:tc>
        <w:tc>
          <w:tcPr>
            <w:tcW w:w="1060" w:type="dxa"/>
            <w:tcBorders>
              <w:top w:val="nil"/>
              <w:left w:val="nil"/>
              <w:bottom w:val="single" w:sz="4" w:space="0" w:color="auto"/>
              <w:right w:val="single" w:sz="4" w:space="0" w:color="auto"/>
            </w:tcBorders>
            <w:shd w:val="clear" w:color="000000" w:fill="6B6BFF"/>
            <w:noWrap/>
            <w:hideMark/>
          </w:tcPr>
          <w:p w14:paraId="3F14F6D2"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10</w:t>
            </w:r>
          </w:p>
        </w:tc>
        <w:tc>
          <w:tcPr>
            <w:tcW w:w="1060" w:type="dxa"/>
            <w:tcBorders>
              <w:top w:val="nil"/>
              <w:left w:val="nil"/>
              <w:bottom w:val="single" w:sz="4" w:space="0" w:color="auto"/>
              <w:right w:val="single" w:sz="4" w:space="0" w:color="auto"/>
            </w:tcBorders>
            <w:shd w:val="clear" w:color="000000" w:fill="C0C0FF"/>
            <w:noWrap/>
            <w:hideMark/>
          </w:tcPr>
          <w:p w14:paraId="224DADCF"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3</w:t>
            </w:r>
          </w:p>
        </w:tc>
        <w:tc>
          <w:tcPr>
            <w:tcW w:w="1060" w:type="dxa"/>
            <w:tcBorders>
              <w:top w:val="nil"/>
              <w:left w:val="nil"/>
              <w:bottom w:val="single" w:sz="4" w:space="0" w:color="auto"/>
              <w:right w:val="single" w:sz="4" w:space="0" w:color="auto"/>
            </w:tcBorders>
            <w:shd w:val="clear" w:color="000000" w:fill="C0C0FF"/>
            <w:noWrap/>
            <w:hideMark/>
          </w:tcPr>
          <w:p w14:paraId="191197AC"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4" w:space="0" w:color="auto"/>
              <w:right w:val="single" w:sz="4" w:space="0" w:color="auto"/>
            </w:tcBorders>
            <w:shd w:val="clear" w:color="000000" w:fill="9595FF"/>
            <w:noWrap/>
            <w:hideMark/>
          </w:tcPr>
          <w:p w14:paraId="52F4612C"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8</w:t>
            </w:r>
          </w:p>
        </w:tc>
        <w:tc>
          <w:tcPr>
            <w:tcW w:w="1060" w:type="dxa"/>
            <w:tcBorders>
              <w:top w:val="nil"/>
              <w:left w:val="nil"/>
              <w:bottom w:val="single" w:sz="4" w:space="0" w:color="auto"/>
              <w:right w:val="single" w:sz="4" w:space="0" w:color="auto"/>
            </w:tcBorders>
            <w:shd w:val="clear" w:color="000000" w:fill="6B6BFF"/>
            <w:noWrap/>
            <w:hideMark/>
          </w:tcPr>
          <w:p w14:paraId="0440BDF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12</w:t>
            </w:r>
          </w:p>
        </w:tc>
        <w:tc>
          <w:tcPr>
            <w:tcW w:w="1060" w:type="dxa"/>
            <w:tcBorders>
              <w:top w:val="nil"/>
              <w:left w:val="nil"/>
              <w:bottom w:val="single" w:sz="4" w:space="0" w:color="auto"/>
              <w:right w:val="single" w:sz="8" w:space="0" w:color="auto"/>
            </w:tcBorders>
            <w:shd w:val="clear" w:color="000000" w:fill="C0C0FF"/>
            <w:noWrap/>
            <w:hideMark/>
          </w:tcPr>
          <w:p w14:paraId="42C44C33"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2</w:t>
            </w:r>
          </w:p>
        </w:tc>
      </w:tr>
      <w:tr w:rsidR="005459E6" w:rsidRPr="005459E6" w14:paraId="5C8A94C8" w14:textId="77777777" w:rsidTr="00E37749">
        <w:trPr>
          <w:trHeight w:val="288"/>
        </w:trPr>
        <w:tc>
          <w:tcPr>
            <w:tcW w:w="1480" w:type="dxa"/>
            <w:tcBorders>
              <w:top w:val="nil"/>
              <w:left w:val="single" w:sz="8" w:space="0" w:color="auto"/>
              <w:bottom w:val="single" w:sz="4" w:space="0" w:color="000000"/>
              <w:right w:val="nil"/>
            </w:tcBorders>
            <w:shd w:val="clear" w:color="FFFFFF" w:fill="F0F0F0"/>
            <w:noWrap/>
            <w:vAlign w:val="bottom"/>
            <w:hideMark/>
          </w:tcPr>
          <w:p w14:paraId="0A25C6AF"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5 : patient</w:t>
            </w:r>
          </w:p>
        </w:tc>
        <w:tc>
          <w:tcPr>
            <w:tcW w:w="1060" w:type="dxa"/>
            <w:tcBorders>
              <w:top w:val="nil"/>
              <w:left w:val="single" w:sz="4" w:space="0" w:color="auto"/>
              <w:bottom w:val="single" w:sz="4" w:space="0" w:color="auto"/>
              <w:right w:val="single" w:sz="4" w:space="0" w:color="auto"/>
            </w:tcBorders>
            <w:shd w:val="clear" w:color="auto" w:fill="auto"/>
            <w:noWrap/>
            <w:hideMark/>
          </w:tcPr>
          <w:p w14:paraId="6643DEA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auto" w:fill="auto"/>
            <w:noWrap/>
            <w:hideMark/>
          </w:tcPr>
          <w:p w14:paraId="54C14D30"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16BAFDD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4" w:space="0" w:color="auto"/>
              <w:right w:val="single" w:sz="4" w:space="0" w:color="auto"/>
            </w:tcBorders>
            <w:shd w:val="clear" w:color="auto" w:fill="auto"/>
            <w:noWrap/>
            <w:hideMark/>
          </w:tcPr>
          <w:p w14:paraId="1EA8B497"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auto" w:fill="auto"/>
            <w:noWrap/>
            <w:hideMark/>
          </w:tcPr>
          <w:p w14:paraId="4924C10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9595FF"/>
            <w:noWrap/>
            <w:hideMark/>
          </w:tcPr>
          <w:p w14:paraId="220DD78D"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8</w:t>
            </w:r>
          </w:p>
        </w:tc>
        <w:tc>
          <w:tcPr>
            <w:tcW w:w="1060" w:type="dxa"/>
            <w:tcBorders>
              <w:top w:val="nil"/>
              <w:left w:val="nil"/>
              <w:bottom w:val="single" w:sz="4" w:space="0" w:color="auto"/>
              <w:right w:val="single" w:sz="8" w:space="0" w:color="auto"/>
            </w:tcBorders>
            <w:shd w:val="clear" w:color="000000" w:fill="C0C0FF"/>
            <w:noWrap/>
            <w:hideMark/>
          </w:tcPr>
          <w:p w14:paraId="081303EF"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r>
      <w:tr w:rsidR="005459E6" w:rsidRPr="005459E6" w14:paraId="48AAB41E" w14:textId="77777777" w:rsidTr="00E37749">
        <w:trPr>
          <w:trHeight w:val="288"/>
        </w:trPr>
        <w:tc>
          <w:tcPr>
            <w:tcW w:w="1480" w:type="dxa"/>
            <w:tcBorders>
              <w:top w:val="nil"/>
              <w:left w:val="single" w:sz="8" w:space="0" w:color="auto"/>
              <w:bottom w:val="single" w:sz="4" w:space="0" w:color="000000"/>
              <w:right w:val="nil"/>
            </w:tcBorders>
            <w:shd w:val="clear" w:color="FFFFFF" w:fill="F0F0F0"/>
            <w:noWrap/>
            <w:vAlign w:val="bottom"/>
            <w:hideMark/>
          </w:tcPr>
          <w:p w14:paraId="4B7A95E5"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6 : technology</w:t>
            </w:r>
          </w:p>
        </w:tc>
        <w:tc>
          <w:tcPr>
            <w:tcW w:w="1060" w:type="dxa"/>
            <w:tcBorders>
              <w:top w:val="nil"/>
              <w:left w:val="single" w:sz="4" w:space="0" w:color="auto"/>
              <w:bottom w:val="single" w:sz="4" w:space="0" w:color="auto"/>
              <w:right w:val="single" w:sz="4" w:space="0" w:color="auto"/>
            </w:tcBorders>
            <w:shd w:val="clear" w:color="auto" w:fill="auto"/>
            <w:noWrap/>
            <w:hideMark/>
          </w:tcPr>
          <w:p w14:paraId="38D558D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6BBE2A76"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4" w:space="0" w:color="auto"/>
              <w:right w:val="single" w:sz="4" w:space="0" w:color="auto"/>
            </w:tcBorders>
            <w:shd w:val="clear" w:color="000000" w:fill="C0C0FF"/>
            <w:noWrap/>
            <w:hideMark/>
          </w:tcPr>
          <w:p w14:paraId="796FE27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4" w:space="0" w:color="auto"/>
              <w:right w:val="single" w:sz="4" w:space="0" w:color="auto"/>
            </w:tcBorders>
            <w:shd w:val="clear" w:color="auto" w:fill="auto"/>
            <w:noWrap/>
            <w:hideMark/>
          </w:tcPr>
          <w:p w14:paraId="544F8A6E"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4" w:space="0" w:color="auto"/>
              <w:right w:val="single" w:sz="4" w:space="0" w:color="auto"/>
            </w:tcBorders>
            <w:shd w:val="clear" w:color="000000" w:fill="C0C0FF"/>
            <w:noWrap/>
            <w:hideMark/>
          </w:tcPr>
          <w:p w14:paraId="0A7E756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4" w:space="0" w:color="auto"/>
              <w:right w:val="single" w:sz="4" w:space="0" w:color="auto"/>
            </w:tcBorders>
            <w:shd w:val="clear" w:color="000000" w:fill="4040FF"/>
            <w:noWrap/>
            <w:hideMark/>
          </w:tcPr>
          <w:p w14:paraId="306AC949"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16</w:t>
            </w:r>
          </w:p>
        </w:tc>
        <w:tc>
          <w:tcPr>
            <w:tcW w:w="1060" w:type="dxa"/>
            <w:tcBorders>
              <w:top w:val="nil"/>
              <w:left w:val="nil"/>
              <w:bottom w:val="single" w:sz="4" w:space="0" w:color="auto"/>
              <w:right w:val="single" w:sz="8" w:space="0" w:color="auto"/>
            </w:tcBorders>
            <w:shd w:val="clear" w:color="000000" w:fill="C0C0FF"/>
            <w:noWrap/>
            <w:hideMark/>
          </w:tcPr>
          <w:p w14:paraId="0BB8B955"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r>
      <w:tr w:rsidR="005459E6" w:rsidRPr="005459E6" w14:paraId="75EC73C3" w14:textId="77777777" w:rsidTr="00E37749">
        <w:trPr>
          <w:trHeight w:val="300"/>
        </w:trPr>
        <w:tc>
          <w:tcPr>
            <w:tcW w:w="1480" w:type="dxa"/>
            <w:tcBorders>
              <w:top w:val="nil"/>
              <w:left w:val="single" w:sz="8" w:space="0" w:color="auto"/>
              <w:bottom w:val="single" w:sz="8" w:space="0" w:color="auto"/>
              <w:right w:val="nil"/>
            </w:tcBorders>
            <w:shd w:val="clear" w:color="FFFFFF" w:fill="F0F0F0"/>
            <w:noWrap/>
            <w:vAlign w:val="bottom"/>
            <w:hideMark/>
          </w:tcPr>
          <w:p w14:paraId="57CCAC41" w14:textId="77777777" w:rsidR="00FD7268" w:rsidRPr="005459E6" w:rsidRDefault="00FD7268" w:rsidP="00042CB0">
            <w:pPr>
              <w:spacing w:after="0" w:line="360" w:lineRule="auto"/>
              <w:jc w:val="both"/>
              <w:rPr>
                <w:rFonts w:ascii="Times New Roman" w:eastAsia="Times New Roman" w:hAnsi="Times New Roman" w:cs="Times New Roman"/>
              </w:rPr>
            </w:pPr>
            <w:r w:rsidRPr="005459E6">
              <w:rPr>
                <w:rFonts w:ascii="Times New Roman" w:eastAsia="Times New Roman" w:hAnsi="Times New Roman" w:cs="Times New Roman"/>
              </w:rPr>
              <w:t>7 : treatment</w:t>
            </w:r>
          </w:p>
        </w:tc>
        <w:tc>
          <w:tcPr>
            <w:tcW w:w="1060" w:type="dxa"/>
            <w:tcBorders>
              <w:top w:val="nil"/>
              <w:left w:val="single" w:sz="4" w:space="0" w:color="auto"/>
              <w:bottom w:val="single" w:sz="8" w:space="0" w:color="auto"/>
              <w:right w:val="single" w:sz="4" w:space="0" w:color="auto"/>
            </w:tcBorders>
            <w:shd w:val="clear" w:color="000000" w:fill="9595FF"/>
            <w:noWrap/>
            <w:hideMark/>
          </w:tcPr>
          <w:p w14:paraId="61F90CC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5</w:t>
            </w:r>
          </w:p>
        </w:tc>
        <w:tc>
          <w:tcPr>
            <w:tcW w:w="1060" w:type="dxa"/>
            <w:tcBorders>
              <w:top w:val="nil"/>
              <w:left w:val="nil"/>
              <w:bottom w:val="single" w:sz="8" w:space="0" w:color="auto"/>
              <w:right w:val="single" w:sz="4" w:space="0" w:color="auto"/>
            </w:tcBorders>
            <w:shd w:val="clear" w:color="000000" w:fill="C0C0FF"/>
            <w:noWrap/>
            <w:hideMark/>
          </w:tcPr>
          <w:p w14:paraId="2A6C4653"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4</w:t>
            </w:r>
          </w:p>
        </w:tc>
        <w:tc>
          <w:tcPr>
            <w:tcW w:w="1060" w:type="dxa"/>
            <w:tcBorders>
              <w:top w:val="nil"/>
              <w:left w:val="nil"/>
              <w:bottom w:val="single" w:sz="8" w:space="0" w:color="auto"/>
              <w:right w:val="single" w:sz="4" w:space="0" w:color="auto"/>
            </w:tcBorders>
            <w:shd w:val="clear" w:color="auto" w:fill="auto"/>
            <w:noWrap/>
            <w:hideMark/>
          </w:tcPr>
          <w:p w14:paraId="16D2A6B0"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0</w:t>
            </w:r>
          </w:p>
        </w:tc>
        <w:tc>
          <w:tcPr>
            <w:tcW w:w="1060" w:type="dxa"/>
            <w:tcBorders>
              <w:top w:val="nil"/>
              <w:left w:val="nil"/>
              <w:bottom w:val="single" w:sz="8" w:space="0" w:color="auto"/>
              <w:right w:val="single" w:sz="4" w:space="0" w:color="auto"/>
            </w:tcBorders>
            <w:shd w:val="clear" w:color="000000" w:fill="C0C0FF"/>
            <w:noWrap/>
            <w:hideMark/>
          </w:tcPr>
          <w:p w14:paraId="2A515AD2"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8" w:space="0" w:color="auto"/>
              <w:right w:val="single" w:sz="4" w:space="0" w:color="auto"/>
            </w:tcBorders>
            <w:shd w:val="clear" w:color="000000" w:fill="C0C0FF"/>
            <w:noWrap/>
            <w:hideMark/>
          </w:tcPr>
          <w:p w14:paraId="0E15FC90"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w:t>
            </w:r>
          </w:p>
        </w:tc>
        <w:tc>
          <w:tcPr>
            <w:tcW w:w="1060" w:type="dxa"/>
            <w:tcBorders>
              <w:top w:val="nil"/>
              <w:left w:val="nil"/>
              <w:bottom w:val="single" w:sz="8" w:space="0" w:color="auto"/>
              <w:right w:val="single" w:sz="4" w:space="0" w:color="auto"/>
            </w:tcBorders>
            <w:shd w:val="clear" w:color="000000" w:fill="6B6BFF"/>
            <w:noWrap/>
            <w:hideMark/>
          </w:tcPr>
          <w:p w14:paraId="7C86E4B8"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10</w:t>
            </w:r>
          </w:p>
        </w:tc>
        <w:tc>
          <w:tcPr>
            <w:tcW w:w="1060" w:type="dxa"/>
            <w:tcBorders>
              <w:top w:val="nil"/>
              <w:left w:val="nil"/>
              <w:bottom w:val="single" w:sz="8" w:space="0" w:color="auto"/>
              <w:right w:val="single" w:sz="8" w:space="0" w:color="auto"/>
            </w:tcBorders>
            <w:shd w:val="clear" w:color="000000" w:fill="9595FF"/>
            <w:noWrap/>
            <w:hideMark/>
          </w:tcPr>
          <w:p w14:paraId="5E0160D3" w14:textId="77777777" w:rsidR="00FD7268" w:rsidRPr="005459E6" w:rsidRDefault="00FD7268" w:rsidP="00DA2DCB">
            <w:pPr>
              <w:spacing w:after="0" w:line="360" w:lineRule="auto"/>
              <w:jc w:val="center"/>
              <w:rPr>
                <w:rFonts w:ascii="Times New Roman" w:eastAsia="Times New Roman" w:hAnsi="Times New Roman" w:cs="Times New Roman"/>
              </w:rPr>
            </w:pPr>
            <w:r w:rsidRPr="005459E6">
              <w:rPr>
                <w:rFonts w:ascii="Times New Roman" w:eastAsia="Times New Roman" w:hAnsi="Times New Roman" w:cs="Times New Roman"/>
              </w:rPr>
              <w:t>5</w:t>
            </w:r>
          </w:p>
        </w:tc>
      </w:tr>
    </w:tbl>
    <w:p w14:paraId="0B21FC60" w14:textId="77777777" w:rsidR="00FD7268" w:rsidRPr="005459E6" w:rsidRDefault="00FD7268" w:rsidP="00042CB0">
      <w:pPr>
        <w:spacing w:line="360" w:lineRule="auto"/>
        <w:jc w:val="both"/>
        <w:rPr>
          <w:rFonts w:ascii="Times New Roman" w:hAnsi="Times New Roman" w:cs="Times New Roman"/>
        </w:rPr>
      </w:pPr>
    </w:p>
    <w:p w14:paraId="31DB9E28" w14:textId="3AB1B50B"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The co-occurrence table (refer to </w:t>
      </w:r>
      <w:r w:rsidRPr="005459E6">
        <w:rPr>
          <w:rFonts w:ascii="Times New Roman" w:hAnsi="Times New Roman" w:cs="Times New Roman"/>
          <w:b/>
        </w:rPr>
        <w:t xml:space="preserve">Table </w:t>
      </w:r>
      <w:r w:rsidR="000E7838" w:rsidRPr="005459E6">
        <w:rPr>
          <w:rFonts w:ascii="Times New Roman" w:hAnsi="Times New Roman" w:cs="Times New Roman"/>
          <w:b/>
        </w:rPr>
        <w:t>2</w:t>
      </w:r>
      <w:r w:rsidRPr="005459E6">
        <w:rPr>
          <w:rFonts w:ascii="Times New Roman" w:hAnsi="Times New Roman" w:cs="Times New Roman"/>
        </w:rPr>
        <w:t xml:space="preserve">) was reflective of the importance of healthcare in our life and how technology could transform it. It suggests </w:t>
      </w:r>
      <w:r w:rsidR="005F70BA" w:rsidRPr="005459E6">
        <w:rPr>
          <w:rFonts w:ascii="Times New Roman" w:hAnsi="Times New Roman" w:cs="Times New Roman"/>
        </w:rPr>
        <w:t xml:space="preserve">that </w:t>
      </w:r>
      <w:r w:rsidRPr="005459E6">
        <w:rPr>
          <w:rFonts w:ascii="Times New Roman" w:hAnsi="Times New Roman" w:cs="Times New Roman"/>
        </w:rPr>
        <w:t>the Psychosomatic nature of health can be managed using technology. The interventions facilitated by A.I. and can be used for a) Self-tracking and b) Nudge Theory.</w:t>
      </w:r>
    </w:p>
    <w:p w14:paraId="514F2F9C" w14:textId="77777777" w:rsidR="00FD7268" w:rsidRPr="005459E6" w:rsidRDefault="00FD7268" w:rsidP="00042CB0">
      <w:pPr>
        <w:spacing w:line="360" w:lineRule="auto"/>
        <w:jc w:val="both"/>
        <w:rPr>
          <w:rFonts w:ascii="Times New Roman" w:hAnsi="Times New Roman" w:cs="Times New Roman"/>
        </w:rPr>
      </w:pPr>
    </w:p>
    <w:p w14:paraId="65E24DA9" w14:textId="77777777" w:rsidR="00FD7268" w:rsidRPr="005459E6" w:rsidRDefault="00FD7268" w:rsidP="00042CB0">
      <w:pPr>
        <w:spacing w:line="360" w:lineRule="auto"/>
        <w:jc w:val="both"/>
        <w:rPr>
          <w:rFonts w:ascii="Times New Roman" w:hAnsi="Times New Roman" w:cs="Times New Roman"/>
        </w:rPr>
      </w:pPr>
    </w:p>
    <w:p w14:paraId="35CA2C01" w14:textId="77777777" w:rsidR="00FD7268" w:rsidRPr="005459E6" w:rsidRDefault="00FD7268" w:rsidP="00042CB0">
      <w:pPr>
        <w:spacing w:line="360" w:lineRule="auto"/>
        <w:jc w:val="both"/>
        <w:rPr>
          <w:rFonts w:ascii="Times New Roman" w:hAnsi="Times New Roman" w:cs="Times New Roman"/>
        </w:rPr>
      </w:pPr>
    </w:p>
    <w:p w14:paraId="2806F383" w14:textId="77777777" w:rsidR="00FD7268" w:rsidRPr="005459E6" w:rsidRDefault="00FD7268" w:rsidP="00042CB0">
      <w:pPr>
        <w:spacing w:line="360" w:lineRule="auto"/>
        <w:jc w:val="both"/>
        <w:rPr>
          <w:rFonts w:ascii="Times New Roman" w:hAnsi="Times New Roman" w:cs="Times New Roman"/>
        </w:rPr>
      </w:pPr>
    </w:p>
    <w:p w14:paraId="2DB8B791" w14:textId="77777777" w:rsidR="00FD7268" w:rsidRPr="005459E6" w:rsidRDefault="00FD7268" w:rsidP="00042CB0">
      <w:pPr>
        <w:spacing w:line="360" w:lineRule="auto"/>
        <w:jc w:val="both"/>
        <w:rPr>
          <w:rFonts w:ascii="Times New Roman" w:hAnsi="Times New Roman" w:cs="Times New Roman"/>
        </w:rPr>
      </w:pPr>
    </w:p>
    <w:p w14:paraId="63A07118" w14:textId="77777777" w:rsidR="00FD7268" w:rsidRPr="005459E6" w:rsidRDefault="00FD7268" w:rsidP="00042CB0">
      <w:pPr>
        <w:spacing w:line="360" w:lineRule="auto"/>
        <w:jc w:val="both"/>
        <w:rPr>
          <w:rFonts w:ascii="Times New Roman" w:hAnsi="Times New Roman" w:cs="Times New Roman"/>
        </w:rPr>
      </w:pPr>
    </w:p>
    <w:p w14:paraId="1D1F8A5A" w14:textId="77777777" w:rsidR="00FD7268" w:rsidRPr="005459E6" w:rsidRDefault="00FD7268" w:rsidP="00042CB0">
      <w:pPr>
        <w:spacing w:line="360" w:lineRule="auto"/>
        <w:jc w:val="both"/>
        <w:rPr>
          <w:rFonts w:ascii="Times New Roman" w:hAnsi="Times New Roman" w:cs="Times New Roman"/>
        </w:rPr>
      </w:pPr>
    </w:p>
    <w:p w14:paraId="43199C17" w14:textId="77777777" w:rsidR="00987432" w:rsidRPr="005459E6" w:rsidRDefault="00987432" w:rsidP="00042CB0">
      <w:pPr>
        <w:spacing w:line="360" w:lineRule="auto"/>
        <w:jc w:val="both"/>
        <w:rPr>
          <w:rFonts w:ascii="Times New Roman" w:hAnsi="Times New Roman" w:cs="Times New Roman"/>
        </w:rPr>
      </w:pPr>
    </w:p>
    <w:p w14:paraId="7308D767" w14:textId="1DBAF7A3" w:rsidR="00FD7268" w:rsidRPr="005459E6" w:rsidRDefault="00FD7268"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Insights from Qualitative Content Analysis</w:t>
      </w:r>
    </w:p>
    <w:p w14:paraId="353C8E98" w14:textId="441C19EB"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Thus, this confirmatory stage was run with the help of relevant </w:t>
      </w:r>
      <w:r w:rsidR="00055BFA" w:rsidRPr="005459E6">
        <w:rPr>
          <w:rFonts w:ascii="Times New Roman" w:hAnsi="Times New Roman" w:cs="Times New Roman"/>
        </w:rPr>
        <w:t>case studies</w:t>
      </w:r>
      <w:r w:rsidRPr="005459E6">
        <w:rPr>
          <w:rFonts w:ascii="Times New Roman" w:hAnsi="Times New Roman" w:cs="Times New Roman"/>
        </w:rPr>
        <w:t xml:space="preserve"> driven </w:t>
      </w:r>
      <w:r w:rsidR="006D7C4D" w:rsidRPr="005459E6">
        <w:rPr>
          <w:rFonts w:ascii="Times New Roman" w:hAnsi="Times New Roman" w:cs="Times New Roman"/>
        </w:rPr>
        <w:t>by</w:t>
      </w:r>
      <w:r w:rsidRPr="005459E6">
        <w:rPr>
          <w:rFonts w:ascii="Times New Roman" w:hAnsi="Times New Roman" w:cs="Times New Roman"/>
        </w:rPr>
        <w:t xml:space="preserve"> specific queries and keywords that were related to the role of technology </w:t>
      </w:r>
      <w:r w:rsidR="006D7C4D" w:rsidRPr="005459E6">
        <w:rPr>
          <w:rFonts w:ascii="Times New Roman" w:hAnsi="Times New Roman" w:cs="Times New Roman"/>
        </w:rPr>
        <w:t>in</w:t>
      </w:r>
      <w:r w:rsidRPr="005459E6">
        <w:rPr>
          <w:rFonts w:ascii="Times New Roman" w:hAnsi="Times New Roman" w:cs="Times New Roman"/>
        </w:rPr>
        <w:t xml:space="preserve"> the betterment of psychological health. </w:t>
      </w:r>
    </w:p>
    <w:p w14:paraId="30E9B2EC" w14:textId="0C67E338"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 xml:space="preserve">Qualitative Content Analysis (QCA) was used to explore a relationship between ‘psychosomatic health' and </w:t>
      </w:r>
      <w:r w:rsidR="006D7C4D" w:rsidRPr="005459E6">
        <w:rPr>
          <w:rFonts w:ascii="Times New Roman" w:hAnsi="Times New Roman" w:cs="Times New Roman"/>
        </w:rPr>
        <w:t xml:space="preserve">the </w:t>
      </w:r>
      <w:r w:rsidRPr="005459E6">
        <w:rPr>
          <w:rFonts w:ascii="Times New Roman" w:hAnsi="Times New Roman" w:cs="Times New Roman"/>
        </w:rPr>
        <w:t>'role of technology</w:t>
      </w:r>
      <w:r w:rsidR="005F70BA" w:rsidRPr="005459E6">
        <w:rPr>
          <w:rFonts w:ascii="Times New Roman" w:hAnsi="Times New Roman" w:cs="Times New Roman"/>
        </w:rPr>
        <w:t>’</w:t>
      </w:r>
      <w:r w:rsidRPr="005459E6">
        <w:rPr>
          <w:rFonts w:ascii="Times New Roman" w:hAnsi="Times New Roman" w:cs="Times New Roman"/>
        </w:rPr>
        <w:t xml:space="preserve"> to improve well-being. </w:t>
      </w:r>
      <w:r w:rsidR="00055BFA" w:rsidRPr="005459E6">
        <w:rPr>
          <w:rFonts w:ascii="Times New Roman" w:hAnsi="Times New Roman" w:cs="Times New Roman"/>
        </w:rPr>
        <w:t xml:space="preserve"> </w:t>
      </w:r>
      <w:r w:rsidRPr="005459E6">
        <w:rPr>
          <w:rFonts w:ascii="Times New Roman" w:hAnsi="Times New Roman" w:cs="Times New Roman"/>
        </w:rPr>
        <w:t xml:space="preserve">This stage of research triangulated </w:t>
      </w:r>
      <w:r w:rsidR="00055BFA" w:rsidRPr="005459E6">
        <w:rPr>
          <w:rFonts w:ascii="Times New Roman" w:hAnsi="Times New Roman" w:cs="Times New Roman"/>
        </w:rPr>
        <w:t xml:space="preserve">findings </w:t>
      </w:r>
      <w:r w:rsidRPr="005459E6">
        <w:rPr>
          <w:rFonts w:ascii="Times New Roman" w:hAnsi="Times New Roman" w:cs="Times New Roman"/>
        </w:rPr>
        <w:t>with several illustrations such as Co-occurrence Table, Thematic Analysis and Cluster Analysis.</w:t>
      </w:r>
    </w:p>
    <w:p w14:paraId="5D39C9CE" w14:textId="1A411DC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These illustrations helped establish linkages and analyses intervention between technology and mental health.</w:t>
      </w:r>
      <w:r w:rsidR="00055BFA" w:rsidRPr="005459E6">
        <w:rPr>
          <w:rFonts w:ascii="Times New Roman" w:hAnsi="Times New Roman" w:cs="Times New Roman"/>
        </w:rPr>
        <w:t xml:space="preserve"> </w:t>
      </w:r>
      <w:r w:rsidRPr="005459E6">
        <w:rPr>
          <w:rFonts w:ascii="Times New Roman" w:hAnsi="Times New Roman" w:cs="Times New Roman"/>
        </w:rPr>
        <w:t xml:space="preserve">Use of Auto-Coding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{"citationItems":[{"id":"ITEM-1","itemData":{"abstract":"Researchers often employ qualitative research approaches but large volumes of textual data pose considerable challenges to manual coding. In this research, we explore how to implement fully or semi-automatic coding on textual data (specifically, electronic messages) by leveraging Natural Language Processing (NLP). In particular, we compare the performance of human-developed NLP rules to those inferred by machine learning algorithms. The experimental results suggest that NLP with machine learning can be an effective way to assist researchers in coding qualitative data.","author":[{"dropping-particle":"","family":"Crowston","given":"Kevin;","non-dropping-particle":"","parse-names":false,"suffix":""},{"dropping-particle":"","family":"Liu","given":"Xiaoxhong;","non-dropping-particle":"","parse-names":false,"suffix":""},{"dropping-particle":"","family":"Allen","given":"Eileen E.;","non-dropping-particle":"","parse-names":false,"suffix":""},{"dropping-particle":"","family":"Heckman","given":"Robert","non-dropping-particle":"","parse-names":false,"suffix":""}],"id":"ITEM-1","issued":{"date-parts":[["2005"]]},"title":"Machine Learning and Rule-Based Automated Coding of Qualitative Data","type":"article-journal"},"uris":["http://www.mendeley.com/documents/?uuid=55d37995-56e3-4f50-82c0-65d579b22d90"]}],"mendeley":{"formattedCitation":"(Crowston et al., 2005)","plainTextFormattedCitation":"(Crowston et al., 2005)","previouslyFormattedCitation":"(Crowston et al.,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(Crowston et al., 2005)</w:t>
      </w:r>
      <w:r w:rsidRPr="005459E6">
        <w:rPr>
          <w:rFonts w:ascii="Times New Roman" w:hAnsi="Times New Roman" w:cs="Times New Roman"/>
        </w:rPr>
        <w:fldChar w:fldCharType="end"/>
      </w:r>
      <w:r w:rsidRPr="005459E6">
        <w:rPr>
          <w:rFonts w:ascii="Times New Roman" w:hAnsi="Times New Roman" w:cs="Times New Roman"/>
        </w:rPr>
        <w:t xml:space="preserve"> and Sentiment analysis </w:t>
      </w:r>
      <w:r w:rsidRPr="005459E6">
        <w:rPr>
          <w:rFonts w:ascii="Times New Roman" w:hAnsi="Times New Roman" w:cs="Times New Roman"/>
        </w:rPr>
        <w:fldChar w:fldCharType="begin" w:fldLock="1"/>
      </w:r>
      <w:r w:rsidR="00E3174A" w:rsidRPr="005459E6">
        <w:rPr>
          <w:rFonts w:ascii="Times New Roman" w:hAnsi="Times New Roman" w:cs="Times New Roman"/>
        </w:rPr>
        <w:instrText>ADDIN CSL_CITATION {"citationItems":[{"id":"ITEM-1","itemData":{"abstract":"Social media are influencing the decision-­‐making tourist on holiday destination choice. Comments in forums blog and websites, and social networks are a source of information increasingly taken into account by the end customer (active in the Word on Mouth) and by the tour company, aware of the relevance of that content. The growing information offered through online portals gives tourists the possibility to select their destinations from opinions. This article discusses the methodology of sentiment analysis and opinion mining, detecting keywords and linking message with a particular semantic field to find the key concepts of online comments made in Booking and TripAdvisor for tourists staying in hotels. We conclude that, thanks to the semantic fields, hotels have platforms for observing strengths and weaknesses.","author":[{"dropping-particle":"","family":"Fondevila-­‐gascón","given":"Joan-­‐francesc","non-dropping-particle":"","parse-names":false,"suffix":""},{"dropping-particle":"","family":"Mir-­‐bernal","given":"Pedro","non-dropping-particle":"","parse-names":false,"suffix":""},{"dropping-particle":"","family":"Puiggròs-­‐román","given":"Elena","non-dropping-particle":"","parse-names":false,"suffix":""},{"dropping-particle":"","family":"Muñoz-­‐gonzález","given":"Mònica","non-dropping-particle":"","parse-names":false,"suffix":""},{"dropping-particle":"","family":"Berbel-­‐giménez","given":"Gaspar","non-dropping-particle":"","parse-names":false,"suffix":""},{"dropping-particle":"","family":"Gutiérrez-­‐aragón","given":"Óscar","non-dropping-particle":"","parse-names":false,"suffix":""},{"dropping-particle":"","family":"Feliu-­‐roé","given":"Lluís","non-dropping-particle":"","parse-names":false,"suffix":""},{"dropping-particle":"","family":"Santana-­‐lópez","given":"Eva","non-dropping-particle":"","parse-names":false,"suffix":""},{"dropping-particle":"","family":"Rom-­‐rodríguez","given":"Josep","non-dropping-particle":"","parse-names":false,"suffix":""},{"dropping-particle":"","family":"Sorribas-­‐morales","given":"Carolina","non-dropping-particle":"","parse-names":false,"suffix":""},{"dropping-particle":"","family":"Crespo","given":"Javier L","non-dropping-particle":"","parse-names":false,"suffix":""}],"id":"ITEM-1","issue":"5","issued":{"date-parts":[["2016"]]},"page":"21-31","title":"Sentiment analysis as a qualitative methodology to analyze social media: study case of tourism","type":"article-journal"},"uris":["http://www.mendeley.com/documents/?uuid=496d2845-51ef-4005-af03-addbcbb36397"]}],"mendeley":{"formattedCitation":"(Fondevila-­‐gascón et al., 2016)","manualFormatting":"(Fondevila-gascón et al., 2016)","plainTextFormattedCitation":"(Fondevila-­‐gascón et al., 2016)","previouslyFormattedCitation":"(Fondevila-­‐gascón et al.,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(Fondevila-gascón et al., 2016)</w:t>
      </w:r>
      <w:r w:rsidRPr="005459E6">
        <w:rPr>
          <w:rFonts w:ascii="Times New Roman" w:hAnsi="Times New Roman" w:cs="Times New Roman"/>
        </w:rPr>
        <w:fldChar w:fldCharType="end"/>
      </w:r>
      <w:r w:rsidRPr="005459E6">
        <w:rPr>
          <w:rFonts w:ascii="Times New Roman" w:hAnsi="Times New Roman" w:cs="Times New Roman"/>
        </w:rPr>
        <w:t xml:space="preserve">  made sure to avoid bias during coding the content from the articles (Refer </w:t>
      </w:r>
      <w:r w:rsidRPr="005459E6">
        <w:rPr>
          <w:rFonts w:ascii="Times New Roman" w:hAnsi="Times New Roman" w:cs="Times New Roman"/>
          <w:b/>
          <w:bCs/>
        </w:rPr>
        <w:t>APPENDIX C</w:t>
      </w:r>
      <w:r w:rsidRPr="005459E6">
        <w:rPr>
          <w:rFonts w:ascii="Times New Roman" w:hAnsi="Times New Roman" w:cs="Times New Roman"/>
        </w:rPr>
        <w:t>).</w:t>
      </w:r>
    </w:p>
    <w:p w14:paraId="0CFFBC08"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The study suggested that 'Stress' has a statistically significant relationship with 'Thearaputic_Intervention'. The study did reveal that Thearaputic_Intervention (as an independent variable) was statistically significant to predict stress.</w:t>
      </w:r>
    </w:p>
    <w:p w14:paraId="49DD2A5D" w14:textId="75E848C4" w:rsidR="00FD7268" w:rsidRPr="005459E6" w:rsidRDefault="00FD7268" w:rsidP="00042CB0">
      <w:pPr>
        <w:spacing w:line="360" w:lineRule="auto"/>
        <w:jc w:val="both"/>
        <w:rPr>
          <w:rFonts w:ascii="Times New Roman" w:hAnsi="Times New Roman" w:cs="Times New Roman"/>
          <w:b/>
          <w:bCs/>
        </w:rPr>
      </w:pPr>
      <w:r w:rsidRPr="005459E6">
        <w:rPr>
          <w:rFonts w:ascii="Times New Roman" w:hAnsi="Times New Roman" w:cs="Times New Roman"/>
          <w:b/>
          <w:bCs/>
        </w:rPr>
        <w:t xml:space="preserve">Ultimately, </w:t>
      </w:r>
      <w:r w:rsidR="00DC3684" w:rsidRPr="005459E6">
        <w:rPr>
          <w:rFonts w:ascii="Times New Roman" w:hAnsi="Times New Roman" w:cs="Times New Roman"/>
          <w:b/>
          <w:bCs/>
        </w:rPr>
        <w:t>STAGE</w:t>
      </w:r>
      <w:r w:rsidRPr="005459E6">
        <w:rPr>
          <w:rFonts w:ascii="Times New Roman" w:hAnsi="Times New Roman" w:cs="Times New Roman"/>
          <w:b/>
          <w:bCs/>
        </w:rPr>
        <w:t xml:space="preserve"> II suggested that "Role_of_Technology" is applicable for "Therapeutic_Intervention."</w:t>
      </w:r>
    </w:p>
    <w:p w14:paraId="44AF191C" w14:textId="77777777" w:rsidR="00FD7268" w:rsidRPr="005459E6" w:rsidRDefault="00FD7268" w:rsidP="00042CB0">
      <w:pPr>
        <w:spacing w:line="360" w:lineRule="auto"/>
        <w:jc w:val="both"/>
        <w:rPr>
          <w:rFonts w:ascii="Times New Roman" w:hAnsi="Times New Roman" w:cs="Times New Roman"/>
        </w:rPr>
      </w:pPr>
      <w:r w:rsidRPr="005459E6">
        <w:rPr>
          <w:rFonts w:ascii="Times New Roman" w:hAnsi="Times New Roman" w:cs="Times New Roman"/>
        </w:rPr>
        <w:t>The stress prediction was made in the next stage (Stage 3) using linear regressions.</w:t>
      </w:r>
    </w:p>
    <w:p w14:paraId="0C633386" w14:textId="77777777" w:rsidR="00FD7268" w:rsidRPr="005459E6" w:rsidRDefault="00FD7268" w:rsidP="00042CB0">
      <w:pPr>
        <w:spacing w:line="360" w:lineRule="auto"/>
        <w:jc w:val="both"/>
        <w:rPr>
          <w:rFonts w:ascii="Times New Roman" w:hAnsi="Times New Roman" w:cs="Times New Roman"/>
        </w:rPr>
      </w:pPr>
    </w:p>
    <w:p w14:paraId="54BC41D1" w14:textId="77777777" w:rsidR="00FD7268" w:rsidRPr="005459E6" w:rsidRDefault="00FD7268" w:rsidP="00042CB0">
      <w:pPr>
        <w:spacing w:line="360" w:lineRule="auto"/>
        <w:jc w:val="both"/>
        <w:rPr>
          <w:rFonts w:ascii="Times New Roman" w:hAnsi="Times New Roman" w:cs="Times New Roman"/>
        </w:rPr>
      </w:pPr>
    </w:p>
    <w:p w14:paraId="5535DA39" w14:textId="77777777" w:rsidR="00FD7268" w:rsidRPr="005459E6" w:rsidRDefault="00FD7268" w:rsidP="00042CB0">
      <w:pPr>
        <w:spacing w:line="360" w:lineRule="auto"/>
        <w:jc w:val="both"/>
        <w:rPr>
          <w:rFonts w:ascii="Times New Roman" w:hAnsi="Times New Roman" w:cs="Times New Roman"/>
        </w:rPr>
      </w:pPr>
    </w:p>
    <w:p w14:paraId="07DEDE99" w14:textId="77777777" w:rsidR="00AA7A12" w:rsidRPr="005459E6" w:rsidRDefault="00AA7A12" w:rsidP="00042CB0">
      <w:pPr>
        <w:spacing w:line="360" w:lineRule="auto"/>
        <w:jc w:val="both"/>
        <w:rPr>
          <w:rFonts w:ascii="Times New Roman" w:hAnsi="Times New Roman" w:cs="Times New Roman"/>
        </w:rPr>
      </w:pPr>
    </w:p>
    <w:p w14:paraId="0E23AB52" w14:textId="77777777" w:rsidR="00FD7268" w:rsidRPr="005459E6" w:rsidRDefault="00FD7268" w:rsidP="00042CB0">
      <w:pPr>
        <w:spacing w:line="360" w:lineRule="auto"/>
        <w:jc w:val="both"/>
        <w:rPr>
          <w:rFonts w:ascii="Times New Roman" w:hAnsi="Times New Roman" w:cs="Times New Roman"/>
        </w:rPr>
      </w:pPr>
    </w:p>
    <w:p w14:paraId="2F21158C" w14:textId="77777777" w:rsidR="00FD7268" w:rsidRPr="005459E6" w:rsidRDefault="00FD7268" w:rsidP="00042CB0">
      <w:pPr>
        <w:spacing w:line="360" w:lineRule="auto"/>
        <w:jc w:val="both"/>
        <w:rPr>
          <w:rFonts w:ascii="Times New Roman" w:hAnsi="Times New Roman" w:cs="Times New Roman"/>
        </w:rPr>
      </w:pPr>
    </w:p>
    <w:p w14:paraId="35D23DFF" w14:textId="77777777" w:rsidR="00FD7268" w:rsidRPr="005459E6" w:rsidRDefault="00FD7268" w:rsidP="00042CB0">
      <w:pPr>
        <w:spacing w:line="360" w:lineRule="auto"/>
        <w:jc w:val="both"/>
        <w:rPr>
          <w:rFonts w:ascii="Times New Roman" w:hAnsi="Times New Roman" w:cs="Times New Roman"/>
        </w:rPr>
      </w:pPr>
    </w:p>
    <w:p w14:paraId="5686C839" w14:textId="77777777" w:rsidR="00987432" w:rsidRPr="005459E6" w:rsidRDefault="00987432" w:rsidP="00042CB0">
      <w:pPr>
        <w:spacing w:line="360" w:lineRule="auto"/>
        <w:jc w:val="both"/>
        <w:rPr>
          <w:rFonts w:ascii="Times New Roman" w:hAnsi="Times New Roman" w:cs="Times New Roman"/>
        </w:rPr>
      </w:pPr>
    </w:p>
    <w:p w14:paraId="54027D90" w14:textId="77777777" w:rsidR="00FD7268" w:rsidRPr="005459E6" w:rsidRDefault="00FD7268" w:rsidP="00042CB0">
      <w:pPr>
        <w:spacing w:line="360" w:lineRule="auto"/>
        <w:jc w:val="both"/>
        <w:rPr>
          <w:rFonts w:ascii="Times New Roman" w:hAnsi="Times New Roman" w:cs="Times New Roman"/>
        </w:rPr>
      </w:pPr>
    </w:p>
    <w:p w14:paraId="2AAB3BE9" w14:textId="77777777"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312" w:name="_Toc85542453"/>
      <w:bookmarkStart w:id="313" w:name="_Toc87349526"/>
      <w:bookmarkStart w:id="314" w:name="_Toc87349639"/>
      <w:bookmarkStart w:id="315" w:name="_Toc87349746"/>
      <w:bookmarkStart w:id="316" w:name="_Toc107248318"/>
      <w:r w:rsidRPr="005459E6">
        <w:rPr>
          <w:rFonts w:ascii="Times New Roman" w:hAnsi="Times New Roman" w:cs="Times New Roman"/>
          <w:color w:val="auto"/>
          <w:sz w:val="22"/>
          <w:szCs w:val="22"/>
        </w:rPr>
        <w:t>Linear Regression</w:t>
      </w:r>
      <w:bookmarkEnd w:id="312"/>
      <w:bookmarkEnd w:id="313"/>
      <w:bookmarkEnd w:id="314"/>
      <w:bookmarkEnd w:id="315"/>
      <w:bookmarkEnd w:id="316"/>
      <w:r w:rsidRPr="005459E6">
        <w:rPr>
          <w:rFonts w:ascii="Times New Roman" w:hAnsi="Times New Roman" w:cs="Times New Roman"/>
          <w:color w:val="auto"/>
          <w:sz w:val="22"/>
          <w:szCs w:val="22"/>
        </w:rPr>
        <w:t xml:space="preserve">  </w:t>
      </w:r>
    </w:p>
    <w:p w14:paraId="02ABB065" w14:textId="77777777" w:rsidR="00285952" w:rsidRPr="005459E6" w:rsidRDefault="00285952" w:rsidP="00285952">
      <w:pPr>
        <w:spacing w:line="360" w:lineRule="auto"/>
        <w:jc w:val="both"/>
        <w:rPr>
          <w:rFonts w:ascii="Times New Roman" w:hAnsi="Times New Roman" w:cs="Times New Roman"/>
        </w:rPr>
      </w:pPr>
      <w:r w:rsidRPr="005459E6">
        <w:rPr>
          <w:rFonts w:ascii="Times New Roman" w:hAnsi="Times New Roman" w:cs="Times New Roman"/>
        </w:rPr>
        <w:t>To answer the study question, multiple linear regression will be utilized to examine assuming independent variables 1, 2, and 3 are capable of predicting the dependent variable. A multiple linear regression assesses the connection between a set of nominal, ordinal, or interval/ratio predictor variables on an interval/ratio criterion variable. The following will be utilized in the main effects model (regression equation): B1*independent variable 1 + 2*independent variable 2 + 3*independent variable 3 +... + 0, where s denotes unstandardized beta coefficients.</w:t>
      </w:r>
    </w:p>
    <w:p w14:paraId="0F9AB610" w14:textId="32AB6115" w:rsidR="00285952" w:rsidRPr="005459E6" w:rsidRDefault="00285952" w:rsidP="00285952">
      <w:pPr>
        <w:spacing w:line="360" w:lineRule="auto"/>
        <w:jc w:val="both"/>
        <w:rPr>
          <w:rFonts w:ascii="Times New Roman" w:hAnsi="Times New Roman" w:cs="Times New Roman"/>
        </w:rPr>
      </w:pPr>
      <w:r w:rsidRPr="005459E6">
        <w:rPr>
          <w:rFonts w:ascii="Times New Roman" w:hAnsi="Times New Roman" w:cs="Times New Roman"/>
        </w:rPr>
        <w:t xml:space="preserve">The residual normality, homoscedasticity, absence of multicollinearity, and absence of outlier’s assumptions will be tested. The normality of </w:t>
      </w:r>
      <w:r w:rsidR="006723C2" w:rsidRPr="005459E6">
        <w:rPr>
          <w:rFonts w:ascii="Times New Roman" w:hAnsi="Times New Roman" w:cs="Times New Roman"/>
        </w:rPr>
        <w:t xml:space="preserve">the </w:t>
      </w:r>
      <w:r w:rsidRPr="005459E6">
        <w:rPr>
          <w:rFonts w:ascii="Times New Roman" w:hAnsi="Times New Roman" w:cs="Times New Roman"/>
        </w:rPr>
        <w:t xml:space="preserve">residuals hypothesis argues that the residuals from a regression model have a normal distribution (a bell-shaped curve). The residuals will be checked for normality using a Q-Q scatterplot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{"citationItems":[{"id":"ITEM-1","itemData":{"author":[{"dropping-particle":"","family":"Field","given":"A","non-dropping-particle":"","parse-names":false,"suffix":""}],"id":"ITEM-1","issued":{"date-parts":[["2017"]]},"title":"Discovering statistics using IBM SPSS statistics: north American edition: sage","type":"article-journal"},"uris":["http://www.mendeley.com/documents/?uuid=d72deae6-fb2f-43ba-85ff-3262b13cf663"]},{"id":"ITEM-2","itemData":{"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arXiv preprint arXiv:1406.5823","id":"ITEM-2","issued":{"date-parts":[["2014"]]},"title":"Fitting linear mixed-effects models using lme4","type":"article-journal"},"uris":["http://www.mendeley.com/documents/?uuid=2f016ebb-0b39-4ac5-b6ed-00615af39757"]},{"id":"ITEM-3","itemData":{"ISSN":"1939-1463","author":[{"dropping-particle":"","family":"DeCarlo","given":"Lawrence T","non-dropping-particle":"","parse-names":false,"suffix":""}],"container-title":"Psychological methods","id":"ITEM-3","issue":"3","issued":{"date-parts":[["1997"]]},"page":"292","publisher":"American Psychological Association","title":"On the meaning and use of kurtosis.","type":"article-journal","volume":"2"},"uris":["http://www.mendeley.com/documents/?uuid=50ebc4d0-e424-4713-855d-30c7c6494fa3"]}],"mendeley":{"formattedCitation":"(Bates et al., 2014; DeCarlo, 1997; A. Field, 2017)","manualFormatting":"(Bates et al., 2014; DeCarlo, 1997; Field, 2017)","plainTextFormattedCitation":"(Bates et al., 2014; DeCarlo, 1997; A. Field, 2017)","previouslyFormattedCitation":"(Bates et al., 2014; DeCarlo, 1997; A. Field,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(Bates et al., 2014; DeCarlo, 1997; Field, 2017)</w:t>
      </w:r>
      <w:r w:rsidRPr="005459E6">
        <w:rPr>
          <w:rFonts w:ascii="Times New Roman" w:hAnsi="Times New Roman" w:cs="Times New Roman"/>
        </w:rPr>
        <w:fldChar w:fldCharType="end"/>
      </w:r>
      <w:r w:rsidRPr="005459E6">
        <w:rPr>
          <w:rFonts w:ascii="Times New Roman" w:hAnsi="Times New Roman" w:cs="Times New Roman"/>
        </w:rPr>
        <w:t>.</w:t>
      </w:r>
    </w:p>
    <w:p w14:paraId="3D472D1A" w14:textId="77777777" w:rsidR="00285952" w:rsidRPr="005459E6" w:rsidRDefault="00285952" w:rsidP="00285952">
      <w:pPr>
        <w:spacing w:line="360" w:lineRule="auto"/>
        <w:jc w:val="both"/>
        <w:rPr>
          <w:rFonts w:ascii="Times New Roman" w:hAnsi="Times New Roman" w:cs="Times New Roman"/>
        </w:rPr>
      </w:pPr>
      <w:r w:rsidRPr="005459E6">
        <w:rPr>
          <w:rFonts w:ascii="Times New Roman" w:hAnsi="Times New Roman" w:cs="Times New Roman"/>
        </w:rPr>
        <w:t xml:space="preserve">In order for homoscedasticity to be valid, residuals and fitted values must not be related. To test the assumption, a scatterplot of residuals and fitted values will be employed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{"citationItems":[{"id":"ITEM-1","itemData":{"author":[{"dropping-particle":"","family":"Field","given":"A","non-dropping-particle":"","parse-names":false,"suffix":""}],"id":"ITEM-1","issued":{"date-parts":[["2017"]]},"title":"Discovering statistics using IBM SPSS statistics: north American edition: sage","type":"article-journal"},"uris":["http://www.mendeley.com/documents/?uuid=d72deae6-fb2f-43ba-85ff-3262b13cf663"]},{"id":"ITEM-2","itemData":{"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arXiv preprint arXiv:1406.5823","id":"ITEM-2","issued":{"date-parts":[["2014"]]},"title":"Fitting linear mixed-effects models using lme4","type":"article-journal"},"uris":["http://www.mendeley.com/documents/?uuid=2f016ebb-0b39-4ac5-b6ed-00615af39757"]},{"id":"ITEM-3","itemData":{"ISSN":"1531-7714","author":[{"dropping-particle":"","family":"Osborne","given":"Jason W","non-dropping-particle":"","parse-names":false,"suffix":""},{"dropping-particle":"","family":"Waters","given":"Elaine","non-dropping-particle":"","parse-names":false,"suffix":""}],"container-title":"Practical assessment, research, and evaluation","id":"ITEM-3","issue":"1","issued":{"date-parts":[["2002"]]},"page":"2","title":"Four assumptions of multiple regression that researchers should always test","type":"article-journal","volume":"8"},"uris":["http://www.mendeley.com/documents/?uuid=6f471457-0b7b-43b4-8274-31b6d9450842"]}],"mendeley":{"formattedCitation":"(Bates et al., 2014; A. Field, 2017; Osborne &amp; Waters, 2002)","manualFormatting":"(Bates et al., 2014; Field, 2017; Osborne &amp; Waters, 2002)","plainTextFormattedCitation":"(Bates et al., 2014; A. Field, 2017; Osborne &amp; Waters, 2002)","previouslyFormattedCitation":"(Bates et al., 2014; A. Field, 2017; Osborne &amp; Waters, 2002)"},"properties":{"noteIndex":0},"schema":"https://github.com/citation-style-language/schema/raw/master/csl-citation.json"}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(Bates et al., 2014; Field, 2017; Osborne &amp; Waters, 2002)</w:t>
      </w:r>
      <w:r w:rsidRPr="005459E6">
        <w:rPr>
          <w:rFonts w:ascii="Times New Roman" w:hAnsi="Times New Roman" w:cs="Times New Roman"/>
        </w:rPr>
        <w:fldChar w:fldCharType="end"/>
      </w:r>
      <w:r w:rsidRPr="005459E6">
        <w:rPr>
          <w:rFonts w:ascii="Times New Roman" w:hAnsi="Times New Roman" w:cs="Times New Roman"/>
        </w:rPr>
        <w:t xml:space="preserve">. Multicollinearity is not implied by the absence of this assumption, indicating that the factors are not too closely related, and variance inflation factors will be employed to examine them (VIF). VIF values larger than ten imply multicollinearity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{"citationItems":[{"id":"ITEM-1","itemData":{"ISBN":"1412974836","author":[{"dropping-particle":"","family":"Menard","given":"Scott","non-dropping-particle":"","parse-names":false,"suffix":""}],"id":"ITEM-1","issued":{"date-parts":[["2010"]]},"publisher":"Sage","title":"Logistic regression: From introductory to advanced concepts and applications","type":"book"},"uris":["http://www.mendeley.com/documents/?uuid=89bfc08b-93f8-4f32-9a74-6415b3e92f1e"]}],"mendeley":{"formattedCitation":"(Menard, 2010)","plainTextFormattedCitation":"(Menard, 2010)","previouslyFormattedCitation":"(Menard,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(Menard, 2010)</w:t>
      </w:r>
      <w:r w:rsidRPr="005459E6">
        <w:rPr>
          <w:rFonts w:ascii="Times New Roman" w:hAnsi="Times New Roman" w:cs="Times New Roman"/>
        </w:rPr>
        <w:fldChar w:fldCharType="end"/>
      </w:r>
      <w:r w:rsidRPr="005459E6">
        <w:rPr>
          <w:rFonts w:ascii="Times New Roman" w:hAnsi="Times New Roman" w:cs="Times New Roman"/>
        </w:rPr>
        <w:t xml:space="preserve">.  Any observation with a studentized residual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{"citationItems":[{"id":"ITEM-1","itemData":{"author":[{"dropping-particle":"","family":"Field","given":"A","non-dropping-particle":"","parse-names":false,"suffix":""}],"id":"ITEM-1","issued":{"date-parts":[["2017"]]},"title":"Discovering statistics using IBM SPSS statistics: north American edition: sage","type":"article-journal"},"uris":["http://www.mendeley.com/documents/?uuid=d72deae6-fb2f-43ba-85ff-3262b13cf663"]},{"id":"ITEM-2","itemData":{"ISBN":"1317805925","author":[{"dropping-particle":"","family":"Pituch","given":"Keenan A","non-dropping-particle":"","parse-names":false,"suffix":""},{"dropping-particle":"","family":"Stevens","given":"James P","non-dropping-particle":"","parse-names":false,"suffix":""}],"id":"ITEM-2","issued":{"date-parts":[["2015"]]},"publisher":"Routledge","title":"Applied multivariate statistics for the social sciences: Analyses with SAS and IBM’s SPSS","type":"book"},"uris":["http://www.mendeley.com/documents/?uuid=98183dbd-50c6-4ba9-96e7-9a754565426a"]}],"mendeley":{"formattedCitation":"(A. Field, 2017; Pituch &amp; Stevens, 2015)","manualFormatting":"(Field, 2017; Pituch &amp; Stevens, 2015)","plainTextFormattedCitation":"(A. Field, 2017; Pituch &amp; Stevens, 2015)","previouslyFormattedCitation":"(A. Field, 2017; Pituch &amp; Stevens,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2017; Pituch &amp; Stevens, 2015)</w:t>
      </w:r>
      <w:r w:rsidRPr="005459E6">
        <w:rPr>
          <w:rFonts w:ascii="Times New Roman" w:hAnsi="Times New Roman" w:cs="Times New Roman"/>
        </w:rPr>
        <w:fldChar w:fldCharType="end"/>
      </w:r>
      <w:r w:rsidRPr="005459E6">
        <w:rPr>
          <w:rFonts w:ascii="Times New Roman" w:hAnsi="Times New Roman" w:cs="Times New Roman"/>
        </w:rPr>
        <w:t xml:space="preserve"> that surpasses the .999 quantile of a t-distribution with degrees of freedom of n-1, where n is the sample size, is deemed to be devoid of outliers.</w:t>
      </w:r>
    </w:p>
    <w:p w14:paraId="6E9A0C25" w14:textId="261E5F80" w:rsidR="00285952" w:rsidRPr="005459E6" w:rsidRDefault="00285952" w:rsidP="00285952">
      <w:pPr>
        <w:spacing w:line="360" w:lineRule="auto"/>
        <w:jc w:val="both"/>
        <w:rPr>
          <w:rFonts w:ascii="Times New Roman" w:hAnsi="Times New Roman" w:cs="Times New Roman"/>
        </w:rPr>
      </w:pPr>
      <w:r w:rsidRPr="005459E6">
        <w:rPr>
          <w:rFonts w:ascii="Times New Roman" w:hAnsi="Times New Roman" w:cs="Times New Roman"/>
        </w:rPr>
        <w:t>Any observation with a studentized residual that exceeds the</w:t>
      </w:r>
      <w:r w:rsidR="006723C2" w:rsidRPr="005459E6">
        <w:rPr>
          <w:rFonts w:ascii="Times New Roman" w:hAnsi="Times New Roman" w:cs="Times New Roman"/>
        </w:rPr>
        <w:t xml:space="preserve"> </w:t>
      </w:r>
      <w:r w:rsidRPr="005459E6">
        <w:rPr>
          <w:rFonts w:ascii="Times New Roman" w:hAnsi="Times New Roman" w:cs="Times New Roman"/>
        </w:rPr>
        <w:t>.999 quantile</w:t>
      </w:r>
      <w:r w:rsidR="006723C2" w:rsidRPr="005459E6">
        <w:rPr>
          <w:rFonts w:ascii="Times New Roman" w:hAnsi="Times New Roman" w:cs="Times New Roman"/>
        </w:rPr>
        <w:t>s</w:t>
      </w:r>
      <w:r w:rsidRPr="005459E6">
        <w:rPr>
          <w:rFonts w:ascii="Times New Roman" w:hAnsi="Times New Roman" w:cs="Times New Roman"/>
        </w:rPr>
        <w:t xml:space="preserve"> of a t-distribution with degrees of freedom of n-1, where n is the sample size, is considered to be free of outliers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{"citationItems":[{"id":"ITEM-1","itemData":{"author":[{"dropping-particle":"","family":"Field","given":"A","non-dropping-particle":"","parse-names":false,"suffix":""}],"id":"ITEM-1","issued":{"date-parts":[["2017"]]},"title":"Discovering statistics using IBM SPSS statistics: north American edition: sage","type":"article-journal"},"uris":["http://www.mendeley.com/documents/?uuid=d72deae6-fb2f-43ba-85ff-3262b13cf663"]},{"id":"ITEM-2","itemData":{"ISBN":"1317805925","author":[{"dropping-particle":"","family":"Pituch","given":"Keenan A","non-dropping-particle":"","parse-names":false,"suffix":""},{"dropping-particle":"","family":"Stevens","given":"James P","non-dropping-particle":"","parse-names":false,"suffix":""}],"id":"ITEM-2","issued":{"date-parts":[["2015"]]},"publisher":"Routledge","title":"Applied multivariate statistics for the social sciences: Analyses with SAS and IBM’s SPSS","type":"book"},"uris":["http://www.mendeley.com/documents/?uuid=98183dbd-50c6-4ba9-96e7-9a754565426a"]}],"mendeley":{"formattedCitation":"(A. Field, 2017; Pituch &amp; Stevens, 2015)","manualFormatting":"(Field, 2017; Pituch &amp; Stevens, 2015)","plainTextFormattedCitation":"(A. Field, 2017; Pituch &amp; Stevens, 2015)","previouslyFormattedCitation":"(A. Field, 2017; Pituch &amp; Stevens,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2017; Pituch &amp; Stevens, 2015)</w:t>
      </w:r>
      <w:r w:rsidRPr="005459E6">
        <w:rPr>
          <w:rFonts w:ascii="Times New Roman" w:hAnsi="Times New Roman" w:cs="Times New Roman"/>
        </w:rPr>
        <w:fldChar w:fldCharType="end"/>
      </w:r>
      <w:r w:rsidRPr="005459E6">
        <w:rPr>
          <w:rFonts w:ascii="Times New Roman" w:hAnsi="Times New Roman" w:cs="Times New Roman"/>
        </w:rPr>
        <w:t>. Standard multiple linear regression will be performed using the enter procedure. All independent variables (predictors) are entered into the model at the same time in the traditional process. Enter is the most common method of variable entry unless the theory allows for a different approach. Variables will be evaluated based on their contribution to the prediction of the dependent variable rather than the predictability provided by the model's other predictors. The F-test will be used to determine whether the set of independent factors can predict the dependent variable as a whole. The determination R-squared multiple correlation coefficient will be presented and used to determine how much variance in the dependent variable can be explained by the set of independent variables. Each predictor's significance will be determined using the t-test, and the magnitude of prediction for each independent variable will be determined using beta coefficients. Each unit increase in the predictor for a significant predictor causes the dependent variable to expand or decrease according to its size, corresponding to its unstandardized beta coefficient.</w:t>
      </w:r>
    </w:p>
    <w:p w14:paraId="26D0CF25" w14:textId="77777777" w:rsidR="00285952" w:rsidRPr="005459E6" w:rsidRDefault="00285952" w:rsidP="00285952">
      <w:pPr>
        <w:spacing w:line="360" w:lineRule="auto"/>
        <w:jc w:val="both"/>
        <w:rPr>
          <w:rFonts w:ascii="Times New Roman" w:hAnsi="Times New Roman" w:cs="Times New Roman"/>
        </w:rPr>
      </w:pPr>
    </w:p>
    <w:p w14:paraId="6AD308BD" w14:textId="41E4BDF8" w:rsidR="008C2DE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In this part of the research, </w:t>
      </w:r>
      <w:r w:rsidRPr="005459E6">
        <w:rPr>
          <w:rFonts w:ascii="Times New Roman" w:hAnsi="Times New Roman" w:cs="Times New Roman"/>
          <w:b/>
          <w:bCs/>
        </w:rPr>
        <w:t>objective 1</w:t>
      </w:r>
      <w:r w:rsidRPr="005459E6">
        <w:rPr>
          <w:rFonts w:ascii="Times New Roman" w:hAnsi="Times New Roman" w:cs="Times New Roman"/>
        </w:rPr>
        <w:t xml:space="preserve"> was to explore the role of positive emotions </w:t>
      </w:r>
      <w:r w:rsidR="005249CD" w:rsidRPr="005459E6">
        <w:rPr>
          <w:rFonts w:ascii="Times New Roman" w:hAnsi="Times New Roman" w:cs="Times New Roman"/>
        </w:rPr>
        <w:t>in</w:t>
      </w:r>
      <w:r w:rsidRPr="005459E6">
        <w:rPr>
          <w:rFonts w:ascii="Times New Roman" w:hAnsi="Times New Roman" w:cs="Times New Roman"/>
        </w:rPr>
        <w:t xml:space="preserve"> </w:t>
      </w:r>
      <w:r w:rsidR="004970FE" w:rsidRPr="005459E6">
        <w:rPr>
          <w:rFonts w:ascii="Times New Roman" w:hAnsi="Times New Roman" w:cs="Times New Roman"/>
        </w:rPr>
        <w:t xml:space="preserve">the </w:t>
      </w:r>
      <w:r w:rsidRPr="005459E6">
        <w:rPr>
          <w:rFonts w:ascii="Times New Roman" w:hAnsi="Times New Roman" w:cs="Times New Roman"/>
        </w:rPr>
        <w:t xml:space="preserve">betterment of Well-being. </w:t>
      </w:r>
    </w:p>
    <w:p w14:paraId="05C07C9F" w14:textId="231E0A02"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This objective relied on data science to be able to devi</w:t>
      </w:r>
      <w:r w:rsidR="005249CD" w:rsidRPr="005459E6">
        <w:rPr>
          <w:rFonts w:ascii="Times New Roman" w:hAnsi="Times New Roman" w:cs="Times New Roman"/>
        </w:rPr>
        <w:t>s</w:t>
      </w:r>
      <w:r w:rsidRPr="005459E6">
        <w:rPr>
          <w:rFonts w:ascii="Times New Roman" w:hAnsi="Times New Roman" w:cs="Times New Roman"/>
        </w:rPr>
        <w:t>e a real-time usable model that can be used by the therapists. The inputs for the same mainly included EEG data collected using Brain</w:t>
      </w:r>
      <w:r w:rsidR="001D1AD4" w:rsidRPr="005459E6">
        <w:rPr>
          <w:rFonts w:ascii="Times New Roman" w:hAnsi="Times New Roman" w:cs="Times New Roman"/>
        </w:rPr>
        <w:t>-</w:t>
      </w:r>
      <w:r w:rsidRPr="005459E6">
        <w:rPr>
          <w:rFonts w:ascii="Times New Roman" w:hAnsi="Times New Roman" w:cs="Times New Roman"/>
        </w:rPr>
        <w:t>Computer Interface</w:t>
      </w:r>
      <w:r w:rsidR="00571B12" w:rsidRPr="005459E6">
        <w:rPr>
          <w:rFonts w:ascii="Times New Roman" w:hAnsi="Times New Roman" w:cs="Times New Roman"/>
        </w:rPr>
        <w:t xml:space="preserve"> (BCI)</w:t>
      </w:r>
      <w:r w:rsidRPr="005459E6">
        <w:rPr>
          <w:rFonts w:ascii="Times New Roman" w:hAnsi="Times New Roman" w:cs="Times New Roman"/>
        </w:rPr>
        <w:t>. It applied regression using ML modeling.</w:t>
      </w:r>
    </w:p>
    <w:p w14:paraId="4479A332" w14:textId="77777777" w:rsidR="003C0C38" w:rsidRPr="005459E6" w:rsidRDefault="003C0C38" w:rsidP="00042CB0">
      <w:pPr>
        <w:spacing w:line="360" w:lineRule="auto"/>
        <w:jc w:val="both"/>
        <w:rPr>
          <w:rFonts w:ascii="Times New Roman" w:hAnsi="Times New Roman" w:cs="Times New Roman"/>
        </w:rPr>
      </w:pPr>
    </w:p>
    <w:p w14:paraId="6BF56C22" w14:textId="14DEFE62" w:rsidR="00AF722C"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The insights from this modeling confirmed </w:t>
      </w:r>
      <w:r w:rsidR="00B36501" w:rsidRPr="005459E6">
        <w:rPr>
          <w:rFonts w:ascii="Times New Roman" w:hAnsi="Times New Roman" w:cs="Times New Roman"/>
        </w:rPr>
        <w:t>that,</w:t>
      </w:r>
    </w:p>
    <w:p w14:paraId="5DED3BF4" w14:textId="1AA7D41F" w:rsidR="00B36501" w:rsidRPr="005459E6" w:rsidRDefault="003C0C38" w:rsidP="00042CB0">
      <w:pPr>
        <w:numPr>
          <w:ilvl w:val="0"/>
          <w:numId w:val="10"/>
        </w:numPr>
        <w:spacing w:line="360" w:lineRule="auto"/>
        <w:jc w:val="both"/>
        <w:rPr>
          <w:rFonts w:ascii="Times New Roman" w:hAnsi="Times New Roman" w:cs="Times New Roman"/>
        </w:rPr>
      </w:pPr>
      <w:r w:rsidRPr="005459E6">
        <w:rPr>
          <w:rFonts w:ascii="Times New Roman" w:hAnsi="Times New Roman" w:cs="Times New Roman"/>
        </w:rPr>
        <w:t xml:space="preserve">Age and Gender play </w:t>
      </w:r>
      <w:r w:rsidR="001D1AD4" w:rsidRPr="005459E6">
        <w:rPr>
          <w:rFonts w:ascii="Times New Roman" w:hAnsi="Times New Roman" w:cs="Times New Roman"/>
        </w:rPr>
        <w:t xml:space="preserve">a </w:t>
      </w:r>
      <w:r w:rsidRPr="005459E6">
        <w:rPr>
          <w:rFonts w:ascii="Times New Roman" w:hAnsi="Times New Roman" w:cs="Times New Roman"/>
        </w:rPr>
        <w:t xml:space="preserve">significant role </w:t>
      </w:r>
      <w:r w:rsidR="001D1AD4" w:rsidRPr="005459E6">
        <w:rPr>
          <w:rFonts w:ascii="Times New Roman" w:hAnsi="Times New Roman" w:cs="Times New Roman"/>
        </w:rPr>
        <w:t xml:space="preserve">in </w:t>
      </w:r>
      <w:r w:rsidRPr="005459E6">
        <w:rPr>
          <w:rFonts w:ascii="Times New Roman" w:hAnsi="Times New Roman" w:cs="Times New Roman"/>
        </w:rPr>
        <w:t>predicting stress</w:t>
      </w:r>
    </w:p>
    <w:p w14:paraId="1D5A7EFC" w14:textId="77777777" w:rsidR="003C0C38" w:rsidRPr="005459E6" w:rsidRDefault="003C0C38" w:rsidP="00042CB0">
      <w:pPr>
        <w:numPr>
          <w:ilvl w:val="0"/>
          <w:numId w:val="10"/>
        </w:numPr>
        <w:spacing w:line="360" w:lineRule="auto"/>
        <w:jc w:val="both"/>
        <w:rPr>
          <w:rFonts w:ascii="Times New Roman" w:hAnsi="Times New Roman" w:cs="Times New Roman"/>
        </w:rPr>
      </w:pPr>
      <w:r w:rsidRPr="005459E6">
        <w:rPr>
          <w:rFonts w:ascii="Times New Roman" w:hAnsi="Times New Roman" w:cs="Times New Roman"/>
        </w:rPr>
        <w:t>The stress is dependent on Engagement, Focus, Interest &amp; Relaxation</w:t>
      </w:r>
    </w:p>
    <w:p w14:paraId="33C64019" w14:textId="77777777" w:rsidR="003C0C38" w:rsidRPr="005459E6" w:rsidRDefault="003C0C38" w:rsidP="00042CB0">
      <w:pPr>
        <w:spacing w:line="360" w:lineRule="auto"/>
        <w:jc w:val="both"/>
        <w:rPr>
          <w:rFonts w:ascii="Times New Roman" w:hAnsi="Times New Roman" w:cs="Times New Roman"/>
        </w:rPr>
      </w:pPr>
    </w:p>
    <w:p w14:paraId="5795BB8C" w14:textId="5272B037"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The Independent variable in the study used for the prediction of the target include</w:t>
      </w:r>
      <w:r w:rsidR="005249CD" w:rsidRPr="005459E6">
        <w:rPr>
          <w:rFonts w:ascii="Times New Roman" w:hAnsi="Times New Roman" w:cs="Times New Roman"/>
        </w:rPr>
        <w:t>s</w:t>
      </w:r>
      <w:r w:rsidRPr="005459E6">
        <w:rPr>
          <w:rFonts w:ascii="Times New Roman" w:hAnsi="Times New Roman" w:cs="Times New Roman"/>
        </w:rPr>
        <w:t xml:space="preserve"> the following -</w:t>
      </w:r>
    </w:p>
    <w:p w14:paraId="2648DA1B" w14:textId="77777777" w:rsidR="003C0C38" w:rsidRPr="005459E6" w:rsidRDefault="003C0C38" w:rsidP="00042CB0">
      <w:pPr>
        <w:spacing w:line="360" w:lineRule="auto"/>
        <w:jc w:val="both"/>
        <w:rPr>
          <w:rFonts w:ascii="Times New Roman" w:hAnsi="Times New Roman" w:cs="Times New Roman"/>
        </w:rPr>
      </w:pPr>
    </w:p>
    <w:p w14:paraId="53E3F508" w14:textId="77777777" w:rsidR="003C0C38" w:rsidRPr="005459E6" w:rsidRDefault="003C0C38" w:rsidP="00042CB0">
      <w:pPr>
        <w:spacing w:line="360" w:lineRule="auto"/>
        <w:jc w:val="both"/>
        <w:rPr>
          <w:rFonts w:ascii="Times New Roman" w:hAnsi="Times New Roman" w:cs="Times New Roman"/>
          <w:b/>
          <w:bCs/>
        </w:rPr>
      </w:pPr>
      <w:r w:rsidRPr="005459E6">
        <w:rPr>
          <w:rFonts w:ascii="Times New Roman" w:hAnsi="Times New Roman" w:cs="Times New Roman"/>
          <w:b/>
          <w:bCs/>
        </w:rPr>
        <w:t>Included Analyses</w:t>
      </w:r>
    </w:p>
    <w:p w14:paraId="6B3C08B9" w14:textId="77777777" w:rsidR="003C0C38" w:rsidRPr="005459E6" w:rsidRDefault="00000000" w:rsidP="00042CB0">
      <w:pPr>
        <w:pStyle w:val="ListParagraphPHPDOCX"/>
        <w:numPr>
          <w:ilvl w:val="0"/>
          <w:numId w:val="6"/>
        </w:numPr>
        <w:spacing w:line="360" w:lineRule="auto"/>
        <w:jc w:val="both"/>
        <w:rPr>
          <w:rFonts w:ascii="Times New Roman" w:hAnsi="Times New Roman" w:cs="Times New Roman"/>
        </w:rPr>
      </w:pPr>
      <w:hyperlink w:anchor="wdp4q1T2" w:history="1">
        <w:r w:rsidR="003C0C38" w:rsidRPr="005459E6">
          <w:rPr>
            <w:rFonts w:ascii="Times New Roman" w:hAnsi="Times New Roman" w:cs="Times New Roman"/>
            <w:u w:val="single"/>
          </w:rPr>
          <w:t>Linear Regression with OBSERVED_PRODUCTIVITY predicted by LIFESTYLE, STATE_OF_HEALTH, LTE, INTEREST, ENERGY_LEVEL, AGE, WEIGHT, ENGAGEMENT, STRESS, FOCUS, SLEEP, RELAXATION, EXCITEMENT, HEIGHT, and GENDER</w:t>
        </w:r>
      </w:hyperlink>
    </w:p>
    <w:p w14:paraId="792792B8" w14:textId="77777777" w:rsidR="003C0C38" w:rsidRPr="005459E6" w:rsidRDefault="003C0C38" w:rsidP="00042CB0">
      <w:pPr>
        <w:spacing w:before="240" w:after="120" w:line="360" w:lineRule="auto"/>
        <w:jc w:val="both"/>
        <w:rPr>
          <w:rFonts w:ascii="Times New Roman" w:hAnsi="Times New Roman" w:cs="Times New Roman"/>
          <w:b/>
          <w:bCs/>
        </w:rPr>
      </w:pPr>
    </w:p>
    <w:p w14:paraId="13B10A11" w14:textId="662AFCD8" w:rsidR="003C0C38" w:rsidRPr="005459E6" w:rsidRDefault="003C0C38" w:rsidP="00042CB0">
      <w:pPr>
        <w:spacing w:line="360" w:lineRule="auto"/>
        <w:jc w:val="both"/>
        <w:rPr>
          <w:rFonts w:ascii="Times New Roman" w:hAnsi="Times New Roman" w:cs="Times New Roman"/>
          <w:b/>
          <w:bCs/>
        </w:rPr>
      </w:pPr>
    </w:p>
    <w:p w14:paraId="1A32DCE3" w14:textId="77777777" w:rsidR="00351E7B" w:rsidRPr="005459E6" w:rsidRDefault="00351E7B" w:rsidP="00042CB0">
      <w:pPr>
        <w:spacing w:line="360" w:lineRule="auto"/>
        <w:jc w:val="both"/>
        <w:rPr>
          <w:rFonts w:ascii="Times New Roman" w:hAnsi="Times New Roman" w:cs="Times New Roman"/>
          <w:b/>
          <w:bCs/>
        </w:rPr>
      </w:pPr>
    </w:p>
    <w:p w14:paraId="09DBD704" w14:textId="77777777" w:rsidR="003C0C38" w:rsidRPr="005459E6" w:rsidRDefault="003C0C38" w:rsidP="00042CB0">
      <w:pPr>
        <w:spacing w:line="360" w:lineRule="auto"/>
        <w:jc w:val="both"/>
        <w:rPr>
          <w:rFonts w:ascii="Times New Roman" w:hAnsi="Times New Roman" w:cs="Times New Roman"/>
          <w:b/>
          <w:bCs/>
        </w:rPr>
      </w:pPr>
    </w:p>
    <w:p w14:paraId="51D467B4" w14:textId="77777777" w:rsidR="003C0C38" w:rsidRPr="005459E6" w:rsidRDefault="003C0C38" w:rsidP="00042CB0">
      <w:pPr>
        <w:spacing w:line="360" w:lineRule="auto"/>
        <w:jc w:val="both"/>
        <w:rPr>
          <w:rFonts w:ascii="Times New Roman" w:hAnsi="Times New Roman" w:cs="Times New Roman"/>
          <w:b/>
          <w:bCs/>
        </w:rPr>
      </w:pPr>
    </w:p>
    <w:p w14:paraId="5C9B4785" w14:textId="77777777" w:rsidR="003C0C38" w:rsidRPr="005459E6" w:rsidRDefault="003C0C38" w:rsidP="00042CB0">
      <w:pPr>
        <w:spacing w:line="360" w:lineRule="auto"/>
        <w:jc w:val="both"/>
        <w:rPr>
          <w:rFonts w:ascii="Times New Roman" w:hAnsi="Times New Roman" w:cs="Times New Roman"/>
          <w:b/>
          <w:bCs/>
        </w:rPr>
      </w:pPr>
    </w:p>
    <w:p w14:paraId="4C139F12" w14:textId="77777777" w:rsidR="003C0C38" w:rsidRPr="005459E6" w:rsidRDefault="003C0C38" w:rsidP="00042CB0">
      <w:pPr>
        <w:spacing w:line="360" w:lineRule="auto"/>
        <w:jc w:val="both"/>
        <w:rPr>
          <w:rFonts w:ascii="Times New Roman" w:hAnsi="Times New Roman" w:cs="Times New Roman"/>
          <w:b/>
          <w:bCs/>
        </w:rPr>
      </w:pPr>
    </w:p>
    <w:p w14:paraId="736A4E06" w14:textId="77777777" w:rsidR="003C0C38" w:rsidRPr="005459E6" w:rsidRDefault="003C0C38" w:rsidP="00042CB0">
      <w:pPr>
        <w:spacing w:line="360" w:lineRule="auto"/>
        <w:jc w:val="both"/>
        <w:rPr>
          <w:rFonts w:ascii="Times New Roman" w:hAnsi="Times New Roman" w:cs="Times New Roman"/>
          <w:b/>
          <w:bCs/>
        </w:rPr>
      </w:pPr>
    </w:p>
    <w:p w14:paraId="50401F29" w14:textId="77777777" w:rsidR="003C0C38" w:rsidRPr="005459E6" w:rsidRDefault="003C0C38"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Linear Regression Analysis</w:t>
      </w:r>
    </w:p>
    <w:p w14:paraId="7D0A6DBF"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i/>
          <w:iCs/>
        </w:rPr>
        <w:t xml:space="preserve"> Introduction</w:t>
      </w:r>
    </w:p>
    <w:p w14:paraId="14213FEF" w14:textId="77777777" w:rsidR="00C7354B" w:rsidRPr="005459E6" w:rsidRDefault="00C7354B"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A linear regression analysis was conducted to assess whether AGE, WEIGHT, ENGAGEMENT, RELAXATION, GENDER, HEIGHT, EXCITEMENT, INTEREST, LIFESTYLE, STATE_OF_HEALTH, LTE, and FOCUS significantly predicted STRESS.</w:t>
      </w:r>
    </w:p>
    <w:p w14:paraId="5A9E7DED"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i/>
          <w:iCs/>
        </w:rPr>
        <w:t>Assumptions</w:t>
      </w:r>
    </w:p>
    <w:p w14:paraId="5AF1DA74" w14:textId="50066844" w:rsidR="00141287" w:rsidRPr="005459E6" w:rsidRDefault="00C7354B" w:rsidP="00141287">
      <w:pPr>
        <w:spacing w:before="240" w:after="120" w:line="360" w:lineRule="auto"/>
        <w:ind w:firstLine="720"/>
        <w:jc w:val="both"/>
        <w:rPr>
          <w:rFonts w:ascii="Times New Roman" w:hAnsi="Times New Roman" w:cs="Times New Roman"/>
          <w:bCs/>
        </w:rPr>
      </w:pPr>
      <w:r w:rsidRPr="005459E6">
        <w:rPr>
          <w:rFonts w:ascii="Times New Roman" w:hAnsi="Times New Roman" w:cs="Times New Roman"/>
          <w:b/>
          <w:bCs/>
        </w:rPr>
        <w:t>Normality.</w:t>
      </w:r>
      <w:r w:rsidRPr="005459E6">
        <w:rPr>
          <w:rFonts w:ascii="Times New Roman" w:hAnsi="Times New Roman" w:cs="Times New Roman"/>
        </w:rPr>
        <w:t xml:space="preserve"> </w:t>
      </w:r>
      <w:r w:rsidR="00141287" w:rsidRPr="005459E6">
        <w:rPr>
          <w:rFonts w:ascii="Times New Roman" w:hAnsi="Times New Roman" w:cs="Times New Roman"/>
        </w:rPr>
        <w:t xml:space="preserve">The normality assumption was tested by comparing the quantiles of the model residuals to the quantiles of a Chi-square distribution, also known as a Q-Q scatterplot </w:t>
      </w:r>
      <w:r w:rsidR="00141287" w:rsidRPr="005459E6">
        <w:rPr>
          <w:rFonts w:ascii="Times New Roman" w:hAnsi="Times New Roman" w:cs="Times New Roman"/>
          <w:bCs/>
        </w:rPr>
        <w:fldChar w:fldCharType="begin" w:fldLock="1"/>
      </w:r>
      <w:r w:rsidR="00141287" w:rsidRPr="005459E6">
        <w:rPr>
          <w:rFonts w:ascii="Times New Roman" w:hAnsi="Times New Roman" w:cs="Times New Roman"/>
          <w:bCs/>
        </w:rPr>
        <w:instrText>ADDIN CSL_CITATION {"citationItems":[{"id":"ITEM-1","itemData":{"ISSN":"1939-1463","author":[{"dropping-particle":"","family":"DeCarlo","given":"Lawrence T","non-dropping-particle":"","parse-names":false,"suffix":""}],"container-title":"Psychological methods","id":"ITEM-1","issue":"3","issued":{"date-parts":[["1997"]]},"page":"292","publisher":"American Psychological Association","title":"On the meaning and use of kurtosis.","type":"article-journal","volume":"2"},"uris":["http://www.mendeley.com/documents/?uuid=50ebc4d0-e424-4713-855d-30c7c6494fa3"]}],"mendeley":{"formattedCitation":"(DeCarlo, 1997)","plainTextFormattedCitation":"(DeCarlo, 1997)","previouslyFormattedCitation":"(DeCarlo, 1997)"},"properties":{"noteIndex":0},"schema":"https://github.com/citation-style-language/schema/raw/master/csl-citation.json"}</w:instrText>
      </w:r>
      <w:r w:rsidR="00141287" w:rsidRPr="005459E6">
        <w:rPr>
          <w:rFonts w:ascii="Times New Roman" w:hAnsi="Times New Roman" w:cs="Times New Roman"/>
          <w:bCs/>
        </w:rPr>
        <w:fldChar w:fldCharType="separate"/>
      </w:r>
      <w:r w:rsidR="00141287" w:rsidRPr="005459E6">
        <w:rPr>
          <w:rFonts w:ascii="Times New Roman" w:hAnsi="Times New Roman" w:cs="Times New Roman"/>
          <w:bCs/>
          <w:noProof/>
        </w:rPr>
        <w:t>(DeCarlo, 1997)</w:t>
      </w:r>
      <w:r w:rsidR="00141287" w:rsidRPr="005459E6">
        <w:rPr>
          <w:rFonts w:ascii="Times New Roman" w:hAnsi="Times New Roman" w:cs="Times New Roman"/>
          <w:bCs/>
        </w:rPr>
        <w:fldChar w:fldCharType="end"/>
      </w:r>
      <w:r w:rsidR="00141287" w:rsidRPr="005459E6">
        <w:rPr>
          <w:rFonts w:ascii="Times New Roman" w:hAnsi="Times New Roman" w:cs="Times New Roman"/>
          <w:bCs/>
        </w:rPr>
        <w:t xml:space="preserve">. </w:t>
      </w:r>
      <w:r w:rsidR="00141287" w:rsidRPr="005459E6">
        <w:rPr>
          <w:rFonts w:ascii="Times New Roman" w:hAnsi="Times New Roman" w:cs="Times New Roman"/>
        </w:rPr>
        <w:t>The residual quantiles must not significantly differ from the theoretical quantiles to satisfy the normalcy assumption. Large variances may indicate that the parameter estimates are incorrect. Figure 2.1 depicts a Q-Q scatterplot of the model residuals.</w:t>
      </w:r>
    </w:p>
    <w:p w14:paraId="0D51DF97" w14:textId="2181673C" w:rsidR="00C7354B" w:rsidRPr="005459E6" w:rsidRDefault="00122412"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 </w:t>
      </w:r>
      <w:r w:rsidR="001D1AD4" w:rsidRPr="005459E6">
        <w:rPr>
          <w:rFonts w:ascii="Times New Roman" w:hAnsi="Times New Roman" w:cs="Times New Roman"/>
        </w:rPr>
        <w:t xml:space="preserve"> </w:t>
      </w:r>
    </w:p>
    <w:p w14:paraId="18FB6C50" w14:textId="7E193469"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6915DC" w:rsidRPr="005459E6">
        <w:rPr>
          <w:rFonts w:ascii="Times New Roman" w:hAnsi="Times New Roman" w:cs="Times New Roman"/>
          <w:b/>
          <w:bCs/>
        </w:rPr>
        <w:t>2.</w:t>
      </w:r>
      <w:r w:rsidRPr="005459E6">
        <w:rPr>
          <w:rFonts w:ascii="Times New Roman" w:hAnsi="Times New Roman" w:cs="Times New Roman"/>
          <w:b/>
          <w:bCs/>
        </w:rPr>
        <w:t>1</w:t>
      </w:r>
    </w:p>
    <w:p w14:paraId="00770558"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Q-Q scatterplot for normality of the residuals for the regression model.</w:t>
      </w:r>
    </w:p>
    <w:p w14:paraId="7114B0FF" w14:textId="77777777" w:rsidR="00C7354B" w:rsidRPr="005459E6" w:rsidRDefault="00C7354B"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25CF845D" wp14:editId="2515A86C">
            <wp:extent cx="3657600" cy="3657600"/>
            <wp:effectExtent l="0" t="0" r="0" b="0"/>
            <wp:docPr id="43807922" name="name381561a358226b4f5"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65" cstate="print"/>
                    <a:stretch>
                      <a:fillRect/>
                    </a:stretch>
                  </pic:blipFill>
                  <pic:spPr>
                    <a:xfrm>
                      <a:off x="0" y="0"/>
                      <a:ext cx="3657600" cy="3657600"/>
                    </a:xfrm>
                    <a:prstGeom prst="rect">
                      <a:avLst/>
                    </a:prstGeom>
                    <a:ln w="0">
                      <a:noFill/>
                    </a:ln>
                  </pic:spPr>
                </pic:pic>
              </a:graphicData>
            </a:graphic>
          </wp:inline>
        </w:drawing>
      </w:r>
    </w:p>
    <w:p w14:paraId="5D6E88B4" w14:textId="1D4DE862" w:rsidR="0003702F" w:rsidRPr="005459E6" w:rsidRDefault="00C7354B" w:rsidP="0003702F">
      <w:pPr>
        <w:spacing w:before="240" w:after="120" w:line="360" w:lineRule="auto"/>
        <w:ind w:firstLine="720"/>
        <w:jc w:val="both"/>
        <w:rPr>
          <w:rFonts w:ascii="Times New Roman" w:hAnsi="Times New Roman" w:cs="Times New Roman"/>
        </w:rPr>
      </w:pPr>
      <w:r w:rsidRPr="005459E6">
        <w:rPr>
          <w:rFonts w:ascii="Times New Roman" w:hAnsi="Times New Roman" w:cs="Times New Roman"/>
          <w:b/>
          <w:bCs/>
        </w:rPr>
        <w:t>Homoscedasticity.</w:t>
      </w:r>
      <w:r w:rsidRPr="005459E6">
        <w:rPr>
          <w:rFonts w:ascii="Times New Roman" w:hAnsi="Times New Roman" w:cs="Times New Roman"/>
        </w:rPr>
        <w:t xml:space="preserve"> </w:t>
      </w:r>
      <w:r w:rsidR="00C85174" w:rsidRPr="005459E6">
        <w:rPr>
          <w:rFonts w:ascii="Times New Roman" w:hAnsi="Times New Roman" w:cs="Times New Roman"/>
          <w:bCs/>
        </w:rPr>
        <w:t xml:space="preserve">The residuals </w:t>
      </w:r>
      <w:r w:rsidR="0003702F" w:rsidRPr="005459E6">
        <w:rPr>
          <w:rFonts w:ascii="Times New Roman" w:hAnsi="Times New Roman" w:cs="Times New Roman"/>
          <w:bCs/>
        </w:rPr>
        <w:t xml:space="preserve">were plotted against the anticipated values to determine homoscedasticity </w:t>
      </w:r>
      <w:r w:rsidR="0003702F" w:rsidRPr="005459E6">
        <w:rPr>
          <w:rFonts w:ascii="Times New Roman" w:hAnsi="Times New Roman" w:cs="Times New Roman"/>
          <w:bCs/>
        </w:rPr>
        <w:fldChar w:fldCharType="begin" w:fldLock="1"/>
      </w:r>
      <w:r w:rsidR="00980576" w:rsidRPr="005459E6">
        <w:rPr>
          <w:rFonts w:ascii="Times New Roman" w:hAnsi="Times New Roman" w:cs="Times New Roman"/>
          <w:bCs/>
        </w:rPr>
        <w:instrText>ADDIN CSL_CITATION {"citationItems":[{"id":"ITEM-1","itemData":{"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arXiv preprint arXiv:1406.5823","id":"ITEM-1","issued":{"date-parts":[["2014"]]},"title":"Fitting linear mixed-effects models using lme4","type":"article-journal"},"uris":["http://www.mendeley.com/documents/?uuid=2f016ebb-0b39-4ac5-b6ed-00615af39757"]},{"id":"ITEM-2","itemData":{"author":[{"dropping-particle":"","family":"Field","given":"A","non-dropping-particle":"","parse-names":false,"suffix":""}],"id":"ITEM-2","issued":{"date-parts":[["2017"]]},"title":"Discovering statistics using IBM SPSS statistics: north American edition: sage","type":"article-journal"},"uris":["http://www.mendeley.com/documents/?uuid=d72deae6-fb2f-43ba-85ff-3262b13cf663"]},{"id":"ITEM-3","itemData":{"ISSN":"1531-7714","author":[{"dropping-particle":"","family":"Osborne","given":"Jason W","non-dropping-particle":"","parse-names":false,"suffix":""},{"dropping-particle":"","family":"Waters","given":"Elaine","non-dropping-particle":"","parse-names":false,"suffix":""}],"container-title":"Practical assessment, research, and evaluation","id":"ITEM-3","issue":"1","issued":{"date-parts":[["2002"]]},"page":"2","title":"Four assumptions of multiple regression that researchers should always test","type":"article-journal","volume":"8"},"uris":["http://www.mendeley.com/documents/?uuid=6f471457-0b7b-43b4-8274-31b6d9450842"]}],"mendeley":{"formattedCitation":"(Bates et al., 2014; A. Field, 2017; Osborne &amp; Waters, 2002)","manualFormatting":"(Bates et al., 2014; Field, 2017; Osborne &amp; Waters, 2002)","plainTextFormattedCitation":"(Bates et al., 2014; A. Field, 2017; Osborne &amp; Waters, 2002)","previouslyFormattedCitation":"(Bates et al., 2014; A. Field, 2017; Osborne &amp; Waters, 2002)"},"properties":{"noteIndex":0},"schema":"https://github.com/citation-style-language/schema/raw/master/csl-citation.json"}</w:instrText>
      </w:r>
      <w:r w:rsidR="0003702F" w:rsidRPr="005459E6">
        <w:rPr>
          <w:rFonts w:ascii="Times New Roman" w:hAnsi="Times New Roman" w:cs="Times New Roman"/>
          <w:bCs/>
        </w:rPr>
        <w:fldChar w:fldCharType="separate"/>
      </w:r>
      <w:r w:rsidR="0003702F" w:rsidRPr="005459E6">
        <w:rPr>
          <w:rFonts w:ascii="Times New Roman" w:hAnsi="Times New Roman" w:cs="Times New Roman"/>
          <w:bCs/>
          <w:noProof/>
        </w:rPr>
        <w:t>(Bates et al., 2014; Field, 2017; Osborne &amp; Waters, 2002)</w:t>
      </w:r>
      <w:r w:rsidR="0003702F" w:rsidRPr="005459E6">
        <w:rPr>
          <w:rFonts w:ascii="Times New Roman" w:hAnsi="Times New Roman" w:cs="Times New Roman"/>
          <w:bCs/>
        </w:rPr>
        <w:fldChar w:fldCharType="end"/>
      </w:r>
      <w:r w:rsidR="0003702F" w:rsidRPr="005459E6">
        <w:rPr>
          <w:rFonts w:ascii="Times New Roman" w:hAnsi="Times New Roman" w:cs="Times New Roman"/>
          <w:bCs/>
        </w:rPr>
        <w:t xml:space="preserve">. </w:t>
      </w:r>
      <w:r w:rsidR="0003702F" w:rsidRPr="005459E6">
        <w:rPr>
          <w:rFonts w:ascii="Times New Roman" w:hAnsi="Times New Roman" w:cs="Times New Roman"/>
        </w:rPr>
        <w:t>A random distribution with zero mean and no visible curvature meets the homoscedasticity requirement. An analysis of the predicted values and residuals is shown in Figure 2.2.</w:t>
      </w:r>
    </w:p>
    <w:p w14:paraId="6F489689" w14:textId="77777777" w:rsidR="0003702F" w:rsidRPr="005459E6" w:rsidRDefault="0003702F" w:rsidP="0003702F">
      <w:pPr>
        <w:spacing w:before="240" w:after="120" w:line="360" w:lineRule="auto"/>
        <w:ind w:firstLine="720"/>
        <w:jc w:val="both"/>
        <w:rPr>
          <w:rFonts w:ascii="Times New Roman" w:hAnsi="Times New Roman" w:cs="Times New Roman"/>
          <w:bCs/>
        </w:rPr>
      </w:pPr>
    </w:p>
    <w:p w14:paraId="72B568F3" w14:textId="1E86EBC6"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6915DC" w:rsidRPr="005459E6">
        <w:rPr>
          <w:rFonts w:ascii="Times New Roman" w:hAnsi="Times New Roman" w:cs="Times New Roman"/>
          <w:b/>
          <w:bCs/>
        </w:rPr>
        <w:t>2.</w:t>
      </w:r>
      <w:r w:rsidRPr="005459E6">
        <w:rPr>
          <w:rFonts w:ascii="Times New Roman" w:hAnsi="Times New Roman" w:cs="Times New Roman"/>
          <w:b/>
          <w:bCs/>
        </w:rPr>
        <w:t>2</w:t>
      </w:r>
    </w:p>
    <w:p w14:paraId="34881496"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Residuals scatterplot testing homoscedasticity</w:t>
      </w:r>
    </w:p>
    <w:p w14:paraId="638A7DF4" w14:textId="77777777" w:rsidR="00C7354B" w:rsidRPr="005459E6" w:rsidRDefault="00C7354B"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AEAF965" wp14:editId="336E8071">
            <wp:extent cx="3657600" cy="3657600"/>
            <wp:effectExtent l="0" t="0" r="0" b="0"/>
            <wp:docPr id="19273649" name="name418161a358226b7c6"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66" cstate="print"/>
                    <a:stretch>
                      <a:fillRect/>
                    </a:stretch>
                  </pic:blipFill>
                  <pic:spPr>
                    <a:xfrm>
                      <a:off x="0" y="0"/>
                      <a:ext cx="3657600" cy="3657600"/>
                    </a:xfrm>
                    <a:prstGeom prst="rect">
                      <a:avLst/>
                    </a:prstGeom>
                    <a:ln w="0">
                      <a:noFill/>
                    </a:ln>
                  </pic:spPr>
                </pic:pic>
              </a:graphicData>
            </a:graphic>
          </wp:inline>
        </w:drawing>
      </w:r>
    </w:p>
    <w:p w14:paraId="08D700EB" w14:textId="34313DEC" w:rsidR="00552652" w:rsidRPr="005459E6" w:rsidRDefault="00552652" w:rsidP="00552652">
      <w:pPr>
        <w:spacing w:line="360" w:lineRule="auto"/>
        <w:jc w:val="both"/>
        <w:rPr>
          <w:rFonts w:ascii="Times New Roman" w:hAnsi="Times New Roman" w:cs="Times New Roman"/>
        </w:rPr>
      </w:pPr>
      <w:r w:rsidRPr="005459E6">
        <w:rPr>
          <w:rFonts w:ascii="Times New Roman" w:hAnsi="Times New Roman" w:cs="Times New Roman"/>
          <w:b/>
          <w:bCs/>
        </w:rPr>
        <w:t xml:space="preserve">            </w:t>
      </w:r>
      <w:r w:rsidR="00C7354B" w:rsidRPr="005459E6">
        <w:rPr>
          <w:rFonts w:ascii="Times New Roman" w:hAnsi="Times New Roman" w:cs="Times New Roman"/>
          <w:b/>
          <w:bCs/>
        </w:rPr>
        <w:t>Multicollinearity.</w:t>
      </w:r>
      <w:r w:rsidR="00C7354B" w:rsidRPr="005459E6">
        <w:rPr>
          <w:rFonts w:ascii="Times New Roman" w:hAnsi="Times New Roman" w:cs="Times New Roman"/>
        </w:rPr>
        <w:t xml:space="preserve"> </w:t>
      </w:r>
      <w:r w:rsidRPr="005459E6">
        <w:rPr>
          <w:rFonts w:ascii="Times New Roman" w:hAnsi="Times New Roman" w:cs="Times New Roman"/>
        </w:rPr>
        <w:t xml:space="preserve">The presence of multicollinearity between predictors was detected using Variance Inflation Factors (VIFs).  When VIF is high, the effects of multicollinearity are more evident. VIFs greater than 5 should be considered concerning, whereas VIFs greater than 10 should be considered the upper limit </w:t>
      </w:r>
      <w:r w:rsidRPr="005459E6">
        <w:rPr>
          <w:rFonts w:ascii="Times New Roman" w:hAnsi="Times New Roman" w:cs="Times New Roman"/>
          <w:bCs/>
        </w:rPr>
        <w:fldChar w:fldCharType="begin" w:fldLock="1"/>
      </w:r>
      <w:r w:rsidRPr="005459E6">
        <w:rPr>
          <w:rFonts w:ascii="Times New Roman" w:hAnsi="Times New Roman" w:cs="Times New Roman"/>
          <w:bCs/>
        </w:rPr>
        <w:instrText>ADDIN CSL_CITATION {"citationItems":[{"id":"ITEM-1","itemData":{"ISBN":"1412974836","author":[{"dropping-particle":"","family":"Menard","given":"Scott","non-dropping-particle":"","parse-names":false,"suffix":""}],"id":"ITEM-1","issued":{"date-parts":[["2010"]]},"publisher":"Sage","title":"Logistic regression: From introductory to advanced concepts and applications","type":"book"},"uris":["http://www.mendeley.com/documents/?uuid=89bfc08b-93f8-4f32-9a74-6415b3e92f1e"]}],"mendeley":{"formattedCitation":"(Menard, 2010)","plainTextFormattedCitation":"(Menard, 2010)","previouslyFormattedCitation":"(Menard, 2010)"},"properties":{"noteIndex":0},"schema":"https://github.com/citation-style-language/schema/raw/master/csl-citation.json"}</w:instrText>
      </w:r>
      <w:r w:rsidRPr="005459E6">
        <w:rPr>
          <w:rFonts w:ascii="Times New Roman" w:hAnsi="Times New Roman" w:cs="Times New Roman"/>
          <w:bCs/>
        </w:rPr>
        <w:fldChar w:fldCharType="separate"/>
      </w:r>
      <w:r w:rsidRPr="005459E6">
        <w:rPr>
          <w:rFonts w:ascii="Times New Roman" w:hAnsi="Times New Roman" w:cs="Times New Roman"/>
          <w:bCs/>
          <w:noProof/>
        </w:rPr>
        <w:t>(Menard, 2010)</w:t>
      </w:r>
      <w:r w:rsidRPr="005459E6">
        <w:rPr>
          <w:rFonts w:ascii="Times New Roman" w:hAnsi="Times New Roman" w:cs="Times New Roman"/>
          <w:bCs/>
        </w:rPr>
        <w:fldChar w:fldCharType="end"/>
      </w:r>
      <w:r w:rsidRPr="005459E6">
        <w:rPr>
          <w:rFonts w:ascii="Times New Roman" w:hAnsi="Times New Roman" w:cs="Times New Roman"/>
          <w:bCs/>
        </w:rPr>
        <w:t xml:space="preserve">. </w:t>
      </w:r>
      <w:r w:rsidRPr="005459E6">
        <w:rPr>
          <w:rFonts w:ascii="Times New Roman" w:hAnsi="Times New Roman" w:cs="Times New Roman"/>
        </w:rPr>
        <w:t xml:space="preserve"> The VIFs of all predictors in the regression model were less than ten. Table 1 shows the VIF for each predictor in the model.</w:t>
      </w:r>
    </w:p>
    <w:p w14:paraId="530EF413" w14:textId="3B4AE753" w:rsidR="00C7354B" w:rsidRPr="005459E6" w:rsidRDefault="00C7354B" w:rsidP="00042CB0">
      <w:pPr>
        <w:spacing w:before="240" w:after="120" w:line="360" w:lineRule="auto"/>
        <w:ind w:firstLine="720"/>
        <w:jc w:val="both"/>
        <w:rPr>
          <w:rFonts w:ascii="Times New Roman" w:hAnsi="Times New Roman" w:cs="Times New Roman"/>
        </w:rPr>
      </w:pPr>
    </w:p>
    <w:p w14:paraId="5E5FBABA" w14:textId="12939D5C" w:rsidR="00C7354B" w:rsidRPr="005459E6" w:rsidRDefault="00C7354B" w:rsidP="00042CB0">
      <w:pPr>
        <w:spacing w:before="240" w:after="120" w:line="360" w:lineRule="auto"/>
        <w:jc w:val="both"/>
        <w:rPr>
          <w:rFonts w:ascii="Times New Roman" w:hAnsi="Times New Roman" w:cs="Times New Roman"/>
        </w:rPr>
      </w:pPr>
    </w:p>
    <w:p w14:paraId="44089436" w14:textId="25AD0FDD" w:rsidR="00C7354B" w:rsidRPr="005459E6" w:rsidRDefault="00C7354B" w:rsidP="00042CB0">
      <w:pPr>
        <w:spacing w:before="240" w:after="120" w:line="360" w:lineRule="auto"/>
        <w:jc w:val="both"/>
        <w:rPr>
          <w:rFonts w:ascii="Times New Roman" w:hAnsi="Times New Roman" w:cs="Times New Roman"/>
        </w:rPr>
      </w:pPr>
    </w:p>
    <w:p w14:paraId="49F65136" w14:textId="77777777" w:rsidR="00BC3E8D" w:rsidRPr="005459E6" w:rsidRDefault="00BC3E8D" w:rsidP="00042CB0">
      <w:pPr>
        <w:spacing w:before="240" w:after="120" w:line="360" w:lineRule="auto"/>
        <w:jc w:val="both"/>
        <w:rPr>
          <w:rFonts w:ascii="Times New Roman" w:hAnsi="Times New Roman" w:cs="Times New Roman"/>
        </w:rPr>
      </w:pPr>
    </w:p>
    <w:p w14:paraId="7FB64F18" w14:textId="0911B27F"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b/>
          <w:bCs/>
        </w:rPr>
        <w:t xml:space="preserve">Table </w:t>
      </w:r>
      <w:r w:rsidR="00603A20" w:rsidRPr="005459E6">
        <w:rPr>
          <w:rFonts w:ascii="Times New Roman" w:hAnsi="Times New Roman" w:cs="Times New Roman"/>
          <w:b/>
          <w:bCs/>
        </w:rPr>
        <w:t>2.</w:t>
      </w:r>
      <w:r w:rsidRPr="005459E6">
        <w:rPr>
          <w:rFonts w:ascii="Times New Roman" w:hAnsi="Times New Roman" w:cs="Times New Roman"/>
          <w:b/>
          <w:bCs/>
        </w:rPr>
        <w:t>1</w:t>
      </w:r>
    </w:p>
    <w:p w14:paraId="100555E4" w14:textId="6D755FD1" w:rsidR="00C7354B" w:rsidRPr="005459E6" w:rsidRDefault="00C7354B" w:rsidP="00042CB0">
      <w:pPr>
        <w:spacing w:after="120" w:line="360" w:lineRule="auto"/>
        <w:jc w:val="both"/>
        <w:rPr>
          <w:rFonts w:ascii="Times New Roman" w:hAnsi="Times New Roman" w:cs="Times New Roman"/>
          <w:i/>
          <w:iCs/>
        </w:rPr>
      </w:pPr>
      <w:r w:rsidRPr="005459E6">
        <w:rPr>
          <w:rFonts w:ascii="Times New Roman" w:hAnsi="Times New Roman" w:cs="Times New Roman"/>
          <w:i/>
          <w:iCs/>
        </w:rPr>
        <w:t>Variance Inflation Factors for AGE, WEIGHT, ENGAGEMENT, RELAXATION, GENDER, HEIGHT, EXCITEMENT, INTEREST, LIFESTYLE, STATE_OF_HEALTH, LTE, and FOCUS</w:t>
      </w:r>
    </w:p>
    <w:p w14:paraId="4AE9D8F3" w14:textId="77777777" w:rsidR="00C7354B" w:rsidRPr="005459E6" w:rsidRDefault="00C7354B" w:rsidP="00042CB0">
      <w:pPr>
        <w:spacing w:after="120" w:line="360" w:lineRule="auto"/>
        <w:jc w:val="both"/>
        <w:rPr>
          <w:rFonts w:ascii="Times New Roman" w:hAnsi="Times New Roman" w:cs="Times New Roman"/>
        </w:rPr>
      </w:pPr>
    </w:p>
    <w:tbl>
      <w:tblPr>
        <w:tblStyle w:val="NormalTablePHPDOCX"/>
        <w:tblW w:w="5000" w:type="pct"/>
        <w:tblInd w:w="108" w:type="dxa"/>
        <w:tblLook w:val="04A0" w:firstRow="1" w:lastRow="0" w:firstColumn="1" w:lastColumn="0" w:noHBand="0" w:noVBand="1"/>
      </w:tblPr>
      <w:tblGrid>
        <w:gridCol w:w="7409"/>
        <w:gridCol w:w="1951"/>
      </w:tblGrid>
      <w:tr w:rsidR="005459E6" w:rsidRPr="005459E6" w14:paraId="23C1C22E" w14:textId="77777777" w:rsidTr="005640BE">
        <w:tc>
          <w:tcPr>
            <w:tcW w:w="0" w:type="auto"/>
            <w:tcBorders>
              <w:top w:val="single" w:sz="5" w:space="0" w:color="000000"/>
              <w:bottom w:val="single" w:sz="5" w:space="0" w:color="000000"/>
            </w:tcBorders>
            <w:tcMar>
              <w:top w:w="30" w:type="dxa"/>
              <w:bottom w:w="30" w:type="dxa"/>
            </w:tcMar>
            <w:vAlign w:val="center"/>
          </w:tcPr>
          <w:p w14:paraId="37BCBD3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Variable</w:t>
            </w:r>
          </w:p>
        </w:tc>
        <w:tc>
          <w:tcPr>
            <w:tcW w:w="0" w:type="auto"/>
            <w:tcBorders>
              <w:top w:val="single" w:sz="5" w:space="0" w:color="000000"/>
              <w:bottom w:val="single" w:sz="5" w:space="0" w:color="000000"/>
            </w:tcBorders>
            <w:tcMar>
              <w:top w:w="30" w:type="dxa"/>
              <w:bottom w:w="30" w:type="dxa"/>
            </w:tcMar>
            <w:vAlign w:val="center"/>
          </w:tcPr>
          <w:p w14:paraId="5EB368A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VIF</w:t>
            </w:r>
          </w:p>
        </w:tc>
      </w:tr>
      <w:tr w:rsidR="005459E6" w:rsidRPr="005459E6" w14:paraId="7D6B06D5" w14:textId="77777777" w:rsidTr="005640BE">
        <w:tc>
          <w:tcPr>
            <w:tcW w:w="0" w:type="auto"/>
            <w:tcBorders>
              <w:top w:val="single" w:sz="5" w:space="0" w:color="000000"/>
            </w:tcBorders>
            <w:tcMar>
              <w:top w:w="30" w:type="dxa"/>
              <w:bottom w:w="30" w:type="dxa"/>
            </w:tcMar>
            <w:vAlign w:val="center"/>
          </w:tcPr>
          <w:p w14:paraId="5B43227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w:t>
            </w:r>
          </w:p>
        </w:tc>
        <w:tc>
          <w:tcPr>
            <w:tcW w:w="0" w:type="auto"/>
            <w:tcBorders>
              <w:top w:val="single" w:sz="5" w:space="0" w:color="000000"/>
            </w:tcBorders>
            <w:tcMar>
              <w:top w:w="30" w:type="dxa"/>
              <w:bottom w:w="30" w:type="dxa"/>
            </w:tcMar>
            <w:vAlign w:val="center"/>
          </w:tcPr>
          <w:p w14:paraId="398D510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7.62</w:t>
            </w:r>
          </w:p>
        </w:tc>
      </w:tr>
      <w:tr w:rsidR="005459E6" w:rsidRPr="005459E6" w14:paraId="0720A204" w14:textId="77777777" w:rsidTr="005640BE">
        <w:tc>
          <w:tcPr>
            <w:tcW w:w="0" w:type="auto"/>
            <w:tcMar>
              <w:top w:w="30" w:type="dxa"/>
              <w:bottom w:w="30" w:type="dxa"/>
            </w:tcMar>
            <w:vAlign w:val="center"/>
          </w:tcPr>
          <w:p w14:paraId="0DF2128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WEIGHT</w:t>
            </w:r>
          </w:p>
        </w:tc>
        <w:tc>
          <w:tcPr>
            <w:tcW w:w="0" w:type="auto"/>
            <w:tcMar>
              <w:top w:w="30" w:type="dxa"/>
              <w:bottom w:w="30" w:type="dxa"/>
            </w:tcMar>
            <w:vAlign w:val="center"/>
          </w:tcPr>
          <w:p w14:paraId="1ABE070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3.47</w:t>
            </w:r>
          </w:p>
        </w:tc>
      </w:tr>
      <w:tr w:rsidR="005459E6" w:rsidRPr="005459E6" w14:paraId="3AA1561C" w14:textId="77777777" w:rsidTr="005640BE">
        <w:tc>
          <w:tcPr>
            <w:tcW w:w="0" w:type="auto"/>
            <w:tcMar>
              <w:top w:w="30" w:type="dxa"/>
              <w:bottom w:w="30" w:type="dxa"/>
            </w:tcMar>
            <w:vAlign w:val="center"/>
          </w:tcPr>
          <w:p w14:paraId="09F41A5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ENGAGEMENT</w:t>
            </w:r>
          </w:p>
        </w:tc>
        <w:tc>
          <w:tcPr>
            <w:tcW w:w="0" w:type="auto"/>
            <w:tcMar>
              <w:top w:w="30" w:type="dxa"/>
              <w:bottom w:w="30" w:type="dxa"/>
            </w:tcMar>
            <w:vAlign w:val="center"/>
          </w:tcPr>
          <w:p w14:paraId="74A35FD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5.80</w:t>
            </w:r>
          </w:p>
        </w:tc>
      </w:tr>
      <w:tr w:rsidR="005459E6" w:rsidRPr="005459E6" w14:paraId="2FE948F3" w14:textId="77777777" w:rsidTr="005640BE">
        <w:tc>
          <w:tcPr>
            <w:tcW w:w="0" w:type="auto"/>
            <w:tcMar>
              <w:top w:w="30" w:type="dxa"/>
              <w:bottom w:w="30" w:type="dxa"/>
            </w:tcMar>
            <w:vAlign w:val="center"/>
          </w:tcPr>
          <w:p w14:paraId="5A714C4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RELAXATION</w:t>
            </w:r>
          </w:p>
        </w:tc>
        <w:tc>
          <w:tcPr>
            <w:tcW w:w="0" w:type="auto"/>
            <w:tcMar>
              <w:top w:w="30" w:type="dxa"/>
              <w:bottom w:w="30" w:type="dxa"/>
            </w:tcMar>
            <w:vAlign w:val="center"/>
          </w:tcPr>
          <w:p w14:paraId="478762E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3.23</w:t>
            </w:r>
          </w:p>
        </w:tc>
      </w:tr>
      <w:tr w:rsidR="005459E6" w:rsidRPr="005459E6" w14:paraId="579D84F9" w14:textId="77777777" w:rsidTr="005640BE">
        <w:tc>
          <w:tcPr>
            <w:tcW w:w="0" w:type="auto"/>
            <w:tcMar>
              <w:top w:w="30" w:type="dxa"/>
              <w:bottom w:w="30" w:type="dxa"/>
            </w:tcMar>
            <w:vAlign w:val="center"/>
          </w:tcPr>
          <w:p w14:paraId="23A06BB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w:t>
            </w:r>
          </w:p>
        </w:tc>
        <w:tc>
          <w:tcPr>
            <w:tcW w:w="0" w:type="auto"/>
            <w:tcMar>
              <w:top w:w="30" w:type="dxa"/>
              <w:bottom w:w="30" w:type="dxa"/>
            </w:tcMar>
            <w:vAlign w:val="center"/>
          </w:tcPr>
          <w:p w14:paraId="5C522D3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4.94</w:t>
            </w:r>
          </w:p>
        </w:tc>
      </w:tr>
      <w:tr w:rsidR="005459E6" w:rsidRPr="005459E6" w14:paraId="58AAC63F" w14:textId="77777777" w:rsidTr="005640BE">
        <w:tc>
          <w:tcPr>
            <w:tcW w:w="0" w:type="auto"/>
            <w:tcMar>
              <w:top w:w="30" w:type="dxa"/>
              <w:bottom w:w="30" w:type="dxa"/>
            </w:tcMar>
            <w:vAlign w:val="center"/>
          </w:tcPr>
          <w:p w14:paraId="5103372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HEIGHT</w:t>
            </w:r>
          </w:p>
        </w:tc>
        <w:tc>
          <w:tcPr>
            <w:tcW w:w="0" w:type="auto"/>
            <w:tcMar>
              <w:top w:w="30" w:type="dxa"/>
              <w:bottom w:w="30" w:type="dxa"/>
            </w:tcMar>
            <w:vAlign w:val="center"/>
          </w:tcPr>
          <w:p w14:paraId="0368705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2.20</w:t>
            </w:r>
          </w:p>
        </w:tc>
      </w:tr>
      <w:tr w:rsidR="005459E6" w:rsidRPr="005459E6" w14:paraId="6FC5964D" w14:textId="77777777" w:rsidTr="005640BE">
        <w:tc>
          <w:tcPr>
            <w:tcW w:w="0" w:type="auto"/>
            <w:tcMar>
              <w:top w:w="30" w:type="dxa"/>
              <w:bottom w:w="30" w:type="dxa"/>
            </w:tcMar>
            <w:vAlign w:val="center"/>
          </w:tcPr>
          <w:p w14:paraId="2A84366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EXCITEMENT</w:t>
            </w:r>
          </w:p>
        </w:tc>
        <w:tc>
          <w:tcPr>
            <w:tcW w:w="0" w:type="auto"/>
            <w:tcMar>
              <w:top w:w="30" w:type="dxa"/>
              <w:bottom w:w="30" w:type="dxa"/>
            </w:tcMar>
            <w:vAlign w:val="center"/>
          </w:tcPr>
          <w:p w14:paraId="2D27ED4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2.73</w:t>
            </w:r>
          </w:p>
        </w:tc>
      </w:tr>
      <w:tr w:rsidR="005459E6" w:rsidRPr="005459E6" w14:paraId="5779D6F8" w14:textId="77777777" w:rsidTr="005640BE">
        <w:tc>
          <w:tcPr>
            <w:tcW w:w="0" w:type="auto"/>
            <w:tcMar>
              <w:top w:w="30" w:type="dxa"/>
              <w:bottom w:w="30" w:type="dxa"/>
            </w:tcMar>
            <w:vAlign w:val="center"/>
          </w:tcPr>
          <w:p w14:paraId="0A23F0F3"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INTEREST</w:t>
            </w:r>
          </w:p>
        </w:tc>
        <w:tc>
          <w:tcPr>
            <w:tcW w:w="0" w:type="auto"/>
            <w:tcMar>
              <w:top w:w="30" w:type="dxa"/>
              <w:bottom w:w="30" w:type="dxa"/>
            </w:tcMar>
            <w:vAlign w:val="center"/>
          </w:tcPr>
          <w:p w14:paraId="1FDF603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4.75</w:t>
            </w:r>
          </w:p>
        </w:tc>
      </w:tr>
      <w:tr w:rsidR="005459E6" w:rsidRPr="005459E6" w14:paraId="0D1A6531" w14:textId="77777777" w:rsidTr="005640BE">
        <w:tc>
          <w:tcPr>
            <w:tcW w:w="0" w:type="auto"/>
            <w:tcMar>
              <w:top w:w="30" w:type="dxa"/>
              <w:bottom w:w="30" w:type="dxa"/>
            </w:tcMar>
            <w:vAlign w:val="center"/>
          </w:tcPr>
          <w:p w14:paraId="7838D78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LIFESTYLE</w:t>
            </w:r>
          </w:p>
        </w:tc>
        <w:tc>
          <w:tcPr>
            <w:tcW w:w="0" w:type="auto"/>
            <w:tcMar>
              <w:top w:w="30" w:type="dxa"/>
              <w:bottom w:w="30" w:type="dxa"/>
            </w:tcMar>
            <w:vAlign w:val="center"/>
          </w:tcPr>
          <w:p w14:paraId="37B09A4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3.03</w:t>
            </w:r>
          </w:p>
        </w:tc>
      </w:tr>
      <w:tr w:rsidR="005459E6" w:rsidRPr="005459E6" w14:paraId="5168E8BA" w14:textId="77777777" w:rsidTr="005640BE">
        <w:tc>
          <w:tcPr>
            <w:tcW w:w="0" w:type="auto"/>
            <w:tcMar>
              <w:top w:w="30" w:type="dxa"/>
              <w:bottom w:w="30" w:type="dxa"/>
            </w:tcMar>
            <w:vAlign w:val="center"/>
          </w:tcPr>
          <w:p w14:paraId="48A8B76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w:t>
            </w:r>
          </w:p>
        </w:tc>
        <w:tc>
          <w:tcPr>
            <w:tcW w:w="0" w:type="auto"/>
            <w:tcMar>
              <w:top w:w="30" w:type="dxa"/>
              <w:bottom w:w="30" w:type="dxa"/>
            </w:tcMar>
            <w:vAlign w:val="center"/>
          </w:tcPr>
          <w:p w14:paraId="0B90E9E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7.73</w:t>
            </w:r>
          </w:p>
        </w:tc>
      </w:tr>
      <w:tr w:rsidR="005459E6" w:rsidRPr="005459E6" w14:paraId="292169D1" w14:textId="77777777" w:rsidTr="005640BE">
        <w:tc>
          <w:tcPr>
            <w:tcW w:w="0" w:type="auto"/>
            <w:tcMar>
              <w:top w:w="30" w:type="dxa"/>
              <w:bottom w:w="30" w:type="dxa"/>
            </w:tcMar>
            <w:vAlign w:val="center"/>
          </w:tcPr>
          <w:p w14:paraId="40B503C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LTE</w:t>
            </w:r>
          </w:p>
        </w:tc>
        <w:tc>
          <w:tcPr>
            <w:tcW w:w="0" w:type="auto"/>
            <w:tcMar>
              <w:top w:w="30" w:type="dxa"/>
              <w:bottom w:w="30" w:type="dxa"/>
            </w:tcMar>
            <w:vAlign w:val="center"/>
          </w:tcPr>
          <w:p w14:paraId="7B5FE6A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2.83</w:t>
            </w:r>
          </w:p>
        </w:tc>
      </w:tr>
      <w:tr w:rsidR="006F7BC0" w:rsidRPr="005459E6" w14:paraId="4B64261C" w14:textId="77777777" w:rsidTr="005640BE">
        <w:tc>
          <w:tcPr>
            <w:tcW w:w="0" w:type="auto"/>
            <w:tcBorders>
              <w:bottom w:val="single" w:sz="5" w:space="0" w:color="000000"/>
            </w:tcBorders>
            <w:tcMar>
              <w:top w:w="30" w:type="dxa"/>
              <w:bottom w:w="30" w:type="dxa"/>
            </w:tcMar>
            <w:vAlign w:val="center"/>
          </w:tcPr>
          <w:p w14:paraId="01E5513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w:t>
            </w:r>
          </w:p>
        </w:tc>
        <w:tc>
          <w:tcPr>
            <w:tcW w:w="0" w:type="auto"/>
            <w:tcBorders>
              <w:bottom w:val="single" w:sz="5" w:space="0" w:color="000000"/>
            </w:tcBorders>
            <w:tcMar>
              <w:top w:w="30" w:type="dxa"/>
              <w:bottom w:w="30" w:type="dxa"/>
            </w:tcMar>
            <w:vAlign w:val="center"/>
          </w:tcPr>
          <w:p w14:paraId="5569801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3.95</w:t>
            </w:r>
          </w:p>
        </w:tc>
      </w:tr>
    </w:tbl>
    <w:p w14:paraId="583AD426" w14:textId="77777777" w:rsidR="0034495B" w:rsidRPr="005459E6" w:rsidRDefault="0034495B" w:rsidP="00042CB0">
      <w:pPr>
        <w:spacing w:before="240" w:after="120" w:line="360" w:lineRule="auto"/>
        <w:ind w:firstLine="720"/>
        <w:jc w:val="both"/>
        <w:rPr>
          <w:rFonts w:ascii="Times New Roman" w:hAnsi="Times New Roman" w:cs="Times New Roman"/>
          <w:b/>
          <w:bCs/>
        </w:rPr>
      </w:pPr>
    </w:p>
    <w:p w14:paraId="3AC56AF9" w14:textId="5AC24571" w:rsidR="000479D1" w:rsidRPr="005459E6" w:rsidRDefault="000479D1" w:rsidP="000479D1">
      <w:pPr>
        <w:spacing w:line="360" w:lineRule="auto"/>
        <w:jc w:val="both"/>
        <w:rPr>
          <w:rFonts w:ascii="Times New Roman" w:hAnsi="Times New Roman" w:cs="Times New Roman"/>
        </w:rPr>
      </w:pPr>
      <w:r w:rsidRPr="005459E6">
        <w:rPr>
          <w:rFonts w:ascii="Times New Roman" w:hAnsi="Times New Roman" w:cs="Times New Roman"/>
          <w:b/>
          <w:bCs/>
        </w:rPr>
        <w:t xml:space="preserve">                   </w:t>
      </w:r>
      <w:r w:rsidR="00C7354B" w:rsidRPr="005459E6">
        <w:rPr>
          <w:rFonts w:ascii="Times New Roman" w:hAnsi="Times New Roman" w:cs="Times New Roman"/>
          <w:b/>
          <w:bCs/>
        </w:rPr>
        <w:t>Outliers.</w:t>
      </w:r>
      <w:r w:rsidR="00C7354B" w:rsidRPr="005459E6">
        <w:rPr>
          <w:rFonts w:ascii="Times New Roman" w:hAnsi="Times New Roman" w:cs="Times New Roman"/>
        </w:rPr>
        <w:t xml:space="preserve"> </w:t>
      </w:r>
      <w:r w:rsidRPr="005459E6">
        <w:rPr>
          <w:rFonts w:ascii="Times New Roman" w:hAnsi="Times New Roman" w:cs="Times New Roman"/>
        </w:rPr>
        <w:t xml:space="preserve"> To identify influential points, studentized residuals were generated and absolute values were plotted against observation numbers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{"citationItems":[{"id":"ITEM-1","itemData":{"author":[{"dropping-particle":"","family":"Field","given":"A","non-dropping-particle":"","parse-names":false,"suffix":""}],"id":"ITEM-1","issued":{"date-parts":[["2017"]]},"title":"Discovering statistics using IBM SPSS statistics: north American edition: sage","type":"article-journal"},"uris":["http://www.mendeley.com/documents/?uuid=d72deae6-fb2f-43ba-85ff-3262b13cf663"]},{"id":"ITEM-2","itemData":{"ISBN":"1317805925","author":[{"dropping-particle":"","family":"Pituch","given":"Keenan A","non-dropping-particle":"","parse-names":false,"suffix":""},{"dropping-particle":"","family":"Stevens","given":"James P","non-dropping-particle":"","parse-names":false,"suffix":""}],"id":"ITEM-2","issued":{"date-parts":[["2015"]]},"publisher":"Routledge","title":"Applied multivariate statistics for the social sciences: Analyses with SAS and IBM’s SPSS","type":"book"},"uris":["http://www.mendeley.com/documents/?uuid=98183dbd-50c6-4ba9-96e7-9a754565426a"]}],"mendeley":{"formattedCitation":"(A. Field, 2017; Pituch &amp; Stevens, 2015)","manualFormatting":"(Field, 2017; Pituch &amp; Stevens, 2015)","plainTextFormattedCitation":"(A. Field, 2017; Pituch &amp; Stevens, 2015)","previouslyFormattedCitation":"(A. Field, 2017; Pituch &amp; Stevens,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(Field, 2017; Pituch &amp; Stevens, 2015)</w:t>
      </w:r>
      <w:r w:rsidRPr="005459E6">
        <w:rPr>
          <w:rFonts w:ascii="Times New Roman" w:hAnsi="Times New Roman" w:cs="Times New Roman"/>
        </w:rPr>
        <w:fldChar w:fldCharType="end"/>
      </w:r>
      <w:r w:rsidRPr="005459E6">
        <w:rPr>
          <w:rFonts w:ascii="Times New Roman" w:hAnsi="Times New Roman" w:cs="Times New Roman"/>
        </w:rPr>
        <w:t xml:space="preserve">. The studentized residuals are calculated by dividing the residual standard deviation by the model residuals. A Studentized residual with an absolute value greater than 3.10, corresponding to the 0.999 quantiles of a t distribution with 1521 degrees of freedom, was considered to have a significant influence on the model's outcomes. Figure 3 depicts the Studentized residuals plot of the observations.  </w:t>
      </w:r>
      <w:r w:rsidRPr="005459E6">
        <w:rPr>
          <w:rFonts w:ascii="Times New Roman" w:hAnsi="Times New Roman" w:cs="Times New Roman"/>
          <w:shd w:val="clear" w:color="auto" w:fill="FFFFFF"/>
        </w:rPr>
        <w:t>A number is assigned to every observation that has a Studentized residual greater than 3.10.</w:t>
      </w:r>
    </w:p>
    <w:p w14:paraId="32797E83" w14:textId="42A5A314" w:rsidR="00351E7B" w:rsidRPr="005459E6" w:rsidRDefault="00351E7B" w:rsidP="000479D1">
      <w:pPr>
        <w:spacing w:before="240" w:after="120" w:line="360" w:lineRule="auto"/>
        <w:ind w:firstLine="720"/>
        <w:jc w:val="both"/>
        <w:rPr>
          <w:rFonts w:ascii="Times New Roman" w:hAnsi="Times New Roman" w:cs="Times New Roman"/>
          <w:b/>
          <w:bCs/>
        </w:rPr>
      </w:pPr>
    </w:p>
    <w:p w14:paraId="0B45706E" w14:textId="77777777" w:rsidR="006B0C54" w:rsidRPr="005459E6" w:rsidRDefault="006B0C54" w:rsidP="00042CB0">
      <w:pPr>
        <w:spacing w:before="240" w:after="120" w:line="360" w:lineRule="auto"/>
        <w:jc w:val="both"/>
        <w:rPr>
          <w:rFonts w:ascii="Times New Roman" w:hAnsi="Times New Roman" w:cs="Times New Roman"/>
          <w:b/>
          <w:bCs/>
        </w:rPr>
      </w:pPr>
    </w:p>
    <w:p w14:paraId="75C19F39" w14:textId="12D31D3D"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rPr>
        <w:t xml:space="preserve">Figure </w:t>
      </w:r>
      <w:r w:rsidR="006915DC" w:rsidRPr="005459E6">
        <w:rPr>
          <w:rFonts w:ascii="Times New Roman" w:hAnsi="Times New Roman" w:cs="Times New Roman"/>
          <w:b/>
          <w:bCs/>
        </w:rPr>
        <w:t>2.</w:t>
      </w:r>
      <w:r w:rsidRPr="005459E6">
        <w:rPr>
          <w:rFonts w:ascii="Times New Roman" w:hAnsi="Times New Roman" w:cs="Times New Roman"/>
          <w:b/>
          <w:bCs/>
        </w:rPr>
        <w:t>3</w:t>
      </w:r>
    </w:p>
    <w:p w14:paraId="20063855"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i/>
          <w:iCs/>
        </w:rPr>
        <w:t>Studentized residuals plot for outlier detection</w:t>
      </w:r>
    </w:p>
    <w:p w14:paraId="29ABDAA4" w14:textId="77777777" w:rsidR="00C7354B" w:rsidRPr="005459E6" w:rsidRDefault="00C7354B"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31424658" wp14:editId="569168E5">
            <wp:extent cx="3657600" cy="3657600"/>
            <wp:effectExtent l="0" t="0" r="0" b="0"/>
            <wp:docPr id="62279752" name="name449561a358226bbba"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67" cstate="print"/>
                    <a:stretch>
                      <a:fillRect/>
                    </a:stretch>
                  </pic:blipFill>
                  <pic:spPr>
                    <a:xfrm>
                      <a:off x="0" y="0"/>
                      <a:ext cx="3657600" cy="3657600"/>
                    </a:xfrm>
                    <a:prstGeom prst="rect">
                      <a:avLst/>
                    </a:prstGeom>
                    <a:ln w="0">
                      <a:noFill/>
                    </a:ln>
                  </pic:spPr>
                </pic:pic>
              </a:graphicData>
            </a:graphic>
          </wp:inline>
        </w:drawing>
      </w:r>
    </w:p>
    <w:p w14:paraId="40EF7D2D" w14:textId="77777777" w:rsidR="00C7354B" w:rsidRPr="005459E6" w:rsidRDefault="00C7354B" w:rsidP="00042CB0">
      <w:pPr>
        <w:spacing w:before="240" w:after="120" w:line="360" w:lineRule="auto"/>
        <w:jc w:val="both"/>
        <w:rPr>
          <w:rFonts w:ascii="Times New Roman" w:hAnsi="Times New Roman" w:cs="Times New Roman"/>
        </w:rPr>
      </w:pPr>
      <w:r w:rsidRPr="005459E6">
        <w:rPr>
          <w:rFonts w:ascii="Times New Roman" w:hAnsi="Times New Roman" w:cs="Times New Roman"/>
          <w:b/>
          <w:bCs/>
          <w:i/>
          <w:iCs/>
        </w:rPr>
        <w:t>Results</w:t>
      </w:r>
    </w:p>
    <w:p w14:paraId="65C449A2" w14:textId="77777777" w:rsidR="001212A2" w:rsidRPr="005459E6" w:rsidRDefault="00704666"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The findings of the linear regression model were significant, F(12,1509) = 1584.37, p.001, R2 = 0.93, showing that AGE, WEIGHT, ENGAGEMENT, RELAXATION, GENDER, HEIGHT, EXCITEMENT, INTEREST, LIFESTYLE, STATE OF HEALTH, LTE, and FOCUS account for roughly 93 percent of the variance in STRESS. B = 0.00, t(1509) = 2.60, p =.010, AGE significantly predicted STRESS. This means that a one-unit rise in AGE increases the value of STRESS by 0.00 units on average. WEIGHT predicted STRESS substantially, B = -0.00, t(1509) = -2.78, p =.005. This means that a one-unit increase in WEIGHT reduces the value of STRESS by 0.00 units on average. B = -0.09, t(1509) = -9.00, p.001, ENGAGEMENT substantially predicted STRESS. This means that a one-unit increase in ENGAGEMENT reduces the value of STRESS by 0.09 units on average. B = 0.49, t(1509) = 48.41, p.001, RELAXATION substantially predicted STRESS. This means that a one-unit increase in RELAXATION increases the value of STRESS by 0.49 units on average. B = -0.01, t(1509) = -1.86, p =.063, GENDER did not significantly predict STRESS, B = -0.01, t(1509) = -1.86, p =.063. </w:t>
      </w:r>
    </w:p>
    <w:p w14:paraId="44158C94" w14:textId="77777777" w:rsidR="001212A2" w:rsidRPr="005459E6" w:rsidRDefault="001212A2" w:rsidP="00042CB0">
      <w:pPr>
        <w:spacing w:before="240" w:after="120" w:line="360" w:lineRule="auto"/>
        <w:ind w:firstLine="720"/>
        <w:jc w:val="both"/>
        <w:rPr>
          <w:rFonts w:ascii="Times New Roman" w:hAnsi="Times New Roman" w:cs="Times New Roman"/>
        </w:rPr>
      </w:pPr>
    </w:p>
    <w:p w14:paraId="189D5CE7" w14:textId="77777777" w:rsidR="00176690" w:rsidRPr="005459E6" w:rsidRDefault="00704666"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A one-unit increase in GENDER does not have a meaningful effect on STRESS in this group. B = 0.00, t(1509) = 0.78, p =.435, HEIGHT did not significantly predict STRESS, B = 0.00, t(1509) = 0.78, p =.435. A one-unit increase in HEIGHT does not have a meaningful effect on STRESS in this group. B = -0.02, t(1509) = -2.20, p =.028. EXCITEMENT significantly predicted STRESS, B = -0.02, t(1509) = -2.20, p =.028. This means that a one-unit rise in EXCITEMENT reduces the value of STRESS by 0.02 units on average. INTEREST predicted STRESS substantially, B = 0.33, t(1509) = 26.24, p.001. </w:t>
      </w:r>
    </w:p>
    <w:p w14:paraId="79EA525C" w14:textId="52231940" w:rsidR="00704666" w:rsidRPr="005459E6" w:rsidRDefault="00704666" w:rsidP="00042CB0">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This means that a one-unit rise in INTEREST will result in a 0.33-unit increase in STRESS on average. B = 0.01, t(1509) = 2.32, p =.020, LIFESTYLE significantly predicted STRESS. This means that a one-unit increase in LIFESTYLE will result in a 0.01-unit rise in STRESS on average. STRESS was strongly predicted by STATE OF HEALTH, B = 0.02, t(1509) = 3.84, p.001. This means that a one-unit rise in STATE OF HEALTH increases the value of STRESS by 0.02 units on average. B = 0.02, t(1509) = 2.38, p =.018; LTE substantially predicted STRESS. This means that a one-unit increase in LTE will result in a 0.02 unit rise in STRESS on average. FOCUS predicted STRESS substantially, B = 0.13, t(1509) = 12.50, p.001. This means that a one-unit increase in FOCUS will result in a 0.13-unit rise in STRESS on average. The regression model's results are </w:t>
      </w:r>
      <w:r w:rsidR="00B25584" w:rsidRPr="005459E6">
        <w:rPr>
          <w:rFonts w:ascii="Times New Roman" w:hAnsi="Times New Roman" w:cs="Times New Roman"/>
        </w:rPr>
        <w:t>summarized</w:t>
      </w:r>
      <w:r w:rsidRPr="005459E6">
        <w:rPr>
          <w:rFonts w:ascii="Times New Roman" w:hAnsi="Times New Roman" w:cs="Times New Roman"/>
        </w:rPr>
        <w:t xml:space="preserve"> in Table 2</w:t>
      </w:r>
      <w:r w:rsidR="00293EE4" w:rsidRPr="005459E6">
        <w:rPr>
          <w:rFonts w:ascii="Times New Roman" w:hAnsi="Times New Roman" w:cs="Times New Roman"/>
        </w:rPr>
        <w:t>.2</w:t>
      </w:r>
      <w:r w:rsidRPr="005459E6">
        <w:rPr>
          <w:rFonts w:ascii="Times New Roman" w:hAnsi="Times New Roman" w:cs="Times New Roman"/>
        </w:rPr>
        <w:t>.</w:t>
      </w:r>
    </w:p>
    <w:p w14:paraId="79A3FDCD" w14:textId="234C9923" w:rsidR="006B0C54" w:rsidRPr="005459E6" w:rsidRDefault="006B0C54" w:rsidP="00042CB0">
      <w:pPr>
        <w:spacing w:before="240" w:after="120" w:line="360" w:lineRule="auto"/>
        <w:ind w:firstLine="720"/>
        <w:jc w:val="both"/>
        <w:rPr>
          <w:rFonts w:ascii="Times New Roman" w:hAnsi="Times New Roman" w:cs="Times New Roman"/>
        </w:rPr>
      </w:pPr>
    </w:p>
    <w:p w14:paraId="4C9BA144" w14:textId="09868779" w:rsidR="006B0C54" w:rsidRPr="005459E6" w:rsidRDefault="006B0C54" w:rsidP="00042CB0">
      <w:pPr>
        <w:spacing w:before="240" w:after="120" w:line="360" w:lineRule="auto"/>
        <w:ind w:firstLine="720"/>
        <w:jc w:val="both"/>
        <w:rPr>
          <w:rFonts w:ascii="Times New Roman" w:hAnsi="Times New Roman" w:cs="Times New Roman"/>
        </w:rPr>
      </w:pPr>
    </w:p>
    <w:p w14:paraId="0907D14D" w14:textId="0BF52E20" w:rsidR="006B0C54" w:rsidRPr="005459E6" w:rsidRDefault="006B0C54" w:rsidP="00042CB0">
      <w:pPr>
        <w:spacing w:before="240" w:after="120" w:line="360" w:lineRule="auto"/>
        <w:ind w:firstLine="720"/>
        <w:jc w:val="both"/>
        <w:rPr>
          <w:rFonts w:ascii="Times New Roman" w:hAnsi="Times New Roman" w:cs="Times New Roman"/>
        </w:rPr>
      </w:pPr>
    </w:p>
    <w:p w14:paraId="57F7291C" w14:textId="3FF10CCF" w:rsidR="006B0C54" w:rsidRPr="005459E6" w:rsidRDefault="006B0C54" w:rsidP="00042CB0">
      <w:pPr>
        <w:spacing w:before="240" w:after="120" w:line="360" w:lineRule="auto"/>
        <w:ind w:firstLine="720"/>
        <w:jc w:val="both"/>
        <w:rPr>
          <w:rFonts w:ascii="Times New Roman" w:hAnsi="Times New Roman" w:cs="Times New Roman"/>
        </w:rPr>
      </w:pPr>
    </w:p>
    <w:p w14:paraId="1D8541C9" w14:textId="1C3974AB" w:rsidR="006B0C54" w:rsidRPr="005459E6" w:rsidRDefault="006B0C54" w:rsidP="00042CB0">
      <w:pPr>
        <w:spacing w:before="240" w:after="120" w:line="360" w:lineRule="auto"/>
        <w:ind w:firstLine="720"/>
        <w:jc w:val="both"/>
        <w:rPr>
          <w:rFonts w:ascii="Times New Roman" w:hAnsi="Times New Roman" w:cs="Times New Roman"/>
        </w:rPr>
      </w:pPr>
    </w:p>
    <w:p w14:paraId="633D83E2" w14:textId="49F9650B" w:rsidR="006B0C54" w:rsidRPr="005459E6" w:rsidRDefault="006B0C54" w:rsidP="00042CB0">
      <w:pPr>
        <w:spacing w:before="240" w:after="120" w:line="360" w:lineRule="auto"/>
        <w:ind w:firstLine="720"/>
        <w:jc w:val="both"/>
        <w:rPr>
          <w:rFonts w:ascii="Times New Roman" w:hAnsi="Times New Roman" w:cs="Times New Roman"/>
        </w:rPr>
      </w:pPr>
    </w:p>
    <w:p w14:paraId="7FA63F11" w14:textId="27CE7AD8" w:rsidR="006B0C54" w:rsidRPr="005459E6" w:rsidRDefault="006B0C54" w:rsidP="00042CB0">
      <w:pPr>
        <w:spacing w:before="240" w:after="120" w:line="360" w:lineRule="auto"/>
        <w:ind w:firstLine="720"/>
        <w:jc w:val="both"/>
        <w:rPr>
          <w:rFonts w:ascii="Times New Roman" w:hAnsi="Times New Roman" w:cs="Times New Roman"/>
        </w:rPr>
      </w:pPr>
    </w:p>
    <w:p w14:paraId="6B504A7D" w14:textId="63E99D34" w:rsidR="006B0C54" w:rsidRPr="005459E6" w:rsidRDefault="006B0C54" w:rsidP="00042CB0">
      <w:pPr>
        <w:spacing w:before="240" w:after="120" w:line="360" w:lineRule="auto"/>
        <w:ind w:firstLine="720"/>
        <w:jc w:val="both"/>
        <w:rPr>
          <w:rFonts w:ascii="Times New Roman" w:hAnsi="Times New Roman" w:cs="Times New Roman"/>
        </w:rPr>
      </w:pPr>
    </w:p>
    <w:p w14:paraId="1440C735" w14:textId="142704A3" w:rsidR="0034495B" w:rsidRPr="005459E6" w:rsidRDefault="0034495B" w:rsidP="00042CB0">
      <w:pPr>
        <w:spacing w:before="240" w:after="120" w:line="360" w:lineRule="auto"/>
        <w:ind w:firstLine="720"/>
        <w:jc w:val="both"/>
        <w:rPr>
          <w:rFonts w:ascii="Times New Roman" w:hAnsi="Times New Roman" w:cs="Times New Roman"/>
        </w:rPr>
      </w:pPr>
    </w:p>
    <w:p w14:paraId="19866AD4" w14:textId="54BCFB51" w:rsidR="0034495B" w:rsidRPr="005459E6" w:rsidRDefault="0034495B" w:rsidP="00042CB0">
      <w:pPr>
        <w:spacing w:before="240" w:after="120" w:line="360" w:lineRule="auto"/>
        <w:ind w:firstLine="720"/>
        <w:jc w:val="both"/>
        <w:rPr>
          <w:rFonts w:ascii="Times New Roman" w:hAnsi="Times New Roman" w:cs="Times New Roman"/>
        </w:rPr>
      </w:pPr>
    </w:p>
    <w:p w14:paraId="71022405" w14:textId="77777777" w:rsidR="0034495B" w:rsidRPr="005459E6" w:rsidRDefault="0034495B" w:rsidP="00042CB0">
      <w:pPr>
        <w:spacing w:before="240" w:after="120" w:line="360" w:lineRule="auto"/>
        <w:ind w:firstLine="720"/>
        <w:jc w:val="both"/>
        <w:rPr>
          <w:rFonts w:ascii="Times New Roman" w:hAnsi="Times New Roman" w:cs="Times New Roman"/>
        </w:rPr>
      </w:pPr>
    </w:p>
    <w:p w14:paraId="66CCAEDA" w14:textId="264965E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b/>
          <w:bCs/>
        </w:rPr>
        <w:t>Table 2</w:t>
      </w:r>
      <w:r w:rsidR="00081B85" w:rsidRPr="005459E6">
        <w:rPr>
          <w:rFonts w:ascii="Times New Roman" w:hAnsi="Times New Roman" w:cs="Times New Roman"/>
          <w:b/>
          <w:bCs/>
        </w:rPr>
        <w:t>.</w:t>
      </w:r>
      <w:r w:rsidR="00603A20" w:rsidRPr="005459E6">
        <w:rPr>
          <w:rFonts w:ascii="Times New Roman" w:hAnsi="Times New Roman" w:cs="Times New Roman"/>
          <w:b/>
          <w:bCs/>
        </w:rPr>
        <w:t>2</w:t>
      </w:r>
    </w:p>
    <w:p w14:paraId="555CC406" w14:textId="77777777" w:rsidR="00C7354B" w:rsidRPr="005459E6" w:rsidRDefault="00C7354B" w:rsidP="00042CB0">
      <w:pPr>
        <w:spacing w:after="120" w:line="360" w:lineRule="auto"/>
        <w:jc w:val="both"/>
        <w:rPr>
          <w:rFonts w:ascii="Times New Roman" w:hAnsi="Times New Roman" w:cs="Times New Roman"/>
        </w:rPr>
      </w:pPr>
      <w:r w:rsidRPr="005459E6">
        <w:rPr>
          <w:rFonts w:ascii="Times New Roman" w:hAnsi="Times New Roman" w:cs="Times New Roman"/>
          <w:i/>
          <w:iCs/>
        </w:rPr>
        <w:t>Results for Linear Regression with AGE, WEIGHT, ENGAGEMENT, RELAXATION, GENDER, HEIGHT, EXCITEMENT, INTEREST, LIFESTYLE, STATE_OF_HEALTH, LTE, and FOCUS predicting STRESS</w:t>
      </w:r>
    </w:p>
    <w:tbl>
      <w:tblPr>
        <w:tblStyle w:val="NormalTablePHPDOCX"/>
        <w:tblW w:w="5000" w:type="pct"/>
        <w:tblInd w:w="108" w:type="dxa"/>
        <w:tblLook w:val="04A0" w:firstRow="1" w:lastRow="0" w:firstColumn="1" w:lastColumn="0" w:noHBand="0" w:noVBand="1"/>
      </w:tblPr>
      <w:tblGrid>
        <w:gridCol w:w="3268"/>
        <w:gridCol w:w="905"/>
        <w:gridCol w:w="861"/>
        <w:gridCol w:w="1436"/>
        <w:gridCol w:w="905"/>
        <w:gridCol w:w="1018"/>
        <w:gridCol w:w="967"/>
      </w:tblGrid>
      <w:tr w:rsidR="005459E6" w:rsidRPr="005459E6" w14:paraId="4065889B" w14:textId="77777777" w:rsidTr="005640BE">
        <w:tc>
          <w:tcPr>
            <w:tcW w:w="0" w:type="auto"/>
            <w:tcBorders>
              <w:top w:val="single" w:sz="5" w:space="0" w:color="000000"/>
              <w:bottom w:val="single" w:sz="5" w:space="0" w:color="000000"/>
            </w:tcBorders>
            <w:tcMar>
              <w:top w:w="30" w:type="dxa"/>
              <w:bottom w:w="30" w:type="dxa"/>
            </w:tcMar>
            <w:vAlign w:val="center"/>
          </w:tcPr>
          <w:p w14:paraId="62D90A6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Variable</w:t>
            </w:r>
          </w:p>
        </w:tc>
        <w:tc>
          <w:tcPr>
            <w:tcW w:w="0" w:type="auto"/>
            <w:tcBorders>
              <w:top w:val="single" w:sz="5" w:space="0" w:color="000000"/>
              <w:bottom w:val="single" w:sz="5" w:space="0" w:color="000000"/>
            </w:tcBorders>
            <w:tcMar>
              <w:top w:w="30" w:type="dxa"/>
              <w:bottom w:w="30" w:type="dxa"/>
            </w:tcMar>
            <w:vAlign w:val="center"/>
          </w:tcPr>
          <w:p w14:paraId="3B71AED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B</w:t>
            </w:r>
          </w:p>
        </w:tc>
        <w:tc>
          <w:tcPr>
            <w:tcW w:w="0" w:type="auto"/>
            <w:tcBorders>
              <w:top w:val="single" w:sz="5" w:space="0" w:color="000000"/>
              <w:bottom w:val="single" w:sz="5" w:space="0" w:color="000000"/>
            </w:tcBorders>
            <w:tcMar>
              <w:top w:w="30" w:type="dxa"/>
              <w:bottom w:w="30" w:type="dxa"/>
            </w:tcMar>
            <w:vAlign w:val="center"/>
          </w:tcPr>
          <w:p w14:paraId="134C831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SE</w:t>
            </w:r>
          </w:p>
        </w:tc>
        <w:tc>
          <w:tcPr>
            <w:tcW w:w="0" w:type="auto"/>
            <w:tcBorders>
              <w:top w:val="single" w:sz="5" w:space="0" w:color="000000"/>
              <w:bottom w:val="single" w:sz="5" w:space="0" w:color="000000"/>
            </w:tcBorders>
            <w:tcMar>
              <w:top w:w="30" w:type="dxa"/>
              <w:bottom w:w="30" w:type="dxa"/>
            </w:tcMar>
            <w:vAlign w:val="center"/>
          </w:tcPr>
          <w:p w14:paraId="794E945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5" w:space="0" w:color="000000"/>
              <w:bottom w:val="single" w:sz="5" w:space="0" w:color="000000"/>
            </w:tcBorders>
            <w:tcMar>
              <w:top w:w="30" w:type="dxa"/>
              <w:bottom w:w="30" w:type="dxa"/>
            </w:tcMar>
            <w:vAlign w:val="center"/>
          </w:tcPr>
          <w:p w14:paraId="569D151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β</w:t>
            </w:r>
          </w:p>
        </w:tc>
        <w:tc>
          <w:tcPr>
            <w:tcW w:w="0" w:type="auto"/>
            <w:tcBorders>
              <w:top w:val="single" w:sz="5" w:space="0" w:color="000000"/>
              <w:bottom w:val="single" w:sz="5" w:space="0" w:color="000000"/>
            </w:tcBorders>
            <w:tcMar>
              <w:top w:w="30" w:type="dxa"/>
              <w:bottom w:w="30" w:type="dxa"/>
            </w:tcMar>
            <w:vAlign w:val="center"/>
          </w:tcPr>
          <w:p w14:paraId="633FAEC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t</w:t>
            </w:r>
          </w:p>
        </w:tc>
        <w:tc>
          <w:tcPr>
            <w:tcW w:w="0" w:type="auto"/>
            <w:tcBorders>
              <w:top w:val="single" w:sz="5" w:space="0" w:color="000000"/>
              <w:bottom w:val="single" w:sz="5" w:space="0" w:color="000000"/>
            </w:tcBorders>
            <w:tcMar>
              <w:top w:w="30" w:type="dxa"/>
              <w:bottom w:w="30" w:type="dxa"/>
            </w:tcMar>
            <w:vAlign w:val="center"/>
          </w:tcPr>
          <w:p w14:paraId="1D221AA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5459E6" w:rsidRPr="005459E6" w14:paraId="0E937238" w14:textId="77777777" w:rsidTr="005640BE">
        <w:tc>
          <w:tcPr>
            <w:tcW w:w="0" w:type="auto"/>
            <w:tcBorders>
              <w:top w:val="single" w:sz="5" w:space="0" w:color="000000"/>
            </w:tcBorders>
            <w:tcMar>
              <w:top w:w="30" w:type="dxa"/>
              <w:bottom w:w="30" w:type="dxa"/>
            </w:tcMar>
            <w:vAlign w:val="center"/>
          </w:tcPr>
          <w:p w14:paraId="1236798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(Intercept)</w:t>
            </w:r>
          </w:p>
        </w:tc>
        <w:tc>
          <w:tcPr>
            <w:tcW w:w="0" w:type="auto"/>
            <w:tcBorders>
              <w:top w:val="single" w:sz="5" w:space="0" w:color="000000"/>
            </w:tcBorders>
            <w:tcMar>
              <w:top w:w="30" w:type="dxa"/>
              <w:bottom w:w="30" w:type="dxa"/>
            </w:tcMar>
            <w:vAlign w:val="center"/>
          </w:tcPr>
          <w:p w14:paraId="4EE0F40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Borders>
              <w:top w:val="single" w:sz="5" w:space="0" w:color="000000"/>
            </w:tcBorders>
            <w:tcMar>
              <w:top w:w="30" w:type="dxa"/>
              <w:bottom w:w="30" w:type="dxa"/>
            </w:tcMar>
            <w:vAlign w:val="center"/>
          </w:tcPr>
          <w:p w14:paraId="26FD9A8A"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Borders>
              <w:top w:val="single" w:sz="5" w:space="0" w:color="000000"/>
            </w:tcBorders>
            <w:tcMar>
              <w:top w:w="30" w:type="dxa"/>
              <w:bottom w:w="30" w:type="dxa"/>
            </w:tcMar>
            <w:vAlign w:val="center"/>
          </w:tcPr>
          <w:p w14:paraId="6A1E613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0.06]</w:t>
            </w:r>
          </w:p>
        </w:tc>
        <w:tc>
          <w:tcPr>
            <w:tcW w:w="0" w:type="auto"/>
            <w:tcBorders>
              <w:top w:val="single" w:sz="5" w:space="0" w:color="000000"/>
            </w:tcBorders>
            <w:tcMar>
              <w:top w:w="30" w:type="dxa"/>
              <w:bottom w:w="30" w:type="dxa"/>
            </w:tcMar>
            <w:vAlign w:val="center"/>
          </w:tcPr>
          <w:p w14:paraId="2A8581C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Borders>
              <w:top w:val="single" w:sz="5" w:space="0" w:color="000000"/>
            </w:tcBorders>
            <w:tcMar>
              <w:top w:w="30" w:type="dxa"/>
              <w:bottom w:w="30" w:type="dxa"/>
            </w:tcMar>
            <w:vAlign w:val="center"/>
          </w:tcPr>
          <w:p w14:paraId="5ED1A67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Borders>
              <w:top w:val="single" w:sz="5" w:space="0" w:color="000000"/>
            </w:tcBorders>
            <w:tcMar>
              <w:top w:w="30" w:type="dxa"/>
              <w:bottom w:w="30" w:type="dxa"/>
            </w:tcMar>
            <w:vAlign w:val="center"/>
          </w:tcPr>
          <w:p w14:paraId="2BEBC28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.952</w:t>
            </w:r>
          </w:p>
        </w:tc>
      </w:tr>
      <w:tr w:rsidR="005459E6" w:rsidRPr="005459E6" w14:paraId="159475E9" w14:textId="77777777" w:rsidTr="005640BE">
        <w:tc>
          <w:tcPr>
            <w:tcW w:w="0" w:type="auto"/>
            <w:tcMar>
              <w:top w:w="30" w:type="dxa"/>
              <w:bottom w:w="30" w:type="dxa"/>
            </w:tcMar>
            <w:vAlign w:val="center"/>
          </w:tcPr>
          <w:p w14:paraId="49917D66"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w:t>
            </w:r>
          </w:p>
        </w:tc>
        <w:tc>
          <w:tcPr>
            <w:tcW w:w="0" w:type="auto"/>
            <w:tcMar>
              <w:top w:w="30" w:type="dxa"/>
              <w:bottom w:w="30" w:type="dxa"/>
            </w:tcMar>
            <w:vAlign w:val="center"/>
          </w:tcPr>
          <w:p w14:paraId="6D848E9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115F1D36"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08F058E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0.00]</w:t>
            </w:r>
          </w:p>
        </w:tc>
        <w:tc>
          <w:tcPr>
            <w:tcW w:w="0" w:type="auto"/>
            <w:tcMar>
              <w:top w:w="30" w:type="dxa"/>
              <w:bottom w:w="30" w:type="dxa"/>
            </w:tcMar>
            <w:vAlign w:val="center"/>
          </w:tcPr>
          <w:p w14:paraId="078EE61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w:t>
            </w:r>
          </w:p>
        </w:tc>
        <w:tc>
          <w:tcPr>
            <w:tcW w:w="0" w:type="auto"/>
            <w:tcMar>
              <w:top w:w="30" w:type="dxa"/>
              <w:bottom w:w="30" w:type="dxa"/>
            </w:tcMar>
            <w:vAlign w:val="center"/>
          </w:tcPr>
          <w:p w14:paraId="101EC4B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2.60</w:t>
            </w:r>
          </w:p>
        </w:tc>
        <w:tc>
          <w:tcPr>
            <w:tcW w:w="0" w:type="auto"/>
            <w:tcMar>
              <w:top w:w="30" w:type="dxa"/>
              <w:bottom w:w="30" w:type="dxa"/>
            </w:tcMar>
            <w:vAlign w:val="center"/>
          </w:tcPr>
          <w:p w14:paraId="076DAD0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w:t>
            </w:r>
          </w:p>
        </w:tc>
      </w:tr>
      <w:tr w:rsidR="005459E6" w:rsidRPr="005459E6" w14:paraId="2CE3BF7A" w14:textId="77777777" w:rsidTr="005640BE">
        <w:tc>
          <w:tcPr>
            <w:tcW w:w="0" w:type="auto"/>
            <w:tcMar>
              <w:top w:w="30" w:type="dxa"/>
              <w:bottom w:w="30" w:type="dxa"/>
            </w:tcMar>
            <w:vAlign w:val="center"/>
          </w:tcPr>
          <w:p w14:paraId="7B7C293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WEIGHT</w:t>
            </w:r>
          </w:p>
        </w:tc>
        <w:tc>
          <w:tcPr>
            <w:tcW w:w="0" w:type="auto"/>
            <w:tcMar>
              <w:top w:w="30" w:type="dxa"/>
              <w:bottom w:w="30" w:type="dxa"/>
            </w:tcMar>
            <w:vAlign w:val="center"/>
          </w:tcPr>
          <w:p w14:paraId="6546C87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6785B68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0FB83A7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-0.00]</w:t>
            </w:r>
          </w:p>
        </w:tc>
        <w:tc>
          <w:tcPr>
            <w:tcW w:w="0" w:type="auto"/>
            <w:tcMar>
              <w:top w:w="30" w:type="dxa"/>
              <w:bottom w:w="30" w:type="dxa"/>
            </w:tcMar>
            <w:vAlign w:val="center"/>
          </w:tcPr>
          <w:p w14:paraId="29A72CB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w:t>
            </w:r>
          </w:p>
        </w:tc>
        <w:tc>
          <w:tcPr>
            <w:tcW w:w="0" w:type="auto"/>
            <w:tcMar>
              <w:top w:w="30" w:type="dxa"/>
              <w:bottom w:w="30" w:type="dxa"/>
            </w:tcMar>
            <w:vAlign w:val="center"/>
          </w:tcPr>
          <w:p w14:paraId="0D6B214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-2.78</w:t>
            </w:r>
          </w:p>
        </w:tc>
        <w:tc>
          <w:tcPr>
            <w:tcW w:w="0" w:type="auto"/>
            <w:tcMar>
              <w:top w:w="30" w:type="dxa"/>
              <w:bottom w:w="30" w:type="dxa"/>
            </w:tcMar>
            <w:vAlign w:val="center"/>
          </w:tcPr>
          <w:p w14:paraId="61E86E7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w:t>
            </w:r>
          </w:p>
        </w:tc>
      </w:tr>
      <w:tr w:rsidR="005459E6" w:rsidRPr="005459E6" w14:paraId="2B71D822" w14:textId="77777777" w:rsidTr="005640BE">
        <w:tc>
          <w:tcPr>
            <w:tcW w:w="0" w:type="auto"/>
            <w:tcMar>
              <w:top w:w="30" w:type="dxa"/>
              <w:bottom w:w="30" w:type="dxa"/>
            </w:tcMar>
            <w:vAlign w:val="center"/>
          </w:tcPr>
          <w:p w14:paraId="38356DC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ENGAGEMENT</w:t>
            </w:r>
          </w:p>
        </w:tc>
        <w:tc>
          <w:tcPr>
            <w:tcW w:w="0" w:type="auto"/>
            <w:tcMar>
              <w:top w:w="30" w:type="dxa"/>
              <w:bottom w:w="30" w:type="dxa"/>
            </w:tcMar>
            <w:vAlign w:val="center"/>
          </w:tcPr>
          <w:p w14:paraId="74C16FEA"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w:t>
            </w:r>
          </w:p>
        </w:tc>
        <w:tc>
          <w:tcPr>
            <w:tcW w:w="0" w:type="auto"/>
            <w:tcMar>
              <w:top w:w="30" w:type="dxa"/>
              <w:bottom w:w="30" w:type="dxa"/>
            </w:tcMar>
            <w:vAlign w:val="center"/>
          </w:tcPr>
          <w:p w14:paraId="3BEF512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670A1E36"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-0.07]</w:t>
            </w:r>
          </w:p>
        </w:tc>
        <w:tc>
          <w:tcPr>
            <w:tcW w:w="0" w:type="auto"/>
            <w:tcMar>
              <w:top w:w="30" w:type="dxa"/>
              <w:bottom w:w="30" w:type="dxa"/>
            </w:tcMar>
            <w:vAlign w:val="center"/>
          </w:tcPr>
          <w:p w14:paraId="0A35E8E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-0.15</w:t>
            </w:r>
          </w:p>
        </w:tc>
        <w:tc>
          <w:tcPr>
            <w:tcW w:w="0" w:type="auto"/>
            <w:tcMar>
              <w:top w:w="30" w:type="dxa"/>
              <w:bottom w:w="30" w:type="dxa"/>
            </w:tcMar>
            <w:vAlign w:val="center"/>
          </w:tcPr>
          <w:p w14:paraId="5135370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-9.00</w:t>
            </w:r>
          </w:p>
        </w:tc>
        <w:tc>
          <w:tcPr>
            <w:tcW w:w="0" w:type="auto"/>
            <w:tcMar>
              <w:top w:w="30" w:type="dxa"/>
              <w:bottom w:w="30" w:type="dxa"/>
            </w:tcMar>
            <w:vAlign w:val="center"/>
          </w:tcPr>
          <w:p w14:paraId="018D794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EF3D237" w14:textId="77777777" w:rsidTr="005640BE">
        <w:tc>
          <w:tcPr>
            <w:tcW w:w="0" w:type="auto"/>
            <w:tcMar>
              <w:top w:w="30" w:type="dxa"/>
              <w:bottom w:w="30" w:type="dxa"/>
            </w:tcMar>
            <w:vAlign w:val="center"/>
          </w:tcPr>
          <w:p w14:paraId="497D4D3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RELAXATION</w:t>
            </w:r>
          </w:p>
        </w:tc>
        <w:tc>
          <w:tcPr>
            <w:tcW w:w="0" w:type="auto"/>
            <w:tcMar>
              <w:top w:w="30" w:type="dxa"/>
              <w:bottom w:w="30" w:type="dxa"/>
            </w:tcMar>
            <w:vAlign w:val="center"/>
          </w:tcPr>
          <w:p w14:paraId="6707490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0.49</w:t>
            </w:r>
          </w:p>
        </w:tc>
        <w:tc>
          <w:tcPr>
            <w:tcW w:w="0" w:type="auto"/>
            <w:tcMar>
              <w:top w:w="30" w:type="dxa"/>
              <w:bottom w:w="30" w:type="dxa"/>
            </w:tcMar>
            <w:vAlign w:val="center"/>
          </w:tcPr>
          <w:p w14:paraId="1D8942D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35D6463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[0.47, 0.51]</w:t>
            </w:r>
          </w:p>
        </w:tc>
        <w:tc>
          <w:tcPr>
            <w:tcW w:w="0" w:type="auto"/>
            <w:tcMar>
              <w:top w:w="30" w:type="dxa"/>
              <w:bottom w:w="30" w:type="dxa"/>
            </w:tcMar>
            <w:vAlign w:val="center"/>
          </w:tcPr>
          <w:p w14:paraId="78516FF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0.61</w:t>
            </w:r>
          </w:p>
        </w:tc>
        <w:tc>
          <w:tcPr>
            <w:tcW w:w="0" w:type="auto"/>
            <w:tcMar>
              <w:top w:w="30" w:type="dxa"/>
              <w:bottom w:w="30" w:type="dxa"/>
            </w:tcMar>
            <w:vAlign w:val="center"/>
          </w:tcPr>
          <w:p w14:paraId="674166D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48.41</w:t>
            </w:r>
          </w:p>
        </w:tc>
        <w:tc>
          <w:tcPr>
            <w:tcW w:w="0" w:type="auto"/>
            <w:tcMar>
              <w:top w:w="30" w:type="dxa"/>
              <w:bottom w:w="30" w:type="dxa"/>
            </w:tcMar>
            <w:vAlign w:val="center"/>
          </w:tcPr>
          <w:p w14:paraId="5312452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75A2C13" w14:textId="77777777" w:rsidTr="005640BE">
        <w:tc>
          <w:tcPr>
            <w:tcW w:w="0" w:type="auto"/>
            <w:tcMar>
              <w:top w:w="30" w:type="dxa"/>
              <w:bottom w:w="30" w:type="dxa"/>
            </w:tcMar>
            <w:vAlign w:val="center"/>
          </w:tcPr>
          <w:p w14:paraId="6AD47B2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w:t>
            </w:r>
          </w:p>
        </w:tc>
        <w:tc>
          <w:tcPr>
            <w:tcW w:w="0" w:type="auto"/>
            <w:tcMar>
              <w:top w:w="30" w:type="dxa"/>
              <w:bottom w:w="30" w:type="dxa"/>
            </w:tcMar>
            <w:vAlign w:val="center"/>
          </w:tcPr>
          <w:p w14:paraId="74851B5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317613B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19E06313"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 0.00]</w:t>
            </w:r>
          </w:p>
        </w:tc>
        <w:tc>
          <w:tcPr>
            <w:tcW w:w="0" w:type="auto"/>
            <w:tcMar>
              <w:top w:w="30" w:type="dxa"/>
              <w:bottom w:w="30" w:type="dxa"/>
            </w:tcMar>
            <w:vAlign w:val="center"/>
          </w:tcPr>
          <w:p w14:paraId="50459DD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19C4A443"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-1.86</w:t>
            </w:r>
          </w:p>
        </w:tc>
        <w:tc>
          <w:tcPr>
            <w:tcW w:w="0" w:type="auto"/>
            <w:tcMar>
              <w:top w:w="30" w:type="dxa"/>
              <w:bottom w:w="30" w:type="dxa"/>
            </w:tcMar>
            <w:vAlign w:val="center"/>
          </w:tcPr>
          <w:p w14:paraId="27DE547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.063</w:t>
            </w:r>
          </w:p>
        </w:tc>
      </w:tr>
      <w:tr w:rsidR="005459E6" w:rsidRPr="005459E6" w14:paraId="460F85A5" w14:textId="77777777" w:rsidTr="005640BE">
        <w:tc>
          <w:tcPr>
            <w:tcW w:w="0" w:type="auto"/>
            <w:tcMar>
              <w:top w:w="30" w:type="dxa"/>
              <w:bottom w:w="30" w:type="dxa"/>
            </w:tcMar>
            <w:vAlign w:val="center"/>
          </w:tcPr>
          <w:p w14:paraId="7959912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HEIGHT</w:t>
            </w:r>
          </w:p>
        </w:tc>
        <w:tc>
          <w:tcPr>
            <w:tcW w:w="0" w:type="auto"/>
            <w:tcMar>
              <w:top w:w="30" w:type="dxa"/>
              <w:bottom w:w="30" w:type="dxa"/>
            </w:tcMar>
            <w:vAlign w:val="center"/>
          </w:tcPr>
          <w:p w14:paraId="7C2213C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425DA35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1D4F352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0.00]</w:t>
            </w:r>
          </w:p>
        </w:tc>
        <w:tc>
          <w:tcPr>
            <w:tcW w:w="0" w:type="auto"/>
            <w:tcMar>
              <w:top w:w="30" w:type="dxa"/>
              <w:bottom w:w="30" w:type="dxa"/>
            </w:tcMar>
            <w:vAlign w:val="center"/>
          </w:tcPr>
          <w:p w14:paraId="02B764D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50A3C0F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0.78</w:t>
            </w:r>
          </w:p>
        </w:tc>
        <w:tc>
          <w:tcPr>
            <w:tcW w:w="0" w:type="auto"/>
            <w:tcMar>
              <w:top w:w="30" w:type="dxa"/>
              <w:bottom w:w="30" w:type="dxa"/>
            </w:tcMar>
            <w:vAlign w:val="center"/>
          </w:tcPr>
          <w:p w14:paraId="352E235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.435</w:t>
            </w:r>
          </w:p>
        </w:tc>
      </w:tr>
      <w:tr w:rsidR="005459E6" w:rsidRPr="005459E6" w14:paraId="0A41CD82" w14:textId="77777777" w:rsidTr="005640BE">
        <w:tc>
          <w:tcPr>
            <w:tcW w:w="0" w:type="auto"/>
            <w:tcMar>
              <w:top w:w="30" w:type="dxa"/>
              <w:bottom w:w="30" w:type="dxa"/>
            </w:tcMar>
            <w:vAlign w:val="center"/>
          </w:tcPr>
          <w:p w14:paraId="5C86E32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EXCITEMENT</w:t>
            </w:r>
          </w:p>
        </w:tc>
        <w:tc>
          <w:tcPr>
            <w:tcW w:w="0" w:type="auto"/>
            <w:tcMar>
              <w:top w:w="30" w:type="dxa"/>
              <w:bottom w:w="30" w:type="dxa"/>
            </w:tcMar>
            <w:vAlign w:val="center"/>
          </w:tcPr>
          <w:p w14:paraId="3DC4612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31D0BC5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2FD50F0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-0.00]</w:t>
            </w:r>
          </w:p>
        </w:tc>
        <w:tc>
          <w:tcPr>
            <w:tcW w:w="0" w:type="auto"/>
            <w:tcMar>
              <w:top w:w="30" w:type="dxa"/>
              <w:bottom w:w="30" w:type="dxa"/>
            </w:tcMar>
            <w:vAlign w:val="center"/>
          </w:tcPr>
          <w:p w14:paraId="1BAF0BD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2566E23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-2.20</w:t>
            </w:r>
          </w:p>
        </w:tc>
        <w:tc>
          <w:tcPr>
            <w:tcW w:w="0" w:type="auto"/>
            <w:tcMar>
              <w:top w:w="30" w:type="dxa"/>
              <w:bottom w:w="30" w:type="dxa"/>
            </w:tcMar>
            <w:vAlign w:val="center"/>
          </w:tcPr>
          <w:p w14:paraId="77015C6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w:t>
            </w:r>
          </w:p>
        </w:tc>
      </w:tr>
      <w:tr w:rsidR="005459E6" w:rsidRPr="005459E6" w14:paraId="689B6018" w14:textId="77777777" w:rsidTr="005640BE">
        <w:tc>
          <w:tcPr>
            <w:tcW w:w="0" w:type="auto"/>
            <w:tcMar>
              <w:top w:w="30" w:type="dxa"/>
              <w:bottom w:w="30" w:type="dxa"/>
            </w:tcMar>
            <w:vAlign w:val="center"/>
          </w:tcPr>
          <w:p w14:paraId="1975A6C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INTEREST</w:t>
            </w:r>
          </w:p>
        </w:tc>
        <w:tc>
          <w:tcPr>
            <w:tcW w:w="0" w:type="auto"/>
            <w:tcMar>
              <w:top w:w="30" w:type="dxa"/>
              <w:bottom w:w="30" w:type="dxa"/>
            </w:tcMar>
            <w:vAlign w:val="center"/>
          </w:tcPr>
          <w:p w14:paraId="518CF79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0.33</w:t>
            </w:r>
          </w:p>
        </w:tc>
        <w:tc>
          <w:tcPr>
            <w:tcW w:w="0" w:type="auto"/>
            <w:tcMar>
              <w:top w:w="30" w:type="dxa"/>
              <w:bottom w:w="30" w:type="dxa"/>
            </w:tcMar>
            <w:vAlign w:val="center"/>
          </w:tcPr>
          <w:p w14:paraId="2804268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42465FA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 0.35]</w:t>
            </w:r>
          </w:p>
        </w:tc>
        <w:tc>
          <w:tcPr>
            <w:tcW w:w="0" w:type="auto"/>
            <w:tcMar>
              <w:top w:w="30" w:type="dxa"/>
              <w:bottom w:w="30" w:type="dxa"/>
            </w:tcMar>
            <w:vAlign w:val="center"/>
          </w:tcPr>
          <w:p w14:paraId="20D18C3A"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0.40</w:t>
            </w:r>
          </w:p>
        </w:tc>
        <w:tc>
          <w:tcPr>
            <w:tcW w:w="0" w:type="auto"/>
            <w:tcMar>
              <w:top w:w="30" w:type="dxa"/>
              <w:bottom w:w="30" w:type="dxa"/>
            </w:tcMar>
            <w:vAlign w:val="center"/>
          </w:tcPr>
          <w:p w14:paraId="21FD43C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26.24</w:t>
            </w:r>
          </w:p>
        </w:tc>
        <w:tc>
          <w:tcPr>
            <w:tcW w:w="0" w:type="auto"/>
            <w:tcMar>
              <w:top w:w="30" w:type="dxa"/>
              <w:bottom w:w="30" w:type="dxa"/>
            </w:tcMar>
            <w:vAlign w:val="center"/>
          </w:tcPr>
          <w:p w14:paraId="0C1DA6F9"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E879B99" w14:textId="77777777" w:rsidTr="005640BE">
        <w:tc>
          <w:tcPr>
            <w:tcW w:w="0" w:type="auto"/>
            <w:tcMar>
              <w:top w:w="30" w:type="dxa"/>
              <w:bottom w:w="30" w:type="dxa"/>
            </w:tcMar>
            <w:vAlign w:val="center"/>
          </w:tcPr>
          <w:p w14:paraId="2BC2570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LIFESTYLE</w:t>
            </w:r>
          </w:p>
        </w:tc>
        <w:tc>
          <w:tcPr>
            <w:tcW w:w="0" w:type="auto"/>
            <w:tcMar>
              <w:top w:w="30" w:type="dxa"/>
              <w:bottom w:w="30" w:type="dxa"/>
            </w:tcMar>
            <w:vAlign w:val="center"/>
          </w:tcPr>
          <w:p w14:paraId="599281D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648CC39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07385C9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0.01]</w:t>
            </w:r>
          </w:p>
        </w:tc>
        <w:tc>
          <w:tcPr>
            <w:tcW w:w="0" w:type="auto"/>
            <w:tcMar>
              <w:top w:w="30" w:type="dxa"/>
              <w:bottom w:w="30" w:type="dxa"/>
            </w:tcMar>
            <w:vAlign w:val="center"/>
          </w:tcPr>
          <w:p w14:paraId="1843B896"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790D15C6"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2.32</w:t>
            </w:r>
          </w:p>
        </w:tc>
        <w:tc>
          <w:tcPr>
            <w:tcW w:w="0" w:type="auto"/>
            <w:tcMar>
              <w:top w:w="30" w:type="dxa"/>
              <w:bottom w:w="30" w:type="dxa"/>
            </w:tcMar>
            <w:vAlign w:val="center"/>
          </w:tcPr>
          <w:p w14:paraId="0609517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r>
      <w:tr w:rsidR="005459E6" w:rsidRPr="005459E6" w14:paraId="1A9467A7" w14:textId="77777777" w:rsidTr="005640BE">
        <w:tc>
          <w:tcPr>
            <w:tcW w:w="0" w:type="auto"/>
            <w:tcMar>
              <w:top w:w="30" w:type="dxa"/>
              <w:bottom w:w="30" w:type="dxa"/>
            </w:tcMar>
            <w:vAlign w:val="center"/>
          </w:tcPr>
          <w:p w14:paraId="2369141A"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w:t>
            </w:r>
          </w:p>
        </w:tc>
        <w:tc>
          <w:tcPr>
            <w:tcW w:w="0" w:type="auto"/>
            <w:tcMar>
              <w:top w:w="30" w:type="dxa"/>
              <w:bottom w:w="30" w:type="dxa"/>
            </w:tcMar>
            <w:vAlign w:val="center"/>
          </w:tcPr>
          <w:p w14:paraId="1134E2E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34F2111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4585556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0.02]</w:t>
            </w:r>
          </w:p>
        </w:tc>
        <w:tc>
          <w:tcPr>
            <w:tcW w:w="0" w:type="auto"/>
            <w:tcMar>
              <w:top w:w="30" w:type="dxa"/>
              <w:bottom w:w="30" w:type="dxa"/>
            </w:tcMar>
            <w:vAlign w:val="center"/>
          </w:tcPr>
          <w:p w14:paraId="272AFC6F"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w:t>
            </w:r>
          </w:p>
        </w:tc>
        <w:tc>
          <w:tcPr>
            <w:tcW w:w="0" w:type="auto"/>
            <w:tcMar>
              <w:top w:w="30" w:type="dxa"/>
              <w:bottom w:w="30" w:type="dxa"/>
            </w:tcMar>
            <w:vAlign w:val="center"/>
          </w:tcPr>
          <w:p w14:paraId="3722ECE4"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3.84</w:t>
            </w:r>
          </w:p>
        </w:tc>
        <w:tc>
          <w:tcPr>
            <w:tcW w:w="0" w:type="auto"/>
            <w:tcMar>
              <w:top w:w="30" w:type="dxa"/>
              <w:bottom w:w="30" w:type="dxa"/>
            </w:tcMar>
            <w:vAlign w:val="center"/>
          </w:tcPr>
          <w:p w14:paraId="51E6B40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CAEF3FA" w14:textId="77777777" w:rsidTr="005640BE">
        <w:tc>
          <w:tcPr>
            <w:tcW w:w="0" w:type="auto"/>
            <w:tcMar>
              <w:top w:w="30" w:type="dxa"/>
              <w:bottom w:w="30" w:type="dxa"/>
            </w:tcMar>
            <w:vAlign w:val="center"/>
          </w:tcPr>
          <w:p w14:paraId="4A592A9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LTE</w:t>
            </w:r>
          </w:p>
        </w:tc>
        <w:tc>
          <w:tcPr>
            <w:tcW w:w="0" w:type="auto"/>
            <w:tcMar>
              <w:top w:w="30" w:type="dxa"/>
              <w:bottom w:w="30" w:type="dxa"/>
            </w:tcMar>
            <w:vAlign w:val="center"/>
          </w:tcPr>
          <w:p w14:paraId="59C4A4AC"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67EE39F1"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3931BC20"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0.04]</w:t>
            </w:r>
          </w:p>
        </w:tc>
        <w:tc>
          <w:tcPr>
            <w:tcW w:w="0" w:type="auto"/>
            <w:tcMar>
              <w:top w:w="30" w:type="dxa"/>
              <w:bottom w:w="30" w:type="dxa"/>
            </w:tcMar>
            <w:vAlign w:val="center"/>
          </w:tcPr>
          <w:p w14:paraId="440AEED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7279986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2.38</w:t>
            </w:r>
          </w:p>
        </w:tc>
        <w:tc>
          <w:tcPr>
            <w:tcW w:w="0" w:type="auto"/>
            <w:tcMar>
              <w:top w:w="30" w:type="dxa"/>
              <w:bottom w:w="30" w:type="dxa"/>
            </w:tcMar>
            <w:vAlign w:val="center"/>
          </w:tcPr>
          <w:p w14:paraId="3DD98422"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.018</w:t>
            </w:r>
          </w:p>
        </w:tc>
      </w:tr>
      <w:tr w:rsidR="005459E6" w:rsidRPr="005459E6" w14:paraId="43110C0B" w14:textId="77777777" w:rsidTr="005640BE">
        <w:tc>
          <w:tcPr>
            <w:tcW w:w="0" w:type="auto"/>
            <w:tcBorders>
              <w:bottom w:val="single" w:sz="5" w:space="0" w:color="000000"/>
            </w:tcBorders>
            <w:tcMar>
              <w:top w:w="30" w:type="dxa"/>
              <w:bottom w:w="30" w:type="dxa"/>
            </w:tcMar>
            <w:vAlign w:val="center"/>
          </w:tcPr>
          <w:p w14:paraId="3ED29FAD"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w:t>
            </w:r>
          </w:p>
        </w:tc>
        <w:tc>
          <w:tcPr>
            <w:tcW w:w="0" w:type="auto"/>
            <w:tcBorders>
              <w:bottom w:val="single" w:sz="5" w:space="0" w:color="000000"/>
            </w:tcBorders>
            <w:tcMar>
              <w:top w:w="30" w:type="dxa"/>
              <w:bottom w:w="30" w:type="dxa"/>
            </w:tcMar>
            <w:vAlign w:val="center"/>
          </w:tcPr>
          <w:p w14:paraId="3144923B"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w:t>
            </w:r>
          </w:p>
        </w:tc>
        <w:tc>
          <w:tcPr>
            <w:tcW w:w="0" w:type="auto"/>
            <w:tcBorders>
              <w:bottom w:val="single" w:sz="5" w:space="0" w:color="000000"/>
            </w:tcBorders>
            <w:tcMar>
              <w:top w:w="30" w:type="dxa"/>
              <w:bottom w:w="30" w:type="dxa"/>
            </w:tcMar>
            <w:vAlign w:val="center"/>
          </w:tcPr>
          <w:p w14:paraId="2EAAA7DE"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Borders>
              <w:bottom w:val="single" w:sz="5" w:space="0" w:color="000000"/>
            </w:tcBorders>
            <w:tcMar>
              <w:top w:w="30" w:type="dxa"/>
              <w:bottom w:w="30" w:type="dxa"/>
            </w:tcMar>
            <w:vAlign w:val="center"/>
          </w:tcPr>
          <w:p w14:paraId="63F6BF9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0.14]</w:t>
            </w:r>
          </w:p>
        </w:tc>
        <w:tc>
          <w:tcPr>
            <w:tcW w:w="0" w:type="auto"/>
            <w:tcBorders>
              <w:bottom w:val="single" w:sz="5" w:space="0" w:color="000000"/>
            </w:tcBorders>
            <w:tcMar>
              <w:top w:w="30" w:type="dxa"/>
              <w:bottom w:w="30" w:type="dxa"/>
            </w:tcMar>
            <w:vAlign w:val="center"/>
          </w:tcPr>
          <w:p w14:paraId="0C212328"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w:t>
            </w:r>
          </w:p>
        </w:tc>
        <w:tc>
          <w:tcPr>
            <w:tcW w:w="0" w:type="auto"/>
            <w:tcBorders>
              <w:bottom w:val="single" w:sz="5" w:space="0" w:color="000000"/>
            </w:tcBorders>
            <w:tcMar>
              <w:top w:w="30" w:type="dxa"/>
              <w:bottom w:w="30" w:type="dxa"/>
            </w:tcMar>
            <w:vAlign w:val="center"/>
          </w:tcPr>
          <w:p w14:paraId="6E4E6F73"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12.50</w:t>
            </w:r>
          </w:p>
        </w:tc>
        <w:tc>
          <w:tcPr>
            <w:tcW w:w="0" w:type="auto"/>
            <w:tcBorders>
              <w:bottom w:val="single" w:sz="5" w:space="0" w:color="000000"/>
            </w:tcBorders>
            <w:tcMar>
              <w:top w:w="30" w:type="dxa"/>
              <w:bottom w:w="30" w:type="dxa"/>
            </w:tcMar>
            <w:vAlign w:val="center"/>
          </w:tcPr>
          <w:p w14:paraId="52167847"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C7354B" w:rsidRPr="005459E6" w14:paraId="45E03110" w14:textId="77777777" w:rsidTr="005640BE">
        <w:tc>
          <w:tcPr>
            <w:tcW w:w="0" w:type="auto"/>
            <w:gridSpan w:val="7"/>
            <w:tcMar>
              <w:top w:w="15" w:type="dxa"/>
              <w:bottom w:w="15" w:type="dxa"/>
            </w:tcMar>
            <w:vAlign w:val="center"/>
          </w:tcPr>
          <w:p w14:paraId="0007CA15" w14:textId="77777777" w:rsidR="00C7354B" w:rsidRPr="005459E6" w:rsidRDefault="00C7354B"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Note.</w:t>
            </w:r>
            <w:r w:rsidRPr="005459E6">
              <w:rPr>
                <w:rFonts w:ascii="Times New Roman" w:hAnsi="Times New Roman" w:cs="Times New Roman"/>
                <w:position w:val="-3"/>
              </w:rPr>
              <w:t xml:space="preserve"> Results: </w:t>
            </w:r>
            <w:r w:rsidRPr="005459E6">
              <w:rPr>
                <w:rFonts w:ascii="Times New Roman" w:hAnsi="Times New Roman" w:cs="Times New Roman"/>
                <w:i/>
                <w:iCs/>
                <w:position w:val="-3"/>
              </w:rPr>
              <w:t>F</w:t>
            </w:r>
            <w:r w:rsidRPr="005459E6">
              <w:rPr>
                <w:rFonts w:ascii="Times New Roman" w:hAnsi="Times New Roman" w:cs="Times New Roman"/>
                <w:position w:val="-3"/>
              </w:rPr>
              <w:t xml:space="preserve">(12,1509) = 1584.37, </w:t>
            </w:r>
            <w:r w:rsidRPr="005459E6">
              <w:rPr>
                <w:rFonts w:ascii="Times New Roman" w:hAnsi="Times New Roman" w:cs="Times New Roman"/>
                <w:i/>
                <w:iCs/>
                <w:position w:val="-3"/>
              </w:rPr>
              <w:t>p</w:t>
            </w:r>
            <w:r w:rsidRPr="005459E6">
              <w:rPr>
                <w:rFonts w:ascii="Times New Roman" w:hAnsi="Times New Roman" w:cs="Times New Roman"/>
                <w:position w:val="-3"/>
              </w:rPr>
              <w:t xml:space="preserve"> &lt; .001, </w:t>
            </w:r>
            <w:r w:rsidRPr="005459E6">
              <w:rPr>
                <w:rFonts w:ascii="Times New Roman" w:hAnsi="Times New Roman" w:cs="Times New Roman"/>
                <w:i/>
                <w:iCs/>
                <w:position w:val="-3"/>
              </w:rPr>
              <w:t>R</w:t>
            </w:r>
            <w:r w:rsidRPr="005459E6">
              <w:rPr>
                <w:rFonts w:ascii="Times New Roman" w:hAnsi="Times New Roman" w:cs="Times New Roman"/>
                <w:position w:val="4"/>
                <w:vertAlign w:val="superscript"/>
              </w:rPr>
              <w:t>2</w:t>
            </w:r>
            <w:r w:rsidRPr="005459E6">
              <w:rPr>
                <w:rFonts w:ascii="Times New Roman" w:hAnsi="Times New Roman" w:cs="Times New Roman"/>
                <w:position w:val="-3"/>
              </w:rPr>
              <w:t xml:space="preserve"> = 0.93</w:t>
            </w:r>
            <w:r w:rsidRPr="005459E6">
              <w:rPr>
                <w:rFonts w:ascii="Times New Roman" w:hAnsi="Times New Roman" w:cs="Times New Roman"/>
                <w:position w:val="-3"/>
              </w:rPr>
              <w:br/>
              <w:t>Unstandardized Regression Equation: STRESS = -0.00 + 0.00*AGE - 0.00*WEIGHT - 0.09*ENGAGEMENT + 0.49*RELAXATION - 0.01*GENDER + 0.00*HEIGHT - 0.02*EXCITEMENT + 0.33*INTEREST + 0.01*LIFESTYLE + 0.02*STATE_OF_HEALTH + 0.02*LTE + 0.13*FOCUS</w:t>
            </w:r>
          </w:p>
        </w:tc>
      </w:tr>
    </w:tbl>
    <w:p w14:paraId="20C5C796" w14:textId="7A2CCC99" w:rsidR="003C0C38" w:rsidRPr="005459E6" w:rsidRDefault="003C0C38" w:rsidP="00042CB0">
      <w:pPr>
        <w:spacing w:after="240" w:line="360" w:lineRule="auto"/>
        <w:jc w:val="both"/>
        <w:rPr>
          <w:rFonts w:ascii="Times New Roman" w:hAnsi="Times New Roman" w:cs="Times New Roman"/>
        </w:rPr>
      </w:pPr>
    </w:p>
    <w:p w14:paraId="23B2024B" w14:textId="7F0EC2B2" w:rsidR="0034495B" w:rsidRPr="005459E6" w:rsidRDefault="0034495B" w:rsidP="00042CB0">
      <w:pPr>
        <w:spacing w:after="240" w:line="360" w:lineRule="auto"/>
        <w:jc w:val="both"/>
        <w:rPr>
          <w:rFonts w:ascii="Times New Roman" w:hAnsi="Times New Roman" w:cs="Times New Roman"/>
        </w:rPr>
      </w:pPr>
    </w:p>
    <w:p w14:paraId="7450237E" w14:textId="416E8A4A" w:rsidR="0034495B" w:rsidRPr="005459E6" w:rsidRDefault="0034495B" w:rsidP="00042CB0">
      <w:pPr>
        <w:spacing w:after="240" w:line="360" w:lineRule="auto"/>
        <w:jc w:val="both"/>
        <w:rPr>
          <w:rFonts w:ascii="Times New Roman" w:hAnsi="Times New Roman" w:cs="Times New Roman"/>
        </w:rPr>
      </w:pPr>
    </w:p>
    <w:p w14:paraId="3AC08AA2" w14:textId="5C4732CD" w:rsidR="0034495B" w:rsidRPr="005459E6" w:rsidRDefault="0034495B" w:rsidP="00042CB0">
      <w:pPr>
        <w:spacing w:after="240" w:line="360" w:lineRule="auto"/>
        <w:jc w:val="both"/>
        <w:rPr>
          <w:rFonts w:ascii="Times New Roman" w:hAnsi="Times New Roman" w:cs="Times New Roman"/>
        </w:rPr>
      </w:pPr>
    </w:p>
    <w:p w14:paraId="49F26091" w14:textId="5602ED38" w:rsidR="003C0C38" w:rsidRPr="005459E6" w:rsidRDefault="003C0C38" w:rsidP="00042CB0">
      <w:pPr>
        <w:spacing w:line="360" w:lineRule="auto"/>
        <w:jc w:val="both"/>
        <w:rPr>
          <w:rFonts w:ascii="Times New Roman" w:hAnsi="Times New Roman" w:cs="Times New Roman"/>
          <w:b/>
          <w:bCs/>
        </w:rPr>
      </w:pPr>
    </w:p>
    <w:p w14:paraId="1FE33916" w14:textId="55B6A98F" w:rsidR="003C0C38" w:rsidRPr="005459E6" w:rsidRDefault="00D56977"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Insights from Regression Analysis</w:t>
      </w:r>
    </w:p>
    <w:p w14:paraId="5207B6D2" w14:textId="77777777" w:rsidR="008C2DE8"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This predictive analysis was run with the help of</w:t>
      </w:r>
      <w:r w:rsidR="008C2DE8" w:rsidRPr="005459E6">
        <w:rPr>
          <w:rFonts w:ascii="Times New Roman" w:hAnsi="Times New Roman" w:cs="Times New Roman"/>
        </w:rPr>
        <w:t xml:space="preserve"> data retrieved from</w:t>
      </w:r>
      <w:r w:rsidRPr="005459E6">
        <w:rPr>
          <w:rFonts w:ascii="Times New Roman" w:hAnsi="Times New Roman" w:cs="Times New Roman"/>
        </w:rPr>
        <w:t xml:space="preserve"> Brain Computer Interface (BCI).   </w:t>
      </w:r>
    </w:p>
    <w:p w14:paraId="067315B0" w14:textId="6CC0F5A3"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The same was used to establish the existence and significance of 'Psychosomatic health'. This stage of research was driven by Quantitative analysis (inclusive of 2</w:t>
      </w:r>
      <w:r w:rsidR="008C2DE8" w:rsidRPr="005459E6">
        <w:rPr>
          <w:rFonts w:ascii="Times New Roman" w:hAnsi="Times New Roman" w:cs="Times New Roman"/>
        </w:rPr>
        <w:t>6</w:t>
      </w:r>
      <w:r w:rsidRPr="005459E6">
        <w:rPr>
          <w:rFonts w:ascii="Times New Roman" w:hAnsi="Times New Roman" w:cs="Times New Roman"/>
        </w:rPr>
        <w:t xml:space="preserve"> individual</w:t>
      </w:r>
      <w:r w:rsidR="00176958" w:rsidRPr="005459E6">
        <w:rPr>
          <w:rFonts w:ascii="Times New Roman" w:hAnsi="Times New Roman" w:cs="Times New Roman"/>
        </w:rPr>
        <w:t>s</w:t>
      </w:r>
      <w:r w:rsidRPr="005459E6">
        <w:rPr>
          <w:rFonts w:ascii="Times New Roman" w:hAnsi="Times New Roman" w:cs="Times New Roman"/>
        </w:rPr>
        <w:t xml:space="preserve">) </w:t>
      </w:r>
      <w:r w:rsidR="00176958" w:rsidRPr="005459E6">
        <w:rPr>
          <w:rFonts w:ascii="Times New Roman" w:hAnsi="Times New Roman" w:cs="Times New Roman"/>
        </w:rPr>
        <w:t xml:space="preserve">of </w:t>
      </w:r>
      <w:r w:rsidRPr="005459E6">
        <w:rPr>
          <w:rFonts w:ascii="Times New Roman" w:hAnsi="Times New Roman" w:cs="Times New Roman"/>
        </w:rPr>
        <w:t>1522 unique EEG samples collected from them. The data modeling was done using multiple linear regression analysis.</w:t>
      </w:r>
    </w:p>
    <w:p w14:paraId="4BE84C97" w14:textId="5CA2E219"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The results of this stage of research explored the impact of emotions on psychological well-being.</w:t>
      </w:r>
    </w:p>
    <w:p w14:paraId="24B58BEE" w14:textId="7C1CC5FB" w:rsidR="00D969F9" w:rsidRPr="005459E6" w:rsidRDefault="008C2DE8" w:rsidP="00042CB0">
      <w:pPr>
        <w:spacing w:line="360" w:lineRule="auto"/>
        <w:jc w:val="both"/>
        <w:rPr>
          <w:rFonts w:ascii="Times New Roman" w:hAnsi="Times New Roman" w:cs="Times New Roman"/>
        </w:rPr>
      </w:pPr>
      <w:r w:rsidRPr="005459E6">
        <w:rPr>
          <w:rFonts w:ascii="Times New Roman" w:hAnsi="Times New Roman" w:cs="Times New Roman"/>
        </w:rPr>
        <w:t>‘</w:t>
      </w:r>
      <w:r w:rsidR="00D969F9" w:rsidRPr="005459E6">
        <w:rPr>
          <w:rFonts w:ascii="Times New Roman" w:hAnsi="Times New Roman" w:cs="Times New Roman"/>
        </w:rPr>
        <w:t>Stress</w:t>
      </w:r>
      <w:r w:rsidRPr="005459E6">
        <w:rPr>
          <w:rFonts w:ascii="Times New Roman" w:hAnsi="Times New Roman" w:cs="Times New Roman"/>
        </w:rPr>
        <w:t>’</w:t>
      </w:r>
      <w:r w:rsidR="00D969F9" w:rsidRPr="005459E6">
        <w:rPr>
          <w:rFonts w:ascii="Times New Roman" w:hAnsi="Times New Roman" w:cs="Times New Roman"/>
        </w:rPr>
        <w:t xml:space="preserve"> is moderated by Emotions (including Interest, Relaxation, Focus and Engagement)</w:t>
      </w:r>
    </w:p>
    <w:p w14:paraId="2E481E5E" w14:textId="77777777" w:rsidR="008C2DE8" w:rsidRPr="005459E6" w:rsidRDefault="008C2DE8" w:rsidP="00042CB0">
      <w:pPr>
        <w:spacing w:line="360" w:lineRule="auto"/>
        <w:jc w:val="both"/>
        <w:rPr>
          <w:rFonts w:ascii="Times New Roman" w:hAnsi="Times New Roman" w:cs="Times New Roman"/>
        </w:rPr>
      </w:pPr>
    </w:p>
    <w:p w14:paraId="63C5EDB8" w14:textId="77777777" w:rsidR="00D969F9" w:rsidRPr="005459E6" w:rsidRDefault="00D969F9" w:rsidP="00042CB0">
      <w:pPr>
        <w:spacing w:after="120" w:line="360" w:lineRule="auto"/>
        <w:jc w:val="both"/>
        <w:rPr>
          <w:rFonts w:ascii="Times New Roman" w:hAnsi="Times New Roman" w:cs="Times New Roman"/>
        </w:rPr>
      </w:pPr>
      <w:r w:rsidRPr="005459E6">
        <w:rPr>
          <w:rFonts w:ascii="Times New Roman" w:hAnsi="Times New Roman" w:cs="Times New Roman"/>
          <w:i/>
          <w:iCs/>
        </w:rPr>
        <w:t>Results for Linear Regression with AGE, WEIGHT, ENGAGEMENT, RELAXATION, GENDER, HEIGHT, EXCITEMENT, INTEREST, LIFESTYLE, STATE_OF_HEALTH, LTE, and FOCUS predicting STRESS</w:t>
      </w:r>
    </w:p>
    <w:tbl>
      <w:tblPr>
        <w:tblStyle w:val="NormalTablePHPDOCX"/>
        <w:tblW w:w="5000" w:type="pct"/>
        <w:tblInd w:w="108" w:type="dxa"/>
        <w:tblLook w:val="04A0" w:firstRow="1" w:lastRow="0" w:firstColumn="1" w:lastColumn="0" w:noHBand="0" w:noVBand="1"/>
      </w:tblPr>
      <w:tblGrid>
        <w:gridCol w:w="2482"/>
        <w:gridCol w:w="961"/>
        <w:gridCol w:w="855"/>
        <w:gridCol w:w="1978"/>
        <w:gridCol w:w="961"/>
        <w:gridCol w:w="1012"/>
        <w:gridCol w:w="1111"/>
      </w:tblGrid>
      <w:tr w:rsidR="005459E6" w:rsidRPr="005459E6" w14:paraId="50A129F2" w14:textId="77777777" w:rsidTr="00562384">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3B3D97E4"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Variable</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44F8DCD2"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B</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1A3C39B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SE</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137EB14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7E644A3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β</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6880BE4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t</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2E10ABF2"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5459E6" w:rsidRPr="005459E6" w14:paraId="49B8828C" w14:textId="77777777" w:rsidTr="00562384">
        <w:tc>
          <w:tcPr>
            <w:tcW w:w="0" w:type="auto"/>
            <w:tcMar>
              <w:top w:w="30" w:type="dxa"/>
              <w:left w:w="108" w:type="dxa"/>
              <w:bottom w:w="30" w:type="dxa"/>
              <w:right w:w="108" w:type="dxa"/>
            </w:tcMar>
            <w:vAlign w:val="center"/>
            <w:hideMark/>
          </w:tcPr>
          <w:p w14:paraId="51D30A3F"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ENGAGEMENT</w:t>
            </w:r>
          </w:p>
        </w:tc>
        <w:tc>
          <w:tcPr>
            <w:tcW w:w="0" w:type="auto"/>
            <w:tcMar>
              <w:top w:w="30" w:type="dxa"/>
              <w:left w:w="108" w:type="dxa"/>
              <w:bottom w:w="30" w:type="dxa"/>
              <w:right w:w="108" w:type="dxa"/>
            </w:tcMar>
            <w:vAlign w:val="center"/>
            <w:hideMark/>
          </w:tcPr>
          <w:p w14:paraId="283CEAD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w:t>
            </w:r>
          </w:p>
        </w:tc>
        <w:tc>
          <w:tcPr>
            <w:tcW w:w="0" w:type="auto"/>
            <w:tcMar>
              <w:top w:w="30" w:type="dxa"/>
              <w:left w:w="108" w:type="dxa"/>
              <w:bottom w:w="30" w:type="dxa"/>
              <w:right w:w="108" w:type="dxa"/>
            </w:tcMar>
            <w:vAlign w:val="center"/>
            <w:hideMark/>
          </w:tcPr>
          <w:p w14:paraId="440A907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left w:w="108" w:type="dxa"/>
              <w:bottom w:w="30" w:type="dxa"/>
              <w:right w:w="108" w:type="dxa"/>
            </w:tcMar>
            <w:vAlign w:val="center"/>
            <w:hideMark/>
          </w:tcPr>
          <w:p w14:paraId="645565A5"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-0.07]</w:t>
            </w:r>
          </w:p>
        </w:tc>
        <w:tc>
          <w:tcPr>
            <w:tcW w:w="0" w:type="auto"/>
            <w:tcMar>
              <w:top w:w="30" w:type="dxa"/>
              <w:left w:w="108" w:type="dxa"/>
              <w:bottom w:w="30" w:type="dxa"/>
              <w:right w:w="108" w:type="dxa"/>
            </w:tcMar>
            <w:vAlign w:val="center"/>
            <w:hideMark/>
          </w:tcPr>
          <w:p w14:paraId="3B29562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-0.15</w:t>
            </w:r>
          </w:p>
        </w:tc>
        <w:tc>
          <w:tcPr>
            <w:tcW w:w="0" w:type="auto"/>
            <w:tcMar>
              <w:top w:w="30" w:type="dxa"/>
              <w:left w:w="108" w:type="dxa"/>
              <w:bottom w:w="30" w:type="dxa"/>
              <w:right w:w="108" w:type="dxa"/>
            </w:tcMar>
            <w:vAlign w:val="center"/>
            <w:hideMark/>
          </w:tcPr>
          <w:p w14:paraId="3BDB6053"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-9.00</w:t>
            </w:r>
          </w:p>
        </w:tc>
        <w:tc>
          <w:tcPr>
            <w:tcW w:w="0" w:type="auto"/>
            <w:tcMar>
              <w:top w:w="30" w:type="dxa"/>
              <w:left w:w="108" w:type="dxa"/>
              <w:bottom w:w="30" w:type="dxa"/>
              <w:right w:w="108" w:type="dxa"/>
            </w:tcMar>
            <w:vAlign w:val="center"/>
            <w:hideMark/>
          </w:tcPr>
          <w:p w14:paraId="6A0B2C8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41BCDDD" w14:textId="77777777" w:rsidTr="00562384">
        <w:tc>
          <w:tcPr>
            <w:tcW w:w="0" w:type="auto"/>
            <w:tcMar>
              <w:top w:w="30" w:type="dxa"/>
              <w:left w:w="108" w:type="dxa"/>
              <w:bottom w:w="30" w:type="dxa"/>
              <w:right w:w="108" w:type="dxa"/>
            </w:tcMar>
            <w:vAlign w:val="center"/>
            <w:hideMark/>
          </w:tcPr>
          <w:p w14:paraId="46751B9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RELAXATION</w:t>
            </w:r>
          </w:p>
        </w:tc>
        <w:tc>
          <w:tcPr>
            <w:tcW w:w="0" w:type="auto"/>
            <w:tcMar>
              <w:top w:w="30" w:type="dxa"/>
              <w:left w:w="108" w:type="dxa"/>
              <w:bottom w:w="30" w:type="dxa"/>
              <w:right w:w="108" w:type="dxa"/>
            </w:tcMar>
            <w:vAlign w:val="center"/>
            <w:hideMark/>
          </w:tcPr>
          <w:p w14:paraId="15B02475"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0.49</w:t>
            </w:r>
          </w:p>
        </w:tc>
        <w:tc>
          <w:tcPr>
            <w:tcW w:w="0" w:type="auto"/>
            <w:tcMar>
              <w:top w:w="30" w:type="dxa"/>
              <w:left w:w="108" w:type="dxa"/>
              <w:bottom w:w="30" w:type="dxa"/>
              <w:right w:w="108" w:type="dxa"/>
            </w:tcMar>
            <w:vAlign w:val="center"/>
            <w:hideMark/>
          </w:tcPr>
          <w:p w14:paraId="2173639D"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left w:w="108" w:type="dxa"/>
              <w:bottom w:w="30" w:type="dxa"/>
              <w:right w:w="108" w:type="dxa"/>
            </w:tcMar>
            <w:vAlign w:val="center"/>
            <w:hideMark/>
          </w:tcPr>
          <w:p w14:paraId="62C13FF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[0.47, 0.51]</w:t>
            </w:r>
          </w:p>
        </w:tc>
        <w:tc>
          <w:tcPr>
            <w:tcW w:w="0" w:type="auto"/>
            <w:tcMar>
              <w:top w:w="30" w:type="dxa"/>
              <w:left w:w="108" w:type="dxa"/>
              <w:bottom w:w="30" w:type="dxa"/>
              <w:right w:w="108" w:type="dxa"/>
            </w:tcMar>
            <w:vAlign w:val="center"/>
            <w:hideMark/>
          </w:tcPr>
          <w:p w14:paraId="2AC0074E"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0.61</w:t>
            </w:r>
          </w:p>
        </w:tc>
        <w:tc>
          <w:tcPr>
            <w:tcW w:w="0" w:type="auto"/>
            <w:tcMar>
              <w:top w:w="30" w:type="dxa"/>
              <w:left w:w="108" w:type="dxa"/>
              <w:bottom w:w="30" w:type="dxa"/>
              <w:right w:w="108" w:type="dxa"/>
            </w:tcMar>
            <w:vAlign w:val="center"/>
            <w:hideMark/>
          </w:tcPr>
          <w:p w14:paraId="23E4F8A1"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48.41</w:t>
            </w:r>
          </w:p>
        </w:tc>
        <w:tc>
          <w:tcPr>
            <w:tcW w:w="0" w:type="auto"/>
            <w:tcMar>
              <w:top w:w="30" w:type="dxa"/>
              <w:left w:w="108" w:type="dxa"/>
              <w:bottom w:w="30" w:type="dxa"/>
              <w:right w:w="108" w:type="dxa"/>
            </w:tcMar>
            <w:vAlign w:val="center"/>
            <w:hideMark/>
          </w:tcPr>
          <w:p w14:paraId="2223024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D45A3D8" w14:textId="77777777" w:rsidTr="00562384">
        <w:tc>
          <w:tcPr>
            <w:tcW w:w="0" w:type="auto"/>
            <w:tcMar>
              <w:top w:w="30" w:type="dxa"/>
              <w:left w:w="108" w:type="dxa"/>
              <w:bottom w:w="30" w:type="dxa"/>
              <w:right w:w="108" w:type="dxa"/>
            </w:tcMar>
            <w:vAlign w:val="center"/>
            <w:hideMark/>
          </w:tcPr>
          <w:p w14:paraId="29B5703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INTEREST</w:t>
            </w:r>
          </w:p>
        </w:tc>
        <w:tc>
          <w:tcPr>
            <w:tcW w:w="0" w:type="auto"/>
            <w:tcMar>
              <w:top w:w="30" w:type="dxa"/>
              <w:left w:w="108" w:type="dxa"/>
              <w:bottom w:w="30" w:type="dxa"/>
              <w:right w:w="108" w:type="dxa"/>
            </w:tcMar>
            <w:vAlign w:val="center"/>
            <w:hideMark/>
          </w:tcPr>
          <w:p w14:paraId="309F2BD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0.33</w:t>
            </w:r>
          </w:p>
        </w:tc>
        <w:tc>
          <w:tcPr>
            <w:tcW w:w="0" w:type="auto"/>
            <w:tcMar>
              <w:top w:w="30" w:type="dxa"/>
              <w:left w:w="108" w:type="dxa"/>
              <w:bottom w:w="30" w:type="dxa"/>
              <w:right w:w="108" w:type="dxa"/>
            </w:tcMar>
            <w:vAlign w:val="center"/>
            <w:hideMark/>
          </w:tcPr>
          <w:p w14:paraId="6562084F"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left w:w="108" w:type="dxa"/>
              <w:bottom w:w="30" w:type="dxa"/>
              <w:right w:w="108" w:type="dxa"/>
            </w:tcMar>
            <w:vAlign w:val="center"/>
            <w:hideMark/>
          </w:tcPr>
          <w:p w14:paraId="7CE5AEC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 0.35]</w:t>
            </w:r>
          </w:p>
        </w:tc>
        <w:tc>
          <w:tcPr>
            <w:tcW w:w="0" w:type="auto"/>
            <w:tcMar>
              <w:top w:w="30" w:type="dxa"/>
              <w:left w:w="108" w:type="dxa"/>
              <w:bottom w:w="30" w:type="dxa"/>
              <w:right w:w="108" w:type="dxa"/>
            </w:tcMar>
            <w:vAlign w:val="center"/>
            <w:hideMark/>
          </w:tcPr>
          <w:p w14:paraId="126F716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0.40</w:t>
            </w:r>
          </w:p>
        </w:tc>
        <w:tc>
          <w:tcPr>
            <w:tcW w:w="0" w:type="auto"/>
            <w:tcMar>
              <w:top w:w="30" w:type="dxa"/>
              <w:left w:w="108" w:type="dxa"/>
              <w:bottom w:w="30" w:type="dxa"/>
              <w:right w:w="108" w:type="dxa"/>
            </w:tcMar>
            <w:vAlign w:val="center"/>
            <w:hideMark/>
          </w:tcPr>
          <w:p w14:paraId="585E0CD3"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26.24</w:t>
            </w:r>
          </w:p>
        </w:tc>
        <w:tc>
          <w:tcPr>
            <w:tcW w:w="0" w:type="auto"/>
            <w:tcMar>
              <w:top w:w="30" w:type="dxa"/>
              <w:left w:w="108" w:type="dxa"/>
              <w:bottom w:w="30" w:type="dxa"/>
              <w:right w:w="108" w:type="dxa"/>
            </w:tcMar>
            <w:vAlign w:val="center"/>
            <w:hideMark/>
          </w:tcPr>
          <w:p w14:paraId="2B1EF264"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6F7BC0" w:rsidRPr="005459E6" w14:paraId="091646A1" w14:textId="77777777" w:rsidTr="00562384">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53AB742D"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7394D2F6"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2F6E27CC"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2FF97D7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0.14]</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114F65EC"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2E05D5D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12.50</w:t>
            </w:r>
          </w:p>
        </w:tc>
        <w:tc>
          <w:tcPr>
            <w:tcW w:w="0" w:type="auto"/>
            <w:tcBorders>
              <w:top w:val="nil"/>
              <w:left w:val="nil"/>
              <w:bottom w:val="single" w:sz="6" w:space="0" w:color="000000"/>
              <w:right w:val="nil"/>
            </w:tcBorders>
            <w:tcMar>
              <w:top w:w="30" w:type="dxa"/>
              <w:left w:w="108" w:type="dxa"/>
              <w:bottom w:w="30" w:type="dxa"/>
              <w:right w:w="108" w:type="dxa"/>
            </w:tcMar>
            <w:vAlign w:val="center"/>
            <w:hideMark/>
          </w:tcPr>
          <w:p w14:paraId="30E9816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bl>
    <w:p w14:paraId="36A04BC8" w14:textId="77777777" w:rsidR="00D969F9" w:rsidRPr="005459E6" w:rsidRDefault="00D969F9" w:rsidP="00042CB0">
      <w:pPr>
        <w:spacing w:line="360" w:lineRule="auto"/>
        <w:jc w:val="both"/>
        <w:rPr>
          <w:rFonts w:ascii="Times New Roman" w:hAnsi="Times New Roman" w:cs="Times New Roman"/>
        </w:rPr>
      </w:pPr>
    </w:p>
    <w:p w14:paraId="68944945" w14:textId="77777777" w:rsidR="00411924" w:rsidRPr="005459E6" w:rsidRDefault="00411924" w:rsidP="00042CB0">
      <w:pPr>
        <w:spacing w:line="360" w:lineRule="auto"/>
        <w:jc w:val="both"/>
        <w:rPr>
          <w:rFonts w:ascii="Times New Roman" w:hAnsi="Times New Roman" w:cs="Times New Roman"/>
          <w:i/>
          <w:iCs/>
          <w:shd w:val="clear" w:color="auto" w:fill="FFFFFF"/>
        </w:rPr>
      </w:pPr>
      <w:r w:rsidRPr="005459E6">
        <w:rPr>
          <w:rFonts w:ascii="Times New Roman" w:hAnsi="Times New Roman" w:cs="Times New Roman"/>
          <w:shd w:val="clear" w:color="auto" w:fill="FFFFFF"/>
        </w:rPr>
        <w:t>The results of the linear regression model were significant, </w:t>
      </w:r>
      <w:r w:rsidRPr="005459E6">
        <w:rPr>
          <w:rStyle w:val="supcontent"/>
          <w:rFonts w:ascii="Times New Roman" w:hAnsi="Times New Roman" w:cs="Times New Roman"/>
          <w:i/>
          <w:iCs/>
          <w:shd w:val="clear" w:color="auto" w:fill="FFFFFF"/>
        </w:rPr>
        <w:t>F</w:t>
      </w:r>
      <w:r w:rsidRPr="005459E6">
        <w:rPr>
          <w:rFonts w:ascii="Times New Roman" w:hAnsi="Times New Roman" w:cs="Times New Roman"/>
          <w:shd w:val="clear" w:color="auto" w:fill="FFFFFF"/>
        </w:rPr>
        <w:t>(</w:t>
      </w:r>
      <w:r w:rsidRPr="005459E6">
        <w:rPr>
          <w:rStyle w:val="supcontent"/>
          <w:rFonts w:ascii="Times New Roman" w:hAnsi="Times New Roman" w:cs="Times New Roman"/>
          <w:shd w:val="clear" w:color="auto" w:fill="FFFFFF"/>
        </w:rPr>
        <w:t>12,1509</w:t>
      </w:r>
      <w:r w:rsidRPr="005459E6">
        <w:rPr>
          <w:rFonts w:ascii="Times New Roman" w:hAnsi="Times New Roman" w:cs="Times New Roman"/>
          <w:shd w:val="clear" w:color="auto" w:fill="FFFFFF"/>
        </w:rPr>
        <w:t>) = 1584.37, </w:t>
      </w:r>
      <w:r w:rsidRPr="005459E6">
        <w:rPr>
          <w:rStyle w:val="supcontent"/>
          <w:rFonts w:ascii="Times New Roman" w:hAnsi="Times New Roman" w:cs="Times New Roman"/>
          <w:i/>
          <w:iCs/>
          <w:shd w:val="clear" w:color="auto" w:fill="FFFFFF"/>
        </w:rPr>
        <w:t>p</w:t>
      </w:r>
      <w:r w:rsidRPr="005459E6">
        <w:rPr>
          <w:rFonts w:ascii="Times New Roman" w:hAnsi="Times New Roman" w:cs="Times New Roman"/>
          <w:shd w:val="clear" w:color="auto" w:fill="FFFFFF"/>
        </w:rPr>
        <w:t> &lt; .001, </w:t>
      </w:r>
      <w:r w:rsidRPr="005459E6">
        <w:rPr>
          <w:rStyle w:val="supcontent"/>
          <w:rFonts w:ascii="Times New Roman" w:hAnsi="Times New Roman" w:cs="Times New Roman"/>
          <w:i/>
          <w:iCs/>
          <w:shd w:val="clear" w:color="auto" w:fill="FFFFFF"/>
        </w:rPr>
        <w:t>R</w:t>
      </w:r>
      <w:r w:rsidRPr="005459E6">
        <w:rPr>
          <w:rStyle w:val="supcontent"/>
          <w:rFonts w:ascii="Times New Roman" w:hAnsi="Times New Roman" w:cs="Times New Roman"/>
          <w:shd w:val="clear" w:color="auto" w:fill="FFFFFF"/>
          <w:vertAlign w:val="superscript"/>
        </w:rPr>
        <w:t>2</w:t>
      </w:r>
      <w:r w:rsidRPr="005459E6">
        <w:rPr>
          <w:rFonts w:ascii="Times New Roman" w:hAnsi="Times New Roman" w:cs="Times New Roman"/>
          <w:shd w:val="clear" w:color="auto" w:fill="FFFFFF"/>
        </w:rPr>
        <w:t> = 0.93, indicating that approximately 93% of the variance in STRESS is explainable with</w:t>
      </w:r>
      <w:r w:rsidRPr="005459E6">
        <w:rPr>
          <w:rFonts w:ascii="Times New Roman" w:hAnsi="Times New Roman" w:cs="Times New Roman"/>
          <w:i/>
          <w:iCs/>
          <w:shd w:val="clear" w:color="auto" w:fill="FFFFFF"/>
        </w:rPr>
        <w:t xml:space="preserve"> </w:t>
      </w:r>
      <w:r w:rsidRPr="005459E6">
        <w:rPr>
          <w:rFonts w:ascii="Times New Roman" w:hAnsi="Times New Roman" w:cs="Times New Roman"/>
          <w:shd w:val="clear" w:color="auto" w:fill="FFFFFF"/>
        </w:rPr>
        <w:t>Regression Equation: STRESS = -0.00 + 0.00*AGE - 0.00*WEIGHT - 0.09*ENGAGEMENT + 0.49*RELAXATION - 0.01*GENDER + 0.00*HEIGHT - 0.02*EXCITEMENT + 0.33*INTEREST + 0.01*LIFESTYLE + 0.02*STATE_OF_HEALTH + 0.02*LTE + 0.13*FOCUS</w:t>
      </w:r>
    </w:p>
    <w:p w14:paraId="3E880176" w14:textId="77777777" w:rsidR="00D969F9" w:rsidRPr="005459E6" w:rsidRDefault="00D969F9" w:rsidP="00042CB0">
      <w:pPr>
        <w:spacing w:line="360" w:lineRule="auto"/>
        <w:jc w:val="both"/>
        <w:rPr>
          <w:rFonts w:ascii="Times New Roman" w:hAnsi="Times New Roman" w:cs="Times New Roman"/>
        </w:rPr>
      </w:pPr>
    </w:p>
    <w:p w14:paraId="02ACE27D" w14:textId="0813B611" w:rsidR="00D969F9" w:rsidRPr="005459E6" w:rsidRDefault="00D969F9" w:rsidP="00042CB0">
      <w:pPr>
        <w:spacing w:line="360" w:lineRule="auto"/>
        <w:jc w:val="both"/>
        <w:rPr>
          <w:rFonts w:ascii="Times New Roman" w:hAnsi="Times New Roman" w:cs="Times New Roman"/>
        </w:rPr>
      </w:pPr>
    </w:p>
    <w:p w14:paraId="773C5555" w14:textId="60A28FB1" w:rsidR="00D969F9" w:rsidRPr="005459E6" w:rsidRDefault="00D969F9" w:rsidP="00042CB0">
      <w:pPr>
        <w:spacing w:line="360" w:lineRule="auto"/>
        <w:jc w:val="both"/>
        <w:rPr>
          <w:rFonts w:ascii="Times New Roman" w:hAnsi="Times New Roman" w:cs="Times New Roman"/>
        </w:rPr>
      </w:pPr>
    </w:p>
    <w:p w14:paraId="620F73B8" w14:textId="77777777" w:rsidR="00041C23" w:rsidRPr="005459E6" w:rsidRDefault="00041C23" w:rsidP="00042CB0">
      <w:pPr>
        <w:spacing w:line="360" w:lineRule="auto"/>
        <w:jc w:val="both"/>
        <w:rPr>
          <w:rFonts w:ascii="Times New Roman" w:hAnsi="Times New Roman" w:cs="Times New Roman"/>
        </w:rPr>
      </w:pPr>
    </w:p>
    <w:p w14:paraId="7AF9F176" w14:textId="77777777" w:rsidR="00041C23" w:rsidRPr="005459E6" w:rsidRDefault="00041C23" w:rsidP="00042CB0">
      <w:pPr>
        <w:spacing w:line="360" w:lineRule="auto"/>
        <w:jc w:val="both"/>
        <w:rPr>
          <w:rFonts w:ascii="Times New Roman" w:hAnsi="Times New Roman" w:cs="Times New Roman"/>
        </w:rPr>
      </w:pPr>
    </w:p>
    <w:p w14:paraId="576F7635" w14:textId="77777777" w:rsidR="00D969F9" w:rsidRPr="005459E6" w:rsidRDefault="00D969F9" w:rsidP="00042CB0">
      <w:pPr>
        <w:spacing w:line="360" w:lineRule="auto"/>
        <w:jc w:val="both"/>
        <w:rPr>
          <w:rFonts w:ascii="Times New Roman" w:hAnsi="Times New Roman" w:cs="Times New Roman"/>
        </w:rPr>
      </w:pPr>
    </w:p>
    <w:p w14:paraId="3D7987FD" w14:textId="7F65A405" w:rsidR="00D969F9" w:rsidRPr="005459E6" w:rsidRDefault="00D969F9" w:rsidP="00042CB0">
      <w:pPr>
        <w:spacing w:line="360" w:lineRule="auto"/>
        <w:jc w:val="both"/>
        <w:rPr>
          <w:rFonts w:ascii="Times New Roman" w:hAnsi="Times New Roman" w:cs="Times New Roman"/>
          <w:b/>
          <w:bCs/>
        </w:rPr>
      </w:pPr>
      <w:r w:rsidRPr="005459E6">
        <w:rPr>
          <w:rFonts w:ascii="Times New Roman" w:hAnsi="Times New Roman" w:cs="Times New Roman"/>
          <w:b/>
          <w:bCs/>
        </w:rPr>
        <w:t xml:space="preserve">The latter part of the study was used for ML modeling using regression as </w:t>
      </w:r>
      <w:r w:rsidR="00F37506" w:rsidRPr="005459E6">
        <w:rPr>
          <w:rFonts w:ascii="Times New Roman" w:hAnsi="Times New Roman" w:cs="Times New Roman"/>
          <w:b/>
          <w:bCs/>
        </w:rPr>
        <w:t xml:space="preserve">a </w:t>
      </w:r>
      <w:r w:rsidRPr="005459E6">
        <w:rPr>
          <w:rFonts w:ascii="Times New Roman" w:hAnsi="Times New Roman" w:cs="Times New Roman"/>
          <w:b/>
          <w:bCs/>
        </w:rPr>
        <w:t>statistical technique.</w:t>
      </w:r>
    </w:p>
    <w:p w14:paraId="7A62BFB0" w14:textId="3FD8D84B" w:rsidR="00D969F9" w:rsidRPr="005459E6" w:rsidRDefault="008C2DE8" w:rsidP="00042CB0">
      <w:pPr>
        <w:spacing w:line="360" w:lineRule="auto"/>
        <w:jc w:val="both"/>
        <w:rPr>
          <w:rFonts w:ascii="Times New Roman" w:hAnsi="Times New Roman" w:cs="Times New Roman"/>
        </w:rPr>
      </w:pPr>
      <w:r w:rsidRPr="005459E6">
        <w:rPr>
          <w:rFonts w:ascii="Times New Roman" w:hAnsi="Times New Roman" w:cs="Times New Roman"/>
        </w:rPr>
        <w:t xml:space="preserve">To </w:t>
      </w:r>
      <w:r w:rsidR="00D969F9" w:rsidRPr="005459E6">
        <w:rPr>
          <w:rFonts w:ascii="Times New Roman" w:hAnsi="Times New Roman" w:cs="Times New Roman"/>
        </w:rPr>
        <w:t>derive real-time insights</w:t>
      </w:r>
      <w:r w:rsidRPr="005459E6">
        <w:rPr>
          <w:rFonts w:ascii="Times New Roman" w:hAnsi="Times New Roman" w:cs="Times New Roman"/>
        </w:rPr>
        <w:t>,</w:t>
      </w:r>
      <w:r w:rsidR="00D969F9" w:rsidRPr="005459E6">
        <w:rPr>
          <w:rFonts w:ascii="Times New Roman" w:hAnsi="Times New Roman" w:cs="Times New Roman"/>
        </w:rPr>
        <w:t xml:space="preserve"> </w:t>
      </w:r>
      <w:r w:rsidR="005249CD" w:rsidRPr="005459E6">
        <w:rPr>
          <w:rFonts w:ascii="Times New Roman" w:hAnsi="Times New Roman" w:cs="Times New Roman"/>
        </w:rPr>
        <w:t xml:space="preserve">the </w:t>
      </w:r>
      <w:r w:rsidR="00D969F9" w:rsidRPr="005459E6">
        <w:rPr>
          <w:rFonts w:ascii="Times New Roman" w:hAnsi="Times New Roman" w:cs="Times New Roman"/>
        </w:rPr>
        <w:t xml:space="preserve">presented research opted for data science-driven techniques using ML-driven Modeling </w:t>
      </w:r>
      <w:r w:rsidR="00D969F9" w:rsidRPr="005459E6">
        <w:rPr>
          <w:rFonts w:ascii="Times New Roman" w:hAnsi="Times New Roman" w:cs="Times New Roman"/>
        </w:rPr>
        <w:fldChar w:fldCharType="begin" w:fldLock="1"/>
      </w:r>
      <w:r w:rsidR="00D969F9" w:rsidRPr="005459E6">
        <w:rPr>
          <w:rFonts w:ascii="Times New Roman" w:hAnsi="Times New Roman" w:cs="Times New Roman"/>
        </w:rPr>
        <w:instrText>ADDIN CSL_CITATION {"citationItems":[{"id":"ITEM-1","itemData":{"DOI":"10.33215/sjom.v3i5.445","abstract":"&amp;lt;p class=&amp;quot;14-SJOMAbstractRight&amp;quot;&amp;gt;Objective- The research looks forward to extracting strategies for accelerated recovery during the ongoing Covid-19 pandemic.&amp;lt;/p&amp;gt;&amp;lt;p class=&amp;quot;14-SJOMAbstractRight&amp;quot;&amp;gt;Design - Research design considers quantitative methodology and evaluates significant factors from 170 countries to deploy supervised and unsupervised Machine Learning techniques to generate non-trivial predictions.&amp;lt;/p&amp;gt;&amp;lt;p class=&amp;quot;14-SJOMAbstractRight&amp;quot;&amp;gt;Findings - Findings presented by the research reflect on data-driven observation applicable at the macro level and provide healthcare-oriented insights for governing authorities.&amp;lt;/p&amp;gt;&amp;lt;p class=&amp;quot;14-SJOMAbstractRight&amp;quot;&amp;gt;Policy Implications - Research provides interpretability of Machine Learning models regarding several aspects of the pandemic that can be leveraged for optimizing treatment protocols.&amp;lt;/p&amp;gt;&amp;lt;p class=&amp;quot;14-SJOMAbstractRight&amp;quot;&amp;gt;Originality - Research makes use of curated near-time data to identify significant correlations keeping emerging economies at the center stage. Considering the current state of clinical trial research reflects on parallel non-clinical strategies to co-exist with the Coronavirus.&amp;lt;/p&amp;gt;","author":[{"dropping-particle":"","family":"Morande","given":"Swapnil","non-dropping-particle":"","parse-names":false,"suffix":""},{"dropping-particle":"","family":"Tewari","given":"Veena","non-dropping-particle":"","parse-names":false,"suffix":""}],"container-title":"SEISENSE Journal of Management","id":"ITEM-1","issue":"5 SE  -","issued":{"date-parts":[["2020","9","6"]]},"page":"33-53","title":"Technology Management for Accelerated Recovery during COVID-19: A Data-Driven Machine Learning Approach","type":"article-journal","volume":"3"},"uris":["http://www.mendeley.com/documents/?uuid=dadb5735-7d2d-4eea-aa98-0fda5231b8dd"]}],"mendeley":{"formattedCitation":"(Morande &amp; Tewari, 2020)","plainTextFormattedCitation":"(Morande &amp; Tewari, 2020)","previouslyFormattedCitation":"(Morande &amp; Tewari, 2020)"},"properties":{"noteIndex":0},"schema":"https://github.com/citation-style-language/schema/raw/master/csl-citation.json"}</w:instrText>
      </w:r>
      <w:r w:rsidR="00D969F9" w:rsidRPr="005459E6">
        <w:rPr>
          <w:rFonts w:ascii="Times New Roman" w:hAnsi="Times New Roman" w:cs="Times New Roman"/>
        </w:rPr>
        <w:fldChar w:fldCharType="separate"/>
      </w:r>
      <w:r w:rsidR="00D969F9" w:rsidRPr="005459E6">
        <w:rPr>
          <w:rFonts w:ascii="Times New Roman" w:hAnsi="Times New Roman" w:cs="Times New Roman"/>
          <w:noProof/>
        </w:rPr>
        <w:t>(Morande &amp; Tewari, 2020)</w:t>
      </w:r>
      <w:r w:rsidR="00D969F9" w:rsidRPr="005459E6">
        <w:rPr>
          <w:rFonts w:ascii="Times New Roman" w:hAnsi="Times New Roman" w:cs="Times New Roman"/>
        </w:rPr>
        <w:fldChar w:fldCharType="end"/>
      </w:r>
      <w:r w:rsidR="00D969F9" w:rsidRPr="005459E6">
        <w:rPr>
          <w:rFonts w:ascii="Times New Roman" w:hAnsi="Times New Roman" w:cs="Times New Roman"/>
        </w:rPr>
        <w:t>. Although regression modeling provides greater depth of the impact of predictors on the dependent variable psychosomatic construct can be complex to evaluate. This is due</w:t>
      </w:r>
      <w:r w:rsidR="004970FE" w:rsidRPr="005459E6">
        <w:rPr>
          <w:rFonts w:ascii="Times New Roman" w:hAnsi="Times New Roman" w:cs="Times New Roman"/>
        </w:rPr>
        <w:t xml:space="preserve"> to</w:t>
      </w:r>
      <w:r w:rsidR="00D969F9" w:rsidRPr="005459E6">
        <w:rPr>
          <w:rFonts w:ascii="Times New Roman" w:hAnsi="Times New Roman" w:cs="Times New Roman"/>
        </w:rPr>
        <w:t xml:space="preserve"> the fact that the brain generates relevant waves multiple times in an instance. It could even go as far as thousands of instances per second. Hence for a particular instance, the value of stress keeps on changing with interest, relaxation, excitement, focus, and engagement as mediators. Hence </w:t>
      </w:r>
      <w:r w:rsidR="005249CD" w:rsidRPr="005459E6">
        <w:rPr>
          <w:rFonts w:ascii="Times New Roman" w:hAnsi="Times New Roman" w:cs="Times New Roman"/>
        </w:rPr>
        <w:t>evaluating</w:t>
      </w:r>
      <w:r w:rsidR="00D969F9" w:rsidRPr="005459E6">
        <w:rPr>
          <w:rFonts w:ascii="Times New Roman" w:hAnsi="Times New Roman" w:cs="Times New Roman"/>
        </w:rPr>
        <w:t xml:space="preserve"> the state of health of an individual as a particular instance calls for a holistic approach in consideration of the signal emitted by other cortices of the human brain. Such calculations could get very complex in nature; hence in the given study</w:t>
      </w:r>
      <w:r w:rsidR="004970FE" w:rsidRPr="005459E6">
        <w:rPr>
          <w:rFonts w:ascii="Times New Roman" w:hAnsi="Times New Roman" w:cs="Times New Roman"/>
        </w:rPr>
        <w:t>,</w:t>
      </w:r>
      <w:r w:rsidR="00D969F9" w:rsidRPr="005459E6">
        <w:rPr>
          <w:rFonts w:ascii="Times New Roman" w:hAnsi="Times New Roman" w:cs="Times New Roman"/>
        </w:rPr>
        <w:t xml:space="preserve"> Machine Learning is used to predict the possible instance based on the historical data and patterns.</w:t>
      </w:r>
    </w:p>
    <w:p w14:paraId="3960BE6C" w14:textId="77777777"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008F761A" wp14:editId="41179E6F">
            <wp:extent cx="3962400" cy="1828800"/>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rotWithShape="1">
                    <a:blip r:embed="rId68">
                      <a:extLst>
                        <a:ext uri="{28A0092B-C50C-407E-A947-70E740481C1C}">
                          <a14:useLocalDpi xmlns:a14="http://schemas.microsoft.com/office/drawing/2010/main" val="0"/>
                        </a:ext>
                      </a:extLst>
                    </a:blip>
                    <a:srcRect t="11239" b="16521"/>
                    <a:stretch/>
                  </pic:blipFill>
                  <pic:spPr bwMode="auto">
                    <a:xfrm>
                      <a:off x="0" y="0"/>
                      <a:ext cx="4000304" cy="1846294"/>
                    </a:xfrm>
                    <a:prstGeom prst="rect">
                      <a:avLst/>
                    </a:prstGeom>
                    <a:ln>
                      <a:noFill/>
                    </a:ln>
                    <a:extLst>
                      <a:ext uri="{53640926-AAD7-44D8-BBD7-CCE9431645EC}">
                        <a14:shadowObscured xmlns:a14="http://schemas.microsoft.com/office/drawing/2010/main"/>
                      </a:ext>
                    </a:extLst>
                  </pic:spPr>
                </pic:pic>
              </a:graphicData>
            </a:graphic>
          </wp:inline>
        </w:drawing>
      </w:r>
    </w:p>
    <w:p w14:paraId="4F75F5E6" w14:textId="6668A61B" w:rsidR="00D969F9" w:rsidRPr="005459E6" w:rsidRDefault="00D969F9" w:rsidP="00042CB0">
      <w:pPr>
        <w:pStyle w:val="Sommario1"/>
        <w:rPr>
          <w:rFonts w:ascii="Times New Roman" w:hAnsi="Times New Roman" w:cs="Times New Roman"/>
        </w:rPr>
      </w:pPr>
      <w:bookmarkStart w:id="317" w:name="_Toc96343312"/>
      <w:bookmarkStart w:id="318" w:name="_Toc99915988"/>
      <w:bookmarkStart w:id="319" w:name="_Toc104968805"/>
      <w:r w:rsidRPr="005459E6">
        <w:rPr>
          <w:rFonts w:ascii="Times New Roman" w:hAnsi="Times New Roman" w:cs="Times New Roman"/>
        </w:rPr>
        <w:t xml:space="preserve">Figure </w:t>
      </w:r>
      <w:r w:rsidR="001721AC" w:rsidRPr="005459E6">
        <w:rPr>
          <w:rFonts w:ascii="Times New Roman" w:hAnsi="Times New Roman" w:cs="Times New Roman"/>
        </w:rPr>
        <w:fldChar w:fldCharType="begin"/>
      </w:r>
      <w:r w:rsidR="001721AC" w:rsidRPr="005459E6">
        <w:rPr>
          <w:rFonts w:ascii="Times New Roman" w:hAnsi="Times New Roman" w:cs="Times New Roman"/>
        </w:rPr>
        <w:instrText xml:space="preserve"> SEQ Figure \* ARABIC </w:instrText>
      </w:r>
      <w:r w:rsidR="001721AC" w:rsidRPr="005459E6">
        <w:rPr>
          <w:rFonts w:ascii="Times New Roman" w:hAnsi="Times New Roman" w:cs="Times New Roman"/>
        </w:rPr>
        <w:fldChar w:fldCharType="separate"/>
      </w:r>
      <w:r w:rsidR="006C645B">
        <w:rPr>
          <w:rFonts w:ascii="Times New Roman" w:hAnsi="Times New Roman" w:cs="Times New Roman"/>
          <w:noProof/>
        </w:rPr>
        <w:t>19</w:t>
      </w:r>
      <w:r w:rsidR="001721AC" w:rsidRPr="005459E6">
        <w:rPr>
          <w:rFonts w:ascii="Times New Roman" w:hAnsi="Times New Roman" w:cs="Times New Roman"/>
          <w:noProof/>
        </w:rPr>
        <w:fldChar w:fldCharType="end"/>
      </w:r>
      <w:r w:rsidRPr="005459E6">
        <w:rPr>
          <w:rFonts w:ascii="Times New Roman" w:hAnsi="Times New Roman" w:cs="Times New Roman"/>
        </w:rPr>
        <w:t>: ML based Model Evaluation</w:t>
      </w:r>
      <w:bookmarkEnd w:id="317"/>
      <w:bookmarkEnd w:id="318"/>
      <w:bookmarkEnd w:id="319"/>
    </w:p>
    <w:p w14:paraId="1BC21AEB" w14:textId="6C0C1D9C"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 xml:space="preserve">As per the model evaluation (Refer </w:t>
      </w:r>
      <w:r w:rsidR="005249CD" w:rsidRPr="005459E6">
        <w:rPr>
          <w:rFonts w:ascii="Times New Roman" w:hAnsi="Times New Roman" w:cs="Times New Roman"/>
        </w:rPr>
        <w:t xml:space="preserve">to </w:t>
      </w:r>
      <w:r w:rsidRPr="005459E6">
        <w:rPr>
          <w:rFonts w:ascii="Times New Roman" w:hAnsi="Times New Roman" w:cs="Times New Roman"/>
          <w:b/>
          <w:bCs/>
        </w:rPr>
        <w:t xml:space="preserve">Figure </w:t>
      </w:r>
      <w:r w:rsidR="00F2602C" w:rsidRPr="005459E6">
        <w:rPr>
          <w:rFonts w:ascii="Times New Roman" w:hAnsi="Times New Roman" w:cs="Times New Roman"/>
          <w:b/>
          <w:bCs/>
        </w:rPr>
        <w:t>19</w:t>
      </w:r>
      <w:r w:rsidRPr="005459E6">
        <w:rPr>
          <w:rFonts w:ascii="Times New Roman" w:hAnsi="Times New Roman" w:cs="Times New Roman"/>
        </w:rPr>
        <w:t xml:space="preserve">), </w:t>
      </w:r>
      <w:r w:rsidR="00A96B00" w:rsidRPr="005459E6">
        <w:rPr>
          <w:rFonts w:ascii="Times New Roman" w:hAnsi="Times New Roman" w:cs="Times New Roman"/>
        </w:rPr>
        <w:t>STAGE</w:t>
      </w:r>
      <w:r w:rsidRPr="005459E6">
        <w:rPr>
          <w:rFonts w:ascii="Times New Roman" w:hAnsi="Times New Roman" w:cs="Times New Roman"/>
        </w:rPr>
        <w:t xml:space="preserve"> III concluded that Psychological Well-being is correlated with Stress and </w:t>
      </w:r>
      <w:r w:rsidR="00C723D4" w:rsidRPr="005459E6">
        <w:rPr>
          <w:rFonts w:ascii="Times New Roman" w:hAnsi="Times New Roman" w:cs="Times New Roman"/>
        </w:rPr>
        <w:t>two other significant</w:t>
      </w:r>
      <w:r w:rsidRPr="005459E6">
        <w:rPr>
          <w:rFonts w:ascii="Times New Roman" w:hAnsi="Times New Roman" w:cs="Times New Roman"/>
        </w:rPr>
        <w:t xml:space="preserve"> predictors (</w:t>
      </w:r>
      <w:r w:rsidRPr="005459E6">
        <w:rPr>
          <w:rFonts w:ascii="Times New Roman" w:hAnsi="Times New Roman" w:cs="Times New Roman"/>
          <w:i/>
          <w:iCs/>
        </w:rPr>
        <w:t>including Interest &amp; Relaxation</w:t>
      </w:r>
      <w:r w:rsidRPr="005459E6">
        <w:rPr>
          <w:rFonts w:ascii="Times New Roman" w:hAnsi="Times New Roman" w:cs="Times New Roman"/>
        </w:rPr>
        <w:t>)</w:t>
      </w:r>
      <w:r w:rsidR="00351E7B" w:rsidRPr="005459E6">
        <w:rPr>
          <w:rFonts w:ascii="Times New Roman" w:hAnsi="Times New Roman" w:cs="Times New Roman"/>
        </w:rPr>
        <w:t xml:space="preserve">. </w:t>
      </w:r>
      <w:r w:rsidRPr="005459E6">
        <w:rPr>
          <w:rFonts w:ascii="Times New Roman" w:hAnsi="Times New Roman" w:cs="Times New Roman"/>
        </w:rPr>
        <w:t xml:space="preserve">Considering Psychosomatic health and its attributes as a human actor(s) and its interplay with technological actors (such as IoMT devices) induce Resource integration. The application of Machine Learning can leverage sleep-related data and address complexities in the system to enhance the overall resource density. The study reflected on the actors (such as stressors/interventions) that can augment psychosomatic health by resource integration (using A.I. technologies) to fulfill value co-creation (betterment of health).  </w:t>
      </w:r>
      <w:r w:rsidR="00351E7B" w:rsidRPr="005459E6">
        <w:rPr>
          <w:rFonts w:ascii="Times New Roman" w:hAnsi="Times New Roman" w:cs="Times New Roman"/>
        </w:rPr>
        <w:t xml:space="preserve"> </w:t>
      </w:r>
      <w:r w:rsidRPr="005459E6">
        <w:rPr>
          <w:rFonts w:ascii="Times New Roman" w:hAnsi="Times New Roman" w:cs="Times New Roman"/>
        </w:rPr>
        <w:t xml:space="preserve">The ML model obtained from Brain-Computer Interaction (Refer </w:t>
      </w:r>
      <w:r w:rsidR="00F37506" w:rsidRPr="005459E6">
        <w:rPr>
          <w:rFonts w:ascii="Times New Roman" w:hAnsi="Times New Roman" w:cs="Times New Roman"/>
        </w:rPr>
        <w:t xml:space="preserve">to </w:t>
      </w:r>
      <w:r w:rsidRPr="005459E6">
        <w:rPr>
          <w:rFonts w:ascii="Times New Roman" w:hAnsi="Times New Roman" w:cs="Times New Roman"/>
          <w:b/>
        </w:rPr>
        <w:t>A</w:t>
      </w:r>
      <w:r w:rsidR="007600A5" w:rsidRPr="005459E6">
        <w:rPr>
          <w:rFonts w:ascii="Times New Roman" w:hAnsi="Times New Roman" w:cs="Times New Roman"/>
          <w:b/>
        </w:rPr>
        <w:t xml:space="preserve">PPENDIX </w:t>
      </w:r>
      <w:r w:rsidR="005B50D2" w:rsidRPr="005459E6">
        <w:rPr>
          <w:rFonts w:ascii="Times New Roman" w:hAnsi="Times New Roman" w:cs="Times New Roman"/>
          <w:b/>
        </w:rPr>
        <w:t>D</w:t>
      </w:r>
      <w:r w:rsidR="008C2DE8" w:rsidRPr="005459E6">
        <w:rPr>
          <w:rFonts w:ascii="Times New Roman" w:hAnsi="Times New Roman" w:cs="Times New Roman"/>
          <w:b/>
        </w:rPr>
        <w:t xml:space="preserve"> &amp; </w:t>
      </w:r>
      <w:r w:rsidR="008C2DE8" w:rsidRPr="005459E6">
        <w:rPr>
          <w:rFonts w:ascii="Times New Roman" w:hAnsi="Times New Roman" w:cs="Times New Roman"/>
          <w:bCs/>
        </w:rPr>
        <w:t>Section</w:t>
      </w:r>
      <w:r w:rsidR="008C2DE8" w:rsidRPr="005459E6">
        <w:rPr>
          <w:rFonts w:ascii="Times New Roman" w:hAnsi="Times New Roman" w:cs="Times New Roman"/>
          <w:b/>
        </w:rPr>
        <w:t xml:space="preserve"> PREDI</w:t>
      </w:r>
      <w:r w:rsidR="00F37506" w:rsidRPr="005459E6">
        <w:rPr>
          <w:rFonts w:ascii="Times New Roman" w:hAnsi="Times New Roman" w:cs="Times New Roman"/>
          <w:b/>
        </w:rPr>
        <w:t>C</w:t>
      </w:r>
      <w:r w:rsidR="008C2DE8" w:rsidRPr="005459E6">
        <w:rPr>
          <w:rFonts w:ascii="Times New Roman" w:hAnsi="Times New Roman" w:cs="Times New Roman"/>
          <w:b/>
        </w:rPr>
        <w:t>TIVE MODELLING</w:t>
      </w:r>
      <w:r w:rsidRPr="005459E6">
        <w:rPr>
          <w:rFonts w:ascii="Times New Roman" w:hAnsi="Times New Roman" w:cs="Times New Roman"/>
        </w:rPr>
        <w:t xml:space="preserve">) can be used in real-time for psychotherapy by therapists. </w:t>
      </w:r>
      <w:r w:rsidR="008C2DE8" w:rsidRPr="005459E6">
        <w:rPr>
          <w:rFonts w:ascii="Times New Roman" w:hAnsi="Times New Roman" w:cs="Times New Roman"/>
        </w:rPr>
        <w:t>Value Co-creation takes place in the form of optimal workplace productivity</w:t>
      </w:r>
      <w:r w:rsidR="005249CD" w:rsidRPr="005459E6">
        <w:rPr>
          <w:rFonts w:ascii="Times New Roman" w:hAnsi="Times New Roman" w:cs="Times New Roman"/>
        </w:rPr>
        <w:t>,</w:t>
      </w:r>
      <w:r w:rsidR="008C2DE8" w:rsidRPr="005459E6">
        <w:rPr>
          <w:rFonts w:ascii="Times New Roman" w:hAnsi="Times New Roman" w:cs="Times New Roman"/>
        </w:rPr>
        <w:t xml:space="preserve"> reflecting on organizational performance and, most importantly for an individual, resulting in well-being of health. </w:t>
      </w:r>
      <w:r w:rsidRPr="005459E6">
        <w:rPr>
          <w:rFonts w:ascii="Times New Roman" w:hAnsi="Times New Roman" w:cs="Times New Roman"/>
        </w:rPr>
        <w:t>Organizations can make use of in-house therapists or telemedicine to be able to enhance their overall efficiency. The same was affirmed in Stage IV</w:t>
      </w:r>
      <w:r w:rsidR="004970FE" w:rsidRPr="005459E6">
        <w:rPr>
          <w:rFonts w:ascii="Times New Roman" w:hAnsi="Times New Roman" w:cs="Times New Roman"/>
        </w:rPr>
        <w:t>,</w:t>
      </w:r>
      <w:r w:rsidRPr="005459E6">
        <w:rPr>
          <w:rFonts w:ascii="Times New Roman" w:hAnsi="Times New Roman" w:cs="Times New Roman"/>
        </w:rPr>
        <w:t xml:space="preserve"> as shown below.</w:t>
      </w:r>
    </w:p>
    <w:p w14:paraId="548BAC87" w14:textId="38440213" w:rsidR="0073171C" w:rsidRPr="005459E6" w:rsidRDefault="00EC6193" w:rsidP="00042CB0">
      <w:pPr>
        <w:pStyle w:val="Titolo2"/>
        <w:spacing w:line="360" w:lineRule="auto"/>
        <w:jc w:val="both"/>
        <w:rPr>
          <w:rFonts w:ascii="Times New Roman" w:hAnsi="Times New Roman" w:cs="Times New Roman"/>
          <w:color w:val="auto"/>
          <w:sz w:val="22"/>
          <w:szCs w:val="22"/>
        </w:rPr>
      </w:pPr>
      <w:bookmarkStart w:id="320" w:name="_Toc107248319"/>
      <w:r w:rsidRPr="005459E6">
        <w:rPr>
          <w:rFonts w:ascii="Times New Roman" w:hAnsi="Times New Roman" w:cs="Times New Roman"/>
          <w:color w:val="auto"/>
          <w:sz w:val="22"/>
          <w:szCs w:val="22"/>
        </w:rPr>
        <w:t>Spearman Correlation</w:t>
      </w:r>
      <w:bookmarkEnd w:id="320"/>
      <w:r w:rsidRPr="005459E6">
        <w:rPr>
          <w:rFonts w:ascii="Times New Roman" w:hAnsi="Times New Roman" w:cs="Times New Roman"/>
          <w:color w:val="auto"/>
          <w:sz w:val="22"/>
          <w:szCs w:val="22"/>
        </w:rPr>
        <w:t xml:space="preserve">  </w:t>
      </w:r>
    </w:p>
    <w:p w14:paraId="0D6691EF" w14:textId="77777777" w:rsidR="0073171C" w:rsidRPr="005459E6" w:rsidRDefault="0073171C" w:rsidP="00042CB0">
      <w:pPr>
        <w:spacing w:line="360" w:lineRule="auto"/>
        <w:jc w:val="both"/>
        <w:rPr>
          <w:rFonts w:ascii="Times New Roman" w:hAnsi="Times New Roman" w:cs="Times New Roman"/>
        </w:rPr>
      </w:pPr>
      <w:r w:rsidRPr="005459E6">
        <w:rPr>
          <w:rFonts w:ascii="Times New Roman" w:hAnsi="Times New Roman" w:cs="Times New Roman"/>
        </w:rPr>
        <w:t>Spearman rank correlation or Spearman's rho is another name for a Spearman correlation coefficient. It is usually represented by the Greek letter rho () or the Roman letter rs. Spearman's rho, like all correlation coefficients, measures the strength of the relationship between two variables. As a result, the Spearman correlation coefficient and the Pearson correlation coefficient are very close.</w:t>
      </w:r>
    </w:p>
    <w:p w14:paraId="68E9B6FE" w14:textId="69C93308" w:rsidR="0073171C" w:rsidRPr="005459E6" w:rsidRDefault="0073171C" w:rsidP="00042CB0">
      <w:pPr>
        <w:spacing w:line="360" w:lineRule="auto"/>
        <w:jc w:val="both"/>
        <w:rPr>
          <w:rFonts w:ascii="Times New Roman" w:hAnsi="Times New Roman" w:cs="Times New Roman"/>
        </w:rPr>
      </w:pPr>
      <w:r w:rsidRPr="005459E6">
        <w:rPr>
          <w:rFonts w:ascii="Times New Roman" w:hAnsi="Times New Roman" w:cs="Times New Roman"/>
        </w:rPr>
        <w:t>All bivariate correlation analyses give a single number between -1 and +1 to the strength of the link between two variables. The correlation coefficient is the name given to this value. A positive correlation coefficient implies that the two variables have a positive link, whereas a negative correlation value suggests that they have a negative association.</w:t>
      </w:r>
    </w:p>
    <w:p w14:paraId="691E306C" w14:textId="77777777" w:rsidR="0073171C" w:rsidRPr="005459E6" w:rsidRDefault="0073171C" w:rsidP="00042CB0">
      <w:pPr>
        <w:spacing w:line="360" w:lineRule="auto"/>
        <w:jc w:val="both"/>
        <w:rPr>
          <w:rFonts w:ascii="Times New Roman" w:hAnsi="Times New Roman" w:cs="Times New Roman"/>
        </w:rPr>
      </w:pPr>
      <w:r w:rsidRPr="005459E6">
        <w:rPr>
          <w:rFonts w:ascii="Times New Roman" w:hAnsi="Times New Roman" w:cs="Times New Roman"/>
        </w:rPr>
        <w:t>A correlation value of 0 shows that the variables have no relationship. Correlation coefficients such as Spearman's and Pearson's, on the other hand, presuppose a linear relationship between variables. A non-linear relationship may exist even if the correlation coefficient is zero.</w:t>
      </w:r>
    </w:p>
    <w:p w14:paraId="3421010A" w14:textId="46348CA1" w:rsidR="003C0C38" w:rsidRPr="005459E6" w:rsidRDefault="0073171C" w:rsidP="00042CB0">
      <w:pPr>
        <w:spacing w:line="360" w:lineRule="auto"/>
        <w:jc w:val="both"/>
        <w:rPr>
          <w:rFonts w:ascii="Times New Roman" w:hAnsi="Times New Roman" w:cs="Times New Roman"/>
          <w:b/>
          <w:bCs/>
        </w:rPr>
      </w:pPr>
      <w:r w:rsidRPr="005459E6">
        <w:rPr>
          <w:rFonts w:ascii="Times New Roman" w:hAnsi="Times New Roman" w:cs="Times New Roman"/>
        </w:rPr>
        <w:t>Because it employs ranks rather than assumptions about the distributions of the two variables, the Spearman correlation coefficient does not require continuous-level data (interval or ratio) like the Pearson correlation coefficient. This enables us to investigate the relationship between variables with different ordinal measurement levels. Furthermore, the Spearman correlation makes no assumptions about the distribution of the variables. In many circumstances where the Pearson correlation assumptions (continuous-level variables, linearity, heteroscedasticity, and normality) are not met, a Spearman correlation analysis can be employed.</w:t>
      </w:r>
    </w:p>
    <w:p w14:paraId="7131A310" w14:textId="77777777" w:rsidR="003C0C38" w:rsidRPr="005459E6" w:rsidRDefault="003C0C38" w:rsidP="00042CB0">
      <w:pPr>
        <w:spacing w:line="360" w:lineRule="auto"/>
        <w:jc w:val="both"/>
        <w:rPr>
          <w:rFonts w:ascii="Times New Roman" w:hAnsi="Times New Roman" w:cs="Times New Roman"/>
          <w:b/>
          <w:bCs/>
        </w:rPr>
      </w:pPr>
    </w:p>
    <w:p w14:paraId="18499321" w14:textId="77777777" w:rsidR="003C0C38" w:rsidRPr="005459E6" w:rsidRDefault="003C0C38" w:rsidP="00042CB0">
      <w:pPr>
        <w:spacing w:line="360" w:lineRule="auto"/>
        <w:jc w:val="both"/>
        <w:rPr>
          <w:rFonts w:ascii="Times New Roman" w:hAnsi="Times New Roman" w:cs="Times New Roman"/>
          <w:b/>
          <w:bCs/>
        </w:rPr>
      </w:pPr>
    </w:p>
    <w:p w14:paraId="599E0545" w14:textId="77777777" w:rsidR="003C0C38" w:rsidRPr="005459E6" w:rsidRDefault="003C0C38" w:rsidP="00042CB0">
      <w:pPr>
        <w:spacing w:line="360" w:lineRule="auto"/>
        <w:jc w:val="both"/>
        <w:rPr>
          <w:rFonts w:ascii="Times New Roman" w:hAnsi="Times New Roman" w:cs="Times New Roman"/>
          <w:b/>
          <w:bCs/>
        </w:rPr>
      </w:pPr>
    </w:p>
    <w:p w14:paraId="1E3D0F52" w14:textId="77777777" w:rsidR="003C0C38" w:rsidRPr="005459E6" w:rsidRDefault="003C0C38" w:rsidP="00042CB0">
      <w:pPr>
        <w:spacing w:line="360" w:lineRule="auto"/>
        <w:jc w:val="both"/>
        <w:rPr>
          <w:rFonts w:ascii="Times New Roman" w:hAnsi="Times New Roman" w:cs="Times New Roman"/>
          <w:b/>
          <w:bCs/>
        </w:rPr>
      </w:pPr>
    </w:p>
    <w:p w14:paraId="27817BCE" w14:textId="77777777" w:rsidR="003C0C38" w:rsidRPr="005459E6" w:rsidRDefault="003C0C38" w:rsidP="00042CB0">
      <w:pPr>
        <w:spacing w:line="360" w:lineRule="auto"/>
        <w:jc w:val="both"/>
        <w:rPr>
          <w:rFonts w:ascii="Times New Roman" w:hAnsi="Times New Roman" w:cs="Times New Roman"/>
          <w:b/>
          <w:bCs/>
        </w:rPr>
      </w:pPr>
    </w:p>
    <w:p w14:paraId="2D775E76" w14:textId="77777777" w:rsidR="003C0C38" w:rsidRPr="005459E6" w:rsidRDefault="003C0C38" w:rsidP="00042CB0">
      <w:pPr>
        <w:spacing w:line="360" w:lineRule="auto"/>
        <w:jc w:val="both"/>
        <w:rPr>
          <w:rFonts w:ascii="Times New Roman" w:hAnsi="Times New Roman" w:cs="Times New Roman"/>
          <w:b/>
          <w:bCs/>
        </w:rPr>
      </w:pPr>
    </w:p>
    <w:p w14:paraId="576F996D" w14:textId="394AD4DD" w:rsidR="003C0C38" w:rsidRPr="005459E6" w:rsidRDefault="003C0C38" w:rsidP="00042CB0">
      <w:pPr>
        <w:spacing w:line="360" w:lineRule="auto"/>
        <w:jc w:val="both"/>
        <w:rPr>
          <w:rFonts w:ascii="Times New Roman" w:hAnsi="Times New Roman" w:cs="Times New Roman"/>
          <w:b/>
          <w:bCs/>
        </w:rPr>
      </w:pPr>
    </w:p>
    <w:p w14:paraId="06D50040" w14:textId="3477422F" w:rsidR="00823645" w:rsidRPr="005459E6" w:rsidRDefault="00823645" w:rsidP="00042CB0">
      <w:pPr>
        <w:spacing w:line="360" w:lineRule="auto"/>
        <w:jc w:val="both"/>
        <w:rPr>
          <w:rFonts w:ascii="Times New Roman" w:hAnsi="Times New Roman" w:cs="Times New Roman"/>
          <w:b/>
          <w:bCs/>
        </w:rPr>
      </w:pPr>
    </w:p>
    <w:p w14:paraId="2162B227" w14:textId="77777777" w:rsidR="009E1B33" w:rsidRPr="005459E6" w:rsidRDefault="009E1B33" w:rsidP="00042CB0">
      <w:pPr>
        <w:spacing w:line="360" w:lineRule="auto"/>
        <w:jc w:val="both"/>
        <w:rPr>
          <w:rFonts w:ascii="Times New Roman" w:hAnsi="Times New Roman" w:cs="Times New Roman"/>
          <w:b/>
          <w:bCs/>
        </w:rPr>
      </w:pPr>
    </w:p>
    <w:p w14:paraId="24EAAEE8" w14:textId="77777777" w:rsidR="003C0C38" w:rsidRPr="005459E6" w:rsidRDefault="003C0C38" w:rsidP="00042CB0">
      <w:pPr>
        <w:spacing w:line="360" w:lineRule="auto"/>
        <w:jc w:val="both"/>
        <w:rPr>
          <w:rFonts w:ascii="Times New Roman" w:hAnsi="Times New Roman" w:cs="Times New Roman"/>
          <w:b/>
          <w:bCs/>
        </w:rPr>
      </w:pPr>
    </w:p>
    <w:p w14:paraId="5A44B626" w14:textId="4E72EB65" w:rsidR="003C0C38" w:rsidRPr="005459E6" w:rsidRDefault="003D2384" w:rsidP="00042CB0">
      <w:pPr>
        <w:spacing w:line="360" w:lineRule="auto"/>
        <w:jc w:val="both"/>
        <w:rPr>
          <w:rFonts w:ascii="Times New Roman" w:hAnsi="Times New Roman" w:cs="Times New Roman"/>
          <w:b/>
          <w:bCs/>
        </w:rPr>
      </w:pPr>
      <w:r w:rsidRPr="005459E6">
        <w:rPr>
          <w:rFonts w:ascii="Times New Roman" w:hAnsi="Times New Roman" w:cs="Times New Roman"/>
          <w:b/>
          <w:bCs/>
        </w:rPr>
        <w:t>Spearman Correlation Analysis</w:t>
      </w:r>
    </w:p>
    <w:p w14:paraId="4A8EA5D0" w14:textId="77777777" w:rsidR="003F19ED" w:rsidRPr="005459E6" w:rsidRDefault="003F19ED" w:rsidP="003F19ED">
      <w:pPr>
        <w:spacing w:before="240" w:after="120" w:line="360" w:lineRule="auto"/>
        <w:jc w:val="both"/>
        <w:rPr>
          <w:rFonts w:ascii="Times New Roman" w:hAnsi="Times New Roman" w:cs="Times New Roman"/>
        </w:rPr>
      </w:pPr>
      <w:r w:rsidRPr="005459E6">
        <w:rPr>
          <w:rFonts w:ascii="Times New Roman" w:hAnsi="Times New Roman" w:cs="Times New Roman"/>
          <w:b/>
          <w:bCs/>
          <w:i/>
          <w:iCs/>
        </w:rPr>
        <w:t>Introduction</w:t>
      </w:r>
    </w:p>
    <w:p w14:paraId="5D7C0383" w14:textId="77777777" w:rsidR="003F19ED" w:rsidRPr="005459E6" w:rsidRDefault="003F19ED" w:rsidP="003F19ED">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 xml:space="preserve">A Spearman correlation analysis was conducted among AGE, BMI, FOCUS, CIRCADIAN_RHYTHM, GENDER, STATE_OF_HEALTH, STRESS, ENERGY_LEVEL, LIFESTYLE, ENGAGEMENT, SLEEP, and OBSERVED_PRODUCTIVITY. To assess the magnitude of the relationship, Cohen's standard was used. A coefficient between .10 and .29 likely indicates a small effect, a coefficient between .30 and .49 means a moderate effect, and a coefficient above .50 means a large effect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{"citationItems":[{"id":"ITEM-1","itemData":{"author":[{"dropping-particle":"","family":"Cohen","given":"J","non-dropping-particle":"","parse-names":false,"suffix":""}],"id":"ITEM-1","issued":{"date-parts":[["1988"]]},"publisher":"Erlbaum. Conner, BE (1988). The Box in the Barn. Columbus: Highlights for …","title":"Statistical Power Analysis for the Behavioral Sciences. Hillsdle","type":"article"},"uris":["http://www.mendeley.com/documents/?uuid=84c2f1af-0a97-41a3-86ff-a791d882c201"]}],"mendeley":{"formattedCitation":"(J. Cohen, 1988)","manualFormatting":"(Cohen, 1988)","plainTextFormattedCitation":"(J. Cohen, 1988)","previouslyFormattedCitation":"(J. Cohen, 1988)"},"properties":{"noteIndex":0},"schema":"https://github.com/citation-style-language/schema/raw/master/csl-citation.json"}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(Cohen, 1988)</w:t>
      </w:r>
      <w:r w:rsidRPr="005459E6">
        <w:rPr>
          <w:rFonts w:ascii="Times New Roman" w:hAnsi="Times New Roman" w:cs="Times New Roman"/>
        </w:rPr>
        <w:fldChar w:fldCharType="end"/>
      </w:r>
      <w:r w:rsidRPr="005459E6">
        <w:rPr>
          <w:rFonts w:ascii="Times New Roman" w:hAnsi="Times New Roman" w:cs="Times New Roman"/>
        </w:rPr>
        <w:t>.</w:t>
      </w:r>
    </w:p>
    <w:p w14:paraId="799FA874" w14:textId="77777777" w:rsidR="003F19ED" w:rsidRPr="005459E6" w:rsidRDefault="003F19ED" w:rsidP="003F19ED">
      <w:pPr>
        <w:spacing w:before="240" w:after="120" w:line="360" w:lineRule="auto"/>
        <w:jc w:val="both"/>
        <w:rPr>
          <w:rFonts w:ascii="Times New Roman" w:hAnsi="Times New Roman" w:cs="Times New Roman"/>
        </w:rPr>
      </w:pPr>
      <w:r w:rsidRPr="005459E6">
        <w:rPr>
          <w:rFonts w:ascii="Times New Roman" w:hAnsi="Times New Roman" w:cs="Times New Roman"/>
          <w:b/>
          <w:bCs/>
          <w:i/>
          <w:iCs/>
        </w:rPr>
        <w:t>Results</w:t>
      </w:r>
    </w:p>
    <w:p w14:paraId="7D0E719C" w14:textId="77777777" w:rsidR="003F19ED" w:rsidRPr="005459E6" w:rsidRDefault="003F19ED" w:rsidP="003F19ED">
      <w:pPr>
        <w:spacing w:before="240" w:after="120" w:line="360" w:lineRule="auto"/>
        <w:ind w:firstLine="720"/>
        <w:jc w:val="both"/>
        <w:rPr>
          <w:rFonts w:ascii="Times New Roman" w:hAnsi="Times New Roman" w:cs="Times New Roman"/>
        </w:rPr>
      </w:pPr>
      <w:r w:rsidRPr="005459E6">
        <w:rPr>
          <w:rFonts w:ascii="Times New Roman" w:hAnsi="Times New Roman" w:cs="Times New Roman"/>
        </w:rPr>
        <w:t>Using an alpha value of 0.05, Holm correction was used to adjust for multiple comparisons. There was a significant negative correlation between AGE and BMI (</w:t>
      </w:r>
      <w:r w:rsidRPr="005459E6">
        <w:rPr>
          <w:rFonts w:ascii="Times New Roman" w:hAnsi="Times New Roman" w:cs="Times New Roman"/>
          <w:i/>
          <w:iCs/>
        </w:rPr>
        <w:t>r</w:t>
      </w:r>
      <w:r w:rsidRPr="005459E6">
        <w:rPr>
          <w:rFonts w:ascii="Times New Roman" w:hAnsi="Times New Roman" w:cs="Times New Roman"/>
        </w:rPr>
        <w:t xml:space="preserve"> = -0.21, </w:t>
      </w:r>
      <w:r w:rsidRPr="005459E6">
        <w:rPr>
          <w:rFonts w:ascii="Times New Roman" w:hAnsi="Times New Roman" w:cs="Times New Roman"/>
          <w:i/>
          <w:iCs/>
        </w:rPr>
        <w:t>p</w:t>
      </w:r>
      <w:r w:rsidRPr="005459E6">
        <w:rPr>
          <w:rFonts w:ascii="Times New Roman" w:hAnsi="Times New Roman" w:cs="Times New Roman"/>
        </w:rPr>
        <w:t xml:space="preserve"> &lt; .001, 95% CI = [-0.26, -0.16]). The correlation coefficient between AGE and BMI was -0.21, indicating a small effect size. This correlation indicates that as AGE increases, BMI tends to decrease. A significant negative correlation was observed between AGE and CIRCADIAN_RHYTHM (</w:t>
      </w:r>
      <w:r w:rsidRPr="005459E6">
        <w:rPr>
          <w:rFonts w:ascii="Times New Roman" w:hAnsi="Times New Roman" w:cs="Times New Roman"/>
          <w:i/>
          <w:iCs/>
        </w:rPr>
        <w:t>r</w:t>
      </w:r>
      <w:r w:rsidRPr="005459E6">
        <w:rPr>
          <w:rFonts w:ascii="Times New Roman" w:hAnsi="Times New Roman" w:cs="Times New Roman"/>
        </w:rPr>
        <w:t xml:space="preserve"> = -0.23, </w:t>
      </w:r>
      <w:r w:rsidRPr="005459E6">
        <w:rPr>
          <w:rFonts w:ascii="Times New Roman" w:hAnsi="Times New Roman" w:cs="Times New Roman"/>
          <w:i/>
          <w:iCs/>
        </w:rPr>
        <w:t>p</w:t>
      </w:r>
      <w:r w:rsidRPr="005459E6">
        <w:rPr>
          <w:rFonts w:ascii="Times New Roman" w:hAnsi="Times New Roman" w:cs="Times New Roman"/>
        </w:rPr>
        <w:t xml:space="preserve"> &lt; .001, 95% CI = [-0.28, -0.19]). AGE and CIRCADIAN_RHYTHM had a -0.23 correlation coefficient, indicating a small effect size. This correlation indicates that as AGE increases, so does CIRCADIAN_RHYTHM. A significant positive correlation was observed between AGE and GENDER (</w:t>
      </w:r>
      <w:r w:rsidRPr="005459E6">
        <w:rPr>
          <w:rFonts w:ascii="Times New Roman" w:hAnsi="Times New Roman" w:cs="Times New Roman"/>
          <w:i/>
          <w:iCs/>
        </w:rPr>
        <w:t>r</w:t>
      </w:r>
      <w:r w:rsidRPr="005459E6">
        <w:rPr>
          <w:rFonts w:ascii="Times New Roman" w:hAnsi="Times New Roman" w:cs="Times New Roman"/>
        </w:rPr>
        <w:t xml:space="preserve"> = 0.28, </w:t>
      </w:r>
      <w:r w:rsidRPr="005459E6">
        <w:rPr>
          <w:rFonts w:ascii="Times New Roman" w:hAnsi="Times New Roman" w:cs="Times New Roman"/>
          <w:i/>
          <w:iCs/>
        </w:rPr>
        <w:t>p</w:t>
      </w:r>
      <w:r w:rsidRPr="005459E6">
        <w:rPr>
          <w:rFonts w:ascii="Times New Roman" w:hAnsi="Times New Roman" w:cs="Times New Roman"/>
        </w:rPr>
        <w:t xml:space="preserve"> &lt; .001, 95% CI = [0.23, 0.32]). There was a small effect size between AGE and GENDER, based on the correlation coefficient of 0.28. According to this correlation, AGE tends to increase with GENDER. A significant negative correlation was observed between AGE and STATE_OF_HEALTH (</w:t>
      </w:r>
      <w:r w:rsidRPr="005459E6">
        <w:rPr>
          <w:rFonts w:ascii="Times New Roman" w:hAnsi="Times New Roman" w:cs="Times New Roman"/>
          <w:i/>
          <w:iCs/>
        </w:rPr>
        <w:t>r</w:t>
      </w:r>
      <w:r w:rsidRPr="005459E6">
        <w:rPr>
          <w:rFonts w:ascii="Times New Roman" w:hAnsi="Times New Roman" w:cs="Times New Roman"/>
        </w:rPr>
        <w:t xml:space="preserve"> = -0.85, </w:t>
      </w:r>
      <w:r w:rsidRPr="005459E6">
        <w:rPr>
          <w:rFonts w:ascii="Times New Roman" w:hAnsi="Times New Roman" w:cs="Times New Roman"/>
          <w:i/>
          <w:iCs/>
        </w:rPr>
        <w:t>p</w:t>
      </w:r>
      <w:r w:rsidRPr="005459E6">
        <w:rPr>
          <w:rFonts w:ascii="Times New Roman" w:hAnsi="Times New Roman" w:cs="Times New Roman"/>
        </w:rPr>
        <w:t xml:space="preserve"> &lt; .001, 95% CI = [-0.87, -0.84]). STATE_OF_HEALTH and AGE were negatively correlated, suggesting a large effect. STATE_OF_HEALTH tends to decrease in relation to AGE.</w:t>
      </w:r>
    </w:p>
    <w:p w14:paraId="2E295719" w14:textId="77777777" w:rsidR="003F19ED" w:rsidRPr="005459E6" w:rsidRDefault="003F19ED" w:rsidP="003F19ED">
      <w:pPr>
        <w:spacing w:line="360" w:lineRule="auto"/>
        <w:rPr>
          <w:rFonts w:ascii="Times New Roman" w:hAnsi="Times New Roman" w:cs="Times New Roman"/>
        </w:rPr>
      </w:pPr>
      <w:r w:rsidRPr="005459E6">
        <w:rPr>
          <w:rFonts w:ascii="Times New Roman" w:hAnsi="Times New Roman" w:cs="Times New Roman"/>
        </w:rPr>
        <w:t>A significant positive correlation was observed between AGE and ENERGY_LEVEL (</w:t>
      </w:r>
      <w:r w:rsidRPr="005459E6">
        <w:rPr>
          <w:rFonts w:ascii="Times New Roman" w:hAnsi="Times New Roman" w:cs="Times New Roman"/>
          <w:i/>
          <w:iCs/>
        </w:rPr>
        <w:t>r</w:t>
      </w:r>
      <w:r w:rsidRPr="005459E6">
        <w:rPr>
          <w:rFonts w:ascii="Times New Roman" w:hAnsi="Times New Roman" w:cs="Times New Roman"/>
        </w:rPr>
        <w:t xml:space="preserve"> = 0.08, </w:t>
      </w:r>
      <w:r w:rsidRPr="005459E6">
        <w:rPr>
          <w:rFonts w:ascii="Times New Roman" w:hAnsi="Times New Roman" w:cs="Times New Roman"/>
          <w:i/>
          <w:iCs/>
        </w:rPr>
        <w:t>p</w:t>
      </w:r>
      <w:r w:rsidRPr="005459E6">
        <w:rPr>
          <w:rFonts w:ascii="Times New Roman" w:hAnsi="Times New Roman" w:cs="Times New Roman"/>
        </w:rPr>
        <w:t xml:space="preserve"> = .042, 95% CI = [0.03, 0.13]).  In relation to ENERGY_LEVEL, there was a small correlation coefficient of 0.08, which indicates a small effect size.</w:t>
      </w:r>
    </w:p>
    <w:p w14:paraId="2E1A8D3B" w14:textId="6157CC0F" w:rsidR="003F19ED" w:rsidRPr="005459E6" w:rsidRDefault="003F19ED" w:rsidP="003F19ED">
      <w:pPr>
        <w:spacing w:line="360" w:lineRule="auto"/>
        <w:jc w:val="both"/>
        <w:rPr>
          <w:rFonts w:ascii="Times New Roman" w:hAnsi="Times New Roman" w:cs="Times New Roman"/>
        </w:rPr>
      </w:pPr>
      <w:r w:rsidRPr="005459E6">
        <w:rPr>
          <w:rFonts w:ascii="Times New Roman" w:hAnsi="Times New Roman" w:cs="Times New Roman"/>
        </w:rPr>
        <w:t>A correlation between AGE and ENERGY_LEVEL indicates that these values tend to increase together. A significant negative correlation was observed between AGE and LIFESTYLE (</w:t>
      </w:r>
      <w:r w:rsidRPr="005459E6">
        <w:rPr>
          <w:rFonts w:ascii="Times New Roman" w:hAnsi="Times New Roman" w:cs="Times New Roman"/>
          <w:i/>
          <w:iCs/>
        </w:rPr>
        <w:t>r</w:t>
      </w:r>
      <w:r w:rsidRPr="005459E6">
        <w:rPr>
          <w:rFonts w:ascii="Times New Roman" w:hAnsi="Times New Roman" w:cs="Times New Roman"/>
        </w:rPr>
        <w:t xml:space="preserve"> = -0.68, </w:t>
      </w:r>
      <w:r w:rsidRPr="005459E6">
        <w:rPr>
          <w:rFonts w:ascii="Times New Roman" w:hAnsi="Times New Roman" w:cs="Times New Roman"/>
          <w:i/>
          <w:iCs/>
        </w:rPr>
        <w:t>p</w:t>
      </w:r>
      <w:r w:rsidRPr="005459E6">
        <w:rPr>
          <w:rFonts w:ascii="Times New Roman" w:hAnsi="Times New Roman" w:cs="Times New Roman"/>
        </w:rPr>
        <w:t xml:space="preserve"> &lt; .001, 95% CI = [-0.70, -0.65]). There was a large effect size between AGE and LIFESTYLE, as evidenced by the correlation coefficient of -0.68 between the two.</w:t>
      </w:r>
    </w:p>
    <w:p w14:paraId="435D968C" w14:textId="77777777" w:rsidR="000C1BD8" w:rsidRPr="005459E6" w:rsidRDefault="000C1BD8" w:rsidP="00042CB0">
      <w:pPr>
        <w:spacing w:line="360" w:lineRule="auto"/>
        <w:jc w:val="both"/>
        <w:rPr>
          <w:rFonts w:ascii="Times New Roman" w:hAnsi="Times New Roman" w:cs="Times New Roman"/>
        </w:rPr>
      </w:pPr>
      <w:r w:rsidRPr="005459E6">
        <w:rPr>
          <w:rFonts w:ascii="Times New Roman" w:hAnsi="Times New Roman" w:cs="Times New Roman"/>
        </w:rPr>
        <w:t>The correlation coefficient between AGE and ENGAGEMENT was 0.11, indicating a small effect size. This correlation indicates that as AGE increases, ENGAGEMENT tends to increase. The correlation indicates that ENGAGEMENT tends to increase with increasing AGE. The correlation indicates that ENGAGEMENT tends to increase with increasing AGE.</w:t>
      </w:r>
    </w:p>
    <w:p w14:paraId="7E3622EC" w14:textId="780A6F52"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AGE and ENERGY LEVEL had a significant positive connection (r = 0.08, p =.042, 95 percent CI = [0.03, 0.13]). AGE and ENERGY LEVEL ha</w:t>
      </w:r>
      <w:r w:rsidR="00F37506" w:rsidRPr="005459E6">
        <w:rPr>
          <w:rFonts w:ascii="Times New Roman" w:hAnsi="Times New Roman" w:cs="Times New Roman"/>
        </w:rPr>
        <w:t>s</w:t>
      </w:r>
      <w:r w:rsidRPr="005459E6">
        <w:rPr>
          <w:rFonts w:ascii="Times New Roman" w:hAnsi="Times New Roman" w:cs="Times New Roman"/>
        </w:rPr>
        <w:t xml:space="preserve"> a 0.08 correlation coefficient, indicating a small effect size. This relationship implies that </w:t>
      </w:r>
      <w:r w:rsidR="00F37506" w:rsidRPr="005459E6">
        <w:rPr>
          <w:rFonts w:ascii="Times New Roman" w:hAnsi="Times New Roman" w:cs="Times New Roman"/>
        </w:rPr>
        <w:t xml:space="preserve">the </w:t>
      </w:r>
      <w:r w:rsidRPr="005459E6">
        <w:rPr>
          <w:rFonts w:ascii="Times New Roman" w:hAnsi="Times New Roman" w:cs="Times New Roman"/>
        </w:rPr>
        <w:t>ENERGY LEVEL tends to rise as AGE rises. The connection between AGE and LIFESTYLE was found to be significant (r = -0.68, p.001, 95 percent CI = [-0.70, -0.65]). AGE and LIFESTYLE had a -0.68 correlation coefficient, indicating a substantial effect magnitude. This relationship implies that as one's age rises, one's LIFESTYLE tends to decline. The connection between AGE and ENGAGEMENT was found to be significant (r = 0.11, p.001, 95 percent CI = [0.06, 0.16]). AGE and ENGAGEMENT had a 0.11 correlation value, indicating a small effect size. This relationship implies that as a person's age rises, so does their level of engagement.</w:t>
      </w:r>
    </w:p>
    <w:p w14:paraId="7DE6C605" w14:textId="77777777"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AGE and OBSERVED PRODUCTIVITY have a substantial positive connection (r = 0.18, p.001, 95 percent CI = [0.13, 0.23]). AGE and OBSERVED PRODUCTIVITY had a 0.18 correlation coefficient, indicating a small effect size. This relationship shows that as AGE rises, OBSERVED PRODUCTIVITY rises as well. BMI and FOCUS showed a significant negative connection (r = -0.24, p.001, 95 percent CI = [-0.28, -0.19]). BMI and FOCUS had a -0.24 correlation value, indicating a small effect size. This relationship shows that as BMI rises, FOCUS tends to fall. BMI and CIRCADIAN RHYTHM have a substantial negative connection (r = -0.67, p.001, 95 percent CI = [-0.70, -0.64]). BMI and CIRCADIAN RHYTHM had a correlation coefficient of -0.67, indicating a strong effect magnitude. CIRCADIAN RHYTHM tends to decrease as BMI rises, according to this association.</w:t>
      </w:r>
    </w:p>
    <w:p w14:paraId="1947ABA0" w14:textId="77777777"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BMI and GENDER showed a substantial positive connection (r = 0.16, p.001, 95 percent CI = [0.11, 0.20]). BMI and GENDER had a 0.16 correlation value, indicating a small effect size. This relationship implies that as BMI rises, GENDER rises with it. BMI and STATE OF HEALTH showed a significant positive connection (r = 0.21, p.001, 95 percent CI = [0.16, 0.26]). BMI and STATE OF HEALTH had a 0.21 correlation value, indicating a small effect size. This relationship shows that as BMI rises, STATE OF HEALTH rises as well. BMI and ENERGY LEVEL showed a significant negative connection (r = -0.29, p.001, 95 percent CI = [-0.34, -0.24]). BMI and ENERGY LEVEL had a -0.29 correlation coefficient, indicating a small effect size. This relationship suggests that when BMI rises, ENERGY LEVEL tends to fall. BMI and LIFESTYLE were shown to have a significant positive connection (r = 0.14, p.001, 95 percent CI = [0.09, 0.19]).</w:t>
      </w:r>
    </w:p>
    <w:p w14:paraId="6D8FCBB3" w14:textId="77777777" w:rsidR="00704666" w:rsidRPr="005459E6" w:rsidRDefault="00704666" w:rsidP="00042CB0">
      <w:pPr>
        <w:spacing w:line="360" w:lineRule="auto"/>
        <w:jc w:val="both"/>
        <w:rPr>
          <w:rFonts w:ascii="Times New Roman" w:hAnsi="Times New Roman" w:cs="Times New Roman"/>
        </w:rPr>
      </w:pPr>
    </w:p>
    <w:p w14:paraId="0362ED41" w14:textId="2FF2B878"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BMI and LIFESTYLE had a 0.14 correlation value, indicating a small effect size. This relationship implies that as BMI rises, LIFESTYLE rises as well. BMI and ENGAGEMENT were found to have a significant negative connection (r = -0.29, p.001, 95 percent CI = [-0.34, -0.25]). BMI and ENGAGEMENT had a -0.29 correlation value, indicating a small effect size. This relationship shows that when BMI rises, ENGAGEMENT tends to fall. BMI and SLEEP were shown to have a significant negative connection (r = -0.29, p.001, 95 percent CI = [-0.34, -0.25]). BMI and SLEEP had a -0.29 correlation coefficient, indicating a minimal effect size. This relationship shows that as BMI rises, SLEEP tends to fall. BMI and OBSERVED PRODUCTIVITY have a substantial positive connection (r = 0.16, p.001, 95 percent CI = [0.11, 0.21]). BMI and OBSERVED PRODUCTIVITY had a 0.16 correlation coefficient, indicating a small effect size. This relationship shows that as BMI rises, OBSERVED PRODUCTIVITY rises as well.</w:t>
      </w:r>
    </w:p>
    <w:p w14:paraId="4B4F09C7" w14:textId="6F261393"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FOCUS and CIRCADIAN RHYTHM have a substantial positive connection (r = 0.30, p.001, 95 percent CI = [0.25, 0.34]). FOCUS and CIRCADIAN RHYTHM have a 0.30 correlation coefficient, indicating a small effect size.</w:t>
      </w:r>
    </w:p>
    <w:p w14:paraId="0165D02C" w14:textId="2F0A0612"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This relationship show</w:t>
      </w:r>
      <w:r w:rsidR="00F37506" w:rsidRPr="005459E6">
        <w:rPr>
          <w:rFonts w:ascii="Times New Roman" w:hAnsi="Times New Roman" w:cs="Times New Roman"/>
        </w:rPr>
        <w:t>s</w:t>
      </w:r>
      <w:r w:rsidRPr="005459E6">
        <w:rPr>
          <w:rFonts w:ascii="Times New Roman" w:hAnsi="Times New Roman" w:cs="Times New Roman"/>
        </w:rPr>
        <w:t xml:space="preserve"> that as FOCUS rises, CIRCADIAN RHYTHM rises as well. FOCUS and GENDER showed a significant negative connection (r = -0.38, p.001, 95 percent CI = [-0.42, -0.34]). FOCUS and GENDER had a -0.38 correlation value, indicating a moderate effect magnitude. This relationship shows that as FOCUS rises, GENDER tends to fall. FOCUS and STRESS were found to have a substantial positive connection (r = 0.63, p.001, 95 percent CI = [0.60, 0.66]). FOCUS and STRESS had a 0.63 correlation value, indicating a substantial effect size. This relationship implies that while FOCUS rises, STRESS rises as well. FOCUS and ENERGY LEVEL have a substantial positive connection (r = 0.10, p =.002, 95 percent CI = [0.05, 0.15]). FOCUS and ENERGY LEVEL had a 0.10 correlation coefficient, indicating a small effect size. This relationship shows that as FOCUS rises, ENERGY LEVEL rises as well.</w:t>
      </w:r>
    </w:p>
    <w:p w14:paraId="39EFE6C6" w14:textId="77777777"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FOCUS and ENGAGEMENT were found to have a substantial positive connection (r = 0.81, p.001, 95 percent CI = [0.79, 0.82]). FOCUS and ENGAGEMENT had a 0.81 correlation value, indicating a strong effect size. This relationship shows that as FOCUS rises, ENGAGEMENT rises as well. FOCUS and OBSERVED PRODUCTIVITY have a significant negative connection (r = -0.12, p.001, 95 percent CI = [-0.17, -0.07]). FOCUS and OBSERVED PRODUCTIVITY had a -0.12 correlation value, indicating a small effect size. This relationship shows that while FOCUS rises, OBSERVED PRODUCTIVITY tends to fall.</w:t>
      </w:r>
    </w:p>
    <w:p w14:paraId="43751C03" w14:textId="77777777" w:rsidR="00704666" w:rsidRPr="005459E6" w:rsidRDefault="00704666" w:rsidP="00042CB0">
      <w:pPr>
        <w:spacing w:line="360" w:lineRule="auto"/>
        <w:jc w:val="both"/>
        <w:rPr>
          <w:rFonts w:ascii="Times New Roman" w:hAnsi="Times New Roman" w:cs="Times New Roman"/>
        </w:rPr>
      </w:pPr>
    </w:p>
    <w:p w14:paraId="394DCFBD" w14:textId="2E979AE9"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 xml:space="preserve">CIRCADIAN RHYTHM and GENDER have a substantial negative connection (r = -0.34, p.001, 95 percent CI = [-0.39, -0.30]). CIRCADIAN RHYTHM and GENDER had a -0.34 correlation coefficient, indicating a moderate effect size. This relationship shows that as CIRCADIAN RHYTHM rises, GENDER tends to fall. CIRCADIAN RHYTHM and STATE OF HEALTH have a significant positive connection (r = 0.20, p.001, 95 percent CI = [0.16, 0.25]). CIRCADIAN RHYTHM and STATE OF HEALTH had a 0.20 correlation coefficient, indicating a small effect size. This relationship implies that as CIRCADIAN RHYTHM rises, so does </w:t>
      </w:r>
      <w:r w:rsidR="00F37506" w:rsidRPr="005459E6">
        <w:rPr>
          <w:rFonts w:ascii="Times New Roman" w:hAnsi="Times New Roman" w:cs="Times New Roman"/>
        </w:rPr>
        <w:t xml:space="preserve">the </w:t>
      </w:r>
      <w:r w:rsidRPr="005459E6">
        <w:rPr>
          <w:rFonts w:ascii="Times New Roman" w:hAnsi="Times New Roman" w:cs="Times New Roman"/>
        </w:rPr>
        <w:t>STATE OF HEALTH. CIRCADIAN RHYTHM and ENERGY LEVEL have a substantial positive connection (r = 0.47, p.001, 95 percent CI = [0.43, 0.51]). CIRCADIAN RHYTHM and ENERGY LEVEL had a 0.47 correlation value, indicating a moderate effect size. This relationship suggests that as CIRCADIAN RHYTHM rises, so does ENERGY LEVEL.</w:t>
      </w:r>
    </w:p>
    <w:p w14:paraId="72B62F24" w14:textId="7768C5F4"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CIRCADIAN RHYTHM and LIFESTYLE have a substantial positive connection (r = 0.48, p.001, 95 percent CI = [0.44, 0.52]). CIRCADIAN RHYTHM and LIFESTYLE had a 0.48 correlation value, indicating a moderate effect size. This relationship implies that as CIRCADIAN RHYTHM rises, so does LIFESTYLE. CIRCADIAN RHYTHM and ENGAGEMENT had a substantial positive connection (r = 0.25, p.001, 95 percent CI = [0.21, 0.30]). CIRCADIAN RHYTHM and ENGAGEMENT ha</w:t>
      </w:r>
      <w:r w:rsidR="00F37506" w:rsidRPr="005459E6">
        <w:rPr>
          <w:rFonts w:ascii="Times New Roman" w:hAnsi="Times New Roman" w:cs="Times New Roman"/>
        </w:rPr>
        <w:t>ve</w:t>
      </w:r>
      <w:r w:rsidRPr="005459E6">
        <w:rPr>
          <w:rFonts w:ascii="Times New Roman" w:hAnsi="Times New Roman" w:cs="Times New Roman"/>
        </w:rPr>
        <w:t xml:space="preserve"> a 0.25 correlation coefficient, indicating a small effect size. This relationship implies that as CIRCADIAN RHYTHM rises, so does ENGAGEMENT.</w:t>
      </w:r>
    </w:p>
    <w:p w14:paraId="4BB953FA" w14:textId="43784FBC"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CIRCADIAN RHYTHM and SLEEP have a substantial positive connection (r = 0.48, p.001, 95 percent CI = [0.44, 0.51]). CIRCADIAN RHYTHM and SLEEP had a 0.48 correlation value, indicating a moderate effect magnitude. This relationship implies that as CIRCADIAN RHYTHM rises, so does SLEEP. CIRCADIAN RHYTHM and OBSERVED PRODUCTIVITY have a significant negative connection (r = -0.30, p.001, 95 percent CI = [-0.34, -0.25]). CIRCADIAN RHYTHM and OBSERVED PRODUCTIVITY had a correlation coefficient of -0.30, indicating a small effect size. This relationship implies that as CIRCADIAN RHYTHM rises, OBSERVED PRODUCTIVITY falls.</w:t>
      </w:r>
    </w:p>
    <w:p w14:paraId="1FD77065" w14:textId="77777777"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GENDER and STATE OF HEALTH have a significant negative connection (r = -0.15, p.001, 95 percent CI = [-0.20, -0.10]). GENDER and STATE OF HEALTH had a -0.15 correlation value, indicating a minor effect size. STATE OF HEALTH tends to decline as GENDER increases, according to this association. GENDER and STRESS were shown to have a significant negative connection (r = -0.22, p.001, 95 percent CI = [-0.27, -0.17]). GENDER and STRESS had a -0.22 correlation value, indicating a minor effect magnitude. This relationship shows that when GENDER rises, STRESS tends to fall.</w:t>
      </w:r>
    </w:p>
    <w:p w14:paraId="26FF8C9D" w14:textId="77777777" w:rsidR="00704666" w:rsidRPr="005459E6" w:rsidRDefault="00704666" w:rsidP="00042CB0">
      <w:pPr>
        <w:spacing w:line="360" w:lineRule="auto"/>
        <w:jc w:val="both"/>
        <w:rPr>
          <w:rFonts w:ascii="Times New Roman" w:hAnsi="Times New Roman" w:cs="Times New Roman"/>
        </w:rPr>
      </w:pPr>
    </w:p>
    <w:p w14:paraId="173F363C" w14:textId="6868DE93"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GENDER and ENERGY LEVEL have a significant negative connection (r = -0.11, p.001, 95 percent CI = [-0.16, -0.06]). GENDER and ENERGY LEVEL had a -0.11 correlation coefficient, indicating a minor effect size. This relationship shows that when GENDER increases, ENERGY LEVEL decreases. GENDER and LIFESTYLE were shown to have a significant negative connection (r = -0.29, p.001, 95 percent CI = [-0.34, -0.24]). GENDER and LIFESTYLE had a -0.29 correlation coefficient, indicating a minimal effect size. This relationship suggests that when GENDER rises, LIFESTYLE tends to fall. GENDER and ENGAGEMENT were shown to have a significant negative connection (r = -0.24, p.001, 95 percent CI = [-0.28, -0.19]). GENDER and ENGAGEMENT had a -0.24 correlation coefficient, indicating a small effect size. This relationship suggests that when GENDER rises, ENGAGEMENT tends to fall.</w:t>
      </w:r>
    </w:p>
    <w:p w14:paraId="62D47E89" w14:textId="35E6FC9F"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The variables GENDER and SLEEP had a significant positive connection (r = 0.40, p.001, 95 percent CI = [0.36, 0.44]). GENDER and SLEEP had a 0.40 correlation value, indicating a moderate effect magnitude. This relationship implies that SLEEP tends to rise as GENDER increases. GENDER and OBSERVED PRODUCTIVITY had a significant positive connection (r = 0.21, p.001, 95 percent CI = [0.17, 0.26]). GENDER and OBSERVED PRODUCTIVITY had a 0.21 correlation value, indicating a small effect size. This relationship shows that as GENDER rises, OBSERVED PRODUCTIVITY rises as well. STATE OF HEALTH and STRESS have a significant positive connection (r = 0.11, p.001, 95 percent CI = [0.06, 0.15]). STATE OF HEALTH and STRESS had a 0.11 correlation coefficient, indicating a small effect size. This relationship shows that as STATE OF HEALTH rises, STRESS rises with it.</w:t>
      </w:r>
    </w:p>
    <w:p w14:paraId="691C7F99" w14:textId="028FD61E"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STATE OF HEALTH and LIFESTYLE have a substantial positive connection (r = 0.75, p.001, 95 percent CI = [0.72, 0.77]). STATE OF HEALTH and LIFESTYLE had a 0.75 correlation value, indicating a large effect size. This relationship shows that as STATE OF HEALTH improves, LIFESTYLE improves as well. STATE OF HEALTH and ENGAGEMENT had a significant negative connection (r = -0.15, p.001, 95 percent CI = [-0.20, -0.10]). STATE OF HEALTH and ENGAGEMENT had a -0.15 correlation coefficient, indicating a small effect size. This relationship shows that as STATE OF HEALTH rises, ENGAGEMENT tends to fall.</w:t>
      </w:r>
    </w:p>
    <w:p w14:paraId="3A654A01" w14:textId="6AEF27E9" w:rsidR="00704666" w:rsidRPr="005459E6" w:rsidRDefault="00704666" w:rsidP="00042CB0">
      <w:pPr>
        <w:spacing w:line="360" w:lineRule="auto"/>
        <w:jc w:val="both"/>
        <w:rPr>
          <w:rFonts w:ascii="Times New Roman" w:hAnsi="Times New Roman" w:cs="Times New Roman"/>
        </w:rPr>
      </w:pPr>
      <w:r w:rsidRPr="005459E6">
        <w:rPr>
          <w:rFonts w:ascii="Times New Roman" w:hAnsi="Times New Roman" w:cs="Times New Roman"/>
        </w:rPr>
        <w:t>STATE OF HEALTH and OBSERVED PRODUCTIVITY have a significant negative connection (r = -0.23, p.001, 95 percent CI = [-0.27, -0.18]). STATE OF HEALTH and OBSERVED PRODUCTIVITY had a correlation coefficient of -0.23, indicating a small effect size. This relationship implies that as STATE OF HEALTH rises, OBSERVED PRODUCTIVITY falls. STRESS and ENERGY LEVEL had a significant negative connection (r = -0.10, p =.002, 95 percent CI = [-0.15, -0.05]). STRESS and ENERGY LEVEL ha</w:t>
      </w:r>
      <w:r w:rsidR="00F37506" w:rsidRPr="005459E6">
        <w:rPr>
          <w:rFonts w:ascii="Times New Roman" w:hAnsi="Times New Roman" w:cs="Times New Roman"/>
        </w:rPr>
        <w:t>s</w:t>
      </w:r>
      <w:r w:rsidRPr="005459E6">
        <w:rPr>
          <w:rFonts w:ascii="Times New Roman" w:hAnsi="Times New Roman" w:cs="Times New Roman"/>
        </w:rPr>
        <w:t xml:space="preserve"> a -0.10 correlation coefficient, indicating a minor effect magnitude. This relationship shows that when STRESS grows, ENERGY LEVEL decreases. STRESS and ENGAGEMENT were found to have a substantial positive connection (r = 0.63, p.001, 95 percent CI = [0.60, 0.66]). STRESS and ENGAGEMENT had a 0.63 correlation value, indicating a large effect size. This relationship implies that while STRESS rises, ENGAGEMENT rises as well.</w:t>
      </w:r>
      <w:r w:rsidR="009413DE" w:rsidRPr="005459E6">
        <w:rPr>
          <w:rFonts w:ascii="Times New Roman" w:hAnsi="Times New Roman" w:cs="Times New Roman"/>
        </w:rPr>
        <w:t xml:space="preserve"> </w:t>
      </w:r>
      <w:r w:rsidRPr="005459E6">
        <w:rPr>
          <w:rFonts w:ascii="Times New Roman" w:hAnsi="Times New Roman" w:cs="Times New Roman"/>
        </w:rPr>
        <w:t>ENERGY LEVEL and LIFESTYLE have a substantial positive connection (r = 0.13, p.001, 95 percent CI = [0.08, 0.18]). ENERGY LEVEL and LIFESTYLE had a 0.13 correlation coefficient, indicating a small effect size. This relationship shows that as ENERGY LEVEL rises, LIFESTYLE rises with it.</w:t>
      </w:r>
      <w:r w:rsidR="009413DE" w:rsidRPr="005459E6">
        <w:rPr>
          <w:rFonts w:ascii="Times New Roman" w:hAnsi="Times New Roman" w:cs="Times New Roman"/>
        </w:rPr>
        <w:t xml:space="preserve"> </w:t>
      </w:r>
      <w:r w:rsidRPr="005459E6">
        <w:rPr>
          <w:rFonts w:ascii="Times New Roman" w:hAnsi="Times New Roman" w:cs="Times New Roman"/>
        </w:rPr>
        <w:t xml:space="preserve">ENERGY LEVEL and OBSERVED PRODUCTIVITY have a significant negative connection (r = -0.81, p.001, 95 percent CI = [-0.83, -0.80]). ENERGY LEVEL and OBSERVED PRODUCTIVITY had a -0.81 correlation coefficient, indicating a strong effect size. This relationship suggests that as ENERGY LEVEL rises, OBSERVED PRODUCTIVITY tends to fall. LIFESTYLE and SLEEP have a substantial positive connection (r = 0.09, p =.017, 95 percent CI = [0.04, 0.14]). LIFESTYLE and SLEEP had a 0.09 correlation value, indicating a small effect size. This relationship implies that as LIFESTYLE improves, SLEEP improves as well. The connection between ENGAGEMENT and SLEEP was found to be significant (r = 0.14, p.001, 95 percent CI = [0.09, 0.19]). ENGAGEMENT and SLEEP had a 0.14 correlation value, indicating a small effect size. This relationship shows that while ENGAGEMENT rises, SLEEP tends to rise as well. There were no additional significant relationships discovered. The correlations' results are shown in Table </w:t>
      </w:r>
      <w:r w:rsidR="001C60E4" w:rsidRPr="005459E6">
        <w:rPr>
          <w:rFonts w:ascii="Times New Roman" w:hAnsi="Times New Roman" w:cs="Times New Roman"/>
        </w:rPr>
        <w:t>3.</w:t>
      </w:r>
      <w:r w:rsidRPr="005459E6">
        <w:rPr>
          <w:rFonts w:ascii="Times New Roman" w:hAnsi="Times New Roman" w:cs="Times New Roman"/>
        </w:rPr>
        <w:t>1.</w:t>
      </w:r>
    </w:p>
    <w:p w14:paraId="36AE5FE0" w14:textId="77777777" w:rsidR="00720DBF" w:rsidRPr="005459E6" w:rsidRDefault="00720DBF" w:rsidP="00042CB0">
      <w:pPr>
        <w:spacing w:before="240" w:after="120" w:line="360" w:lineRule="auto"/>
        <w:jc w:val="both"/>
        <w:rPr>
          <w:rFonts w:ascii="Times New Roman" w:hAnsi="Times New Roman" w:cs="Times New Roman"/>
        </w:rPr>
      </w:pPr>
    </w:p>
    <w:p w14:paraId="211AD7AA" w14:textId="2028BCB8"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b/>
          <w:bCs/>
        </w:rPr>
        <w:t xml:space="preserve">Table </w:t>
      </w:r>
      <w:r w:rsidR="001C60E4" w:rsidRPr="005459E6">
        <w:rPr>
          <w:rFonts w:ascii="Times New Roman" w:hAnsi="Times New Roman" w:cs="Times New Roman"/>
          <w:b/>
          <w:bCs/>
        </w:rPr>
        <w:t>3.</w:t>
      </w:r>
      <w:r w:rsidRPr="005459E6">
        <w:rPr>
          <w:rFonts w:ascii="Times New Roman" w:hAnsi="Times New Roman" w:cs="Times New Roman"/>
          <w:b/>
          <w:bCs/>
        </w:rPr>
        <w:t>1</w:t>
      </w:r>
    </w:p>
    <w:p w14:paraId="1DD06BE7" w14:textId="77777777" w:rsidR="003D2384" w:rsidRPr="005459E6" w:rsidRDefault="003D2384" w:rsidP="00042CB0">
      <w:pPr>
        <w:spacing w:after="120" w:line="360" w:lineRule="auto"/>
        <w:jc w:val="both"/>
        <w:rPr>
          <w:rFonts w:ascii="Times New Roman" w:hAnsi="Times New Roman" w:cs="Times New Roman"/>
        </w:rPr>
      </w:pPr>
      <w:r w:rsidRPr="005459E6">
        <w:rPr>
          <w:rFonts w:ascii="Times New Roman" w:hAnsi="Times New Roman" w:cs="Times New Roman"/>
          <w:i/>
          <w:iCs/>
        </w:rPr>
        <w:t>Spearman Correlation Results Among AGE, BMI, FOCUS, CIRCADIAN_RHYTHM, GENDER, STATE_OF_HEALTH, STRESS, ENERGY_LEVEL, LIFESTYLE, ENGAGEMENT, SLEEP, and OBSERVED_PRODUCTIVITY</w:t>
      </w:r>
    </w:p>
    <w:tbl>
      <w:tblPr>
        <w:tblStyle w:val="NormalTablePHPDOCX"/>
        <w:tblW w:w="5000" w:type="pct"/>
        <w:tblInd w:w="108" w:type="dxa"/>
        <w:tblLook w:val="04A0" w:firstRow="1" w:lastRow="0" w:firstColumn="1" w:lastColumn="0" w:noHBand="0" w:noVBand="1"/>
      </w:tblPr>
      <w:tblGrid>
        <w:gridCol w:w="5707"/>
        <w:gridCol w:w="704"/>
        <w:gridCol w:w="1450"/>
        <w:gridCol w:w="684"/>
        <w:gridCol w:w="815"/>
      </w:tblGrid>
      <w:tr w:rsidR="005459E6" w:rsidRPr="005459E6" w14:paraId="019C1FA1" w14:textId="77777777" w:rsidTr="005640BE">
        <w:tc>
          <w:tcPr>
            <w:tcW w:w="0" w:type="auto"/>
            <w:tcBorders>
              <w:top w:val="single" w:sz="5" w:space="0" w:color="000000"/>
              <w:bottom w:val="single" w:sz="5" w:space="0" w:color="000000"/>
            </w:tcBorders>
            <w:tcMar>
              <w:top w:w="30" w:type="dxa"/>
              <w:bottom w:w="30" w:type="dxa"/>
            </w:tcMar>
            <w:vAlign w:val="center"/>
          </w:tcPr>
          <w:p w14:paraId="5FC839E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Combination</w:t>
            </w:r>
          </w:p>
        </w:tc>
        <w:tc>
          <w:tcPr>
            <w:tcW w:w="0" w:type="auto"/>
            <w:tcBorders>
              <w:top w:val="single" w:sz="5" w:space="0" w:color="000000"/>
              <w:bottom w:val="single" w:sz="5" w:space="0" w:color="000000"/>
            </w:tcBorders>
            <w:tcMar>
              <w:top w:w="30" w:type="dxa"/>
              <w:bottom w:w="30" w:type="dxa"/>
            </w:tcMar>
            <w:vAlign w:val="center"/>
          </w:tcPr>
          <w:p w14:paraId="1F6273F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r</w:t>
            </w:r>
          </w:p>
        </w:tc>
        <w:tc>
          <w:tcPr>
            <w:tcW w:w="0" w:type="auto"/>
            <w:tcBorders>
              <w:top w:val="single" w:sz="5" w:space="0" w:color="000000"/>
              <w:bottom w:val="single" w:sz="5" w:space="0" w:color="000000"/>
            </w:tcBorders>
            <w:tcMar>
              <w:top w:w="30" w:type="dxa"/>
              <w:bottom w:w="30" w:type="dxa"/>
            </w:tcMar>
            <w:vAlign w:val="center"/>
          </w:tcPr>
          <w:p w14:paraId="1F06A54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5" w:space="0" w:color="000000"/>
              <w:bottom w:val="single" w:sz="5" w:space="0" w:color="000000"/>
            </w:tcBorders>
            <w:tcMar>
              <w:top w:w="30" w:type="dxa"/>
              <w:bottom w:w="30" w:type="dxa"/>
            </w:tcMar>
            <w:vAlign w:val="center"/>
          </w:tcPr>
          <w:p w14:paraId="5CFFDF5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w:t>
            </w:r>
          </w:p>
        </w:tc>
        <w:tc>
          <w:tcPr>
            <w:tcW w:w="0" w:type="auto"/>
            <w:tcBorders>
              <w:top w:val="single" w:sz="5" w:space="0" w:color="000000"/>
              <w:bottom w:val="single" w:sz="5" w:space="0" w:color="000000"/>
            </w:tcBorders>
            <w:tcMar>
              <w:top w:w="30" w:type="dxa"/>
              <w:bottom w:w="30" w:type="dxa"/>
            </w:tcMar>
            <w:vAlign w:val="center"/>
          </w:tcPr>
          <w:p w14:paraId="5F274C0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5459E6" w:rsidRPr="005459E6" w14:paraId="1EBC0758" w14:textId="77777777" w:rsidTr="005640BE">
        <w:tc>
          <w:tcPr>
            <w:tcW w:w="0" w:type="auto"/>
            <w:tcBorders>
              <w:top w:val="single" w:sz="5" w:space="0" w:color="000000"/>
            </w:tcBorders>
            <w:tcMar>
              <w:top w:w="30" w:type="dxa"/>
              <w:bottom w:w="30" w:type="dxa"/>
            </w:tcMar>
            <w:vAlign w:val="center"/>
          </w:tcPr>
          <w:p w14:paraId="5D7625B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AGE-BMI</w:t>
            </w:r>
          </w:p>
        </w:tc>
        <w:tc>
          <w:tcPr>
            <w:tcW w:w="0" w:type="auto"/>
            <w:tcBorders>
              <w:top w:val="single" w:sz="5" w:space="0" w:color="000000"/>
            </w:tcBorders>
            <w:tcMar>
              <w:top w:w="30" w:type="dxa"/>
              <w:bottom w:w="30" w:type="dxa"/>
            </w:tcMar>
            <w:vAlign w:val="center"/>
          </w:tcPr>
          <w:p w14:paraId="189219E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-0.21</w:t>
            </w:r>
          </w:p>
        </w:tc>
        <w:tc>
          <w:tcPr>
            <w:tcW w:w="0" w:type="auto"/>
            <w:tcBorders>
              <w:top w:val="single" w:sz="5" w:space="0" w:color="000000"/>
            </w:tcBorders>
            <w:tcMar>
              <w:top w:w="30" w:type="dxa"/>
              <w:bottom w:w="30" w:type="dxa"/>
            </w:tcMar>
            <w:vAlign w:val="center"/>
          </w:tcPr>
          <w:p w14:paraId="37F977B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[-0.26, -0.16]</w:t>
            </w:r>
          </w:p>
        </w:tc>
        <w:tc>
          <w:tcPr>
            <w:tcW w:w="0" w:type="auto"/>
            <w:tcBorders>
              <w:top w:val="single" w:sz="5" w:space="0" w:color="000000"/>
            </w:tcBorders>
            <w:tcMar>
              <w:top w:w="30" w:type="dxa"/>
              <w:bottom w:w="30" w:type="dxa"/>
            </w:tcMar>
            <w:vAlign w:val="center"/>
          </w:tcPr>
          <w:p w14:paraId="78732A9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Borders>
              <w:top w:val="single" w:sz="5" w:space="0" w:color="000000"/>
            </w:tcBorders>
            <w:tcMar>
              <w:top w:w="30" w:type="dxa"/>
              <w:bottom w:w="30" w:type="dxa"/>
            </w:tcMar>
            <w:vAlign w:val="center"/>
          </w:tcPr>
          <w:p w14:paraId="7535745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C315F1C" w14:textId="77777777" w:rsidTr="005640BE">
        <w:tc>
          <w:tcPr>
            <w:tcW w:w="0" w:type="auto"/>
            <w:tcMar>
              <w:top w:w="30" w:type="dxa"/>
              <w:bottom w:w="30" w:type="dxa"/>
            </w:tcMar>
            <w:vAlign w:val="center"/>
          </w:tcPr>
          <w:p w14:paraId="2E726C3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AGE-FOCUS</w:t>
            </w:r>
          </w:p>
        </w:tc>
        <w:tc>
          <w:tcPr>
            <w:tcW w:w="0" w:type="auto"/>
            <w:tcMar>
              <w:top w:w="30" w:type="dxa"/>
              <w:bottom w:w="30" w:type="dxa"/>
            </w:tcMar>
            <w:vAlign w:val="center"/>
          </w:tcPr>
          <w:p w14:paraId="76ADA0F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7E0505A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 0.08]</w:t>
            </w:r>
          </w:p>
        </w:tc>
        <w:tc>
          <w:tcPr>
            <w:tcW w:w="0" w:type="auto"/>
            <w:tcMar>
              <w:top w:w="30" w:type="dxa"/>
              <w:bottom w:w="30" w:type="dxa"/>
            </w:tcMar>
            <w:vAlign w:val="center"/>
          </w:tcPr>
          <w:p w14:paraId="21B70DD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699FAA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609AB08" w14:textId="77777777" w:rsidTr="005640BE">
        <w:tc>
          <w:tcPr>
            <w:tcW w:w="0" w:type="auto"/>
            <w:tcMar>
              <w:top w:w="30" w:type="dxa"/>
              <w:bottom w:w="30" w:type="dxa"/>
            </w:tcMar>
            <w:vAlign w:val="center"/>
          </w:tcPr>
          <w:p w14:paraId="6D1AA6D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AGE-CIRCADIAN_RHYTHM</w:t>
            </w:r>
          </w:p>
        </w:tc>
        <w:tc>
          <w:tcPr>
            <w:tcW w:w="0" w:type="auto"/>
            <w:tcMar>
              <w:top w:w="30" w:type="dxa"/>
              <w:bottom w:w="30" w:type="dxa"/>
            </w:tcMar>
            <w:vAlign w:val="center"/>
          </w:tcPr>
          <w:p w14:paraId="327F4EA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-0.23</w:t>
            </w:r>
          </w:p>
        </w:tc>
        <w:tc>
          <w:tcPr>
            <w:tcW w:w="0" w:type="auto"/>
            <w:tcMar>
              <w:top w:w="30" w:type="dxa"/>
              <w:bottom w:w="30" w:type="dxa"/>
            </w:tcMar>
            <w:vAlign w:val="center"/>
          </w:tcPr>
          <w:p w14:paraId="58F8967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 -0.19]</w:t>
            </w:r>
          </w:p>
        </w:tc>
        <w:tc>
          <w:tcPr>
            <w:tcW w:w="0" w:type="auto"/>
            <w:tcMar>
              <w:top w:w="30" w:type="dxa"/>
              <w:bottom w:w="30" w:type="dxa"/>
            </w:tcMar>
            <w:vAlign w:val="center"/>
          </w:tcPr>
          <w:p w14:paraId="53B0FF2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838CC7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7E7AB15" w14:textId="77777777" w:rsidTr="005640BE">
        <w:tc>
          <w:tcPr>
            <w:tcW w:w="0" w:type="auto"/>
            <w:tcMar>
              <w:top w:w="30" w:type="dxa"/>
              <w:bottom w:w="30" w:type="dxa"/>
            </w:tcMar>
            <w:vAlign w:val="center"/>
          </w:tcPr>
          <w:p w14:paraId="7BF320A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AGE-GENDER</w:t>
            </w:r>
          </w:p>
        </w:tc>
        <w:tc>
          <w:tcPr>
            <w:tcW w:w="0" w:type="auto"/>
            <w:tcMar>
              <w:top w:w="30" w:type="dxa"/>
              <w:bottom w:w="30" w:type="dxa"/>
            </w:tcMar>
            <w:vAlign w:val="center"/>
          </w:tcPr>
          <w:p w14:paraId="3938A33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w:t>
            </w:r>
          </w:p>
        </w:tc>
        <w:tc>
          <w:tcPr>
            <w:tcW w:w="0" w:type="auto"/>
            <w:tcMar>
              <w:top w:w="30" w:type="dxa"/>
              <w:bottom w:w="30" w:type="dxa"/>
            </w:tcMar>
            <w:vAlign w:val="center"/>
          </w:tcPr>
          <w:p w14:paraId="4CD9B12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[0.23, 0.32]</w:t>
            </w:r>
          </w:p>
        </w:tc>
        <w:tc>
          <w:tcPr>
            <w:tcW w:w="0" w:type="auto"/>
            <w:tcMar>
              <w:top w:w="30" w:type="dxa"/>
              <w:bottom w:w="30" w:type="dxa"/>
            </w:tcMar>
            <w:vAlign w:val="center"/>
          </w:tcPr>
          <w:p w14:paraId="566EB01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F652FC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F90F8F3" w14:textId="77777777" w:rsidTr="005640BE">
        <w:tc>
          <w:tcPr>
            <w:tcW w:w="0" w:type="auto"/>
            <w:tcMar>
              <w:top w:w="30" w:type="dxa"/>
              <w:bottom w:w="30" w:type="dxa"/>
            </w:tcMar>
            <w:vAlign w:val="center"/>
          </w:tcPr>
          <w:p w14:paraId="2D9B15C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AGE-STATE_OF_HEALTH</w:t>
            </w:r>
          </w:p>
        </w:tc>
        <w:tc>
          <w:tcPr>
            <w:tcW w:w="0" w:type="auto"/>
            <w:tcMar>
              <w:top w:w="30" w:type="dxa"/>
              <w:bottom w:w="30" w:type="dxa"/>
            </w:tcMar>
            <w:vAlign w:val="center"/>
          </w:tcPr>
          <w:p w14:paraId="319F424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-0.85</w:t>
            </w:r>
          </w:p>
        </w:tc>
        <w:tc>
          <w:tcPr>
            <w:tcW w:w="0" w:type="auto"/>
            <w:tcMar>
              <w:top w:w="30" w:type="dxa"/>
              <w:bottom w:w="30" w:type="dxa"/>
            </w:tcMar>
            <w:vAlign w:val="center"/>
          </w:tcPr>
          <w:p w14:paraId="45BE15C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[-0.87, -0.84]</w:t>
            </w:r>
          </w:p>
        </w:tc>
        <w:tc>
          <w:tcPr>
            <w:tcW w:w="0" w:type="auto"/>
            <w:tcMar>
              <w:top w:w="30" w:type="dxa"/>
              <w:bottom w:w="30" w:type="dxa"/>
            </w:tcMar>
            <w:vAlign w:val="center"/>
          </w:tcPr>
          <w:p w14:paraId="28563C6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F58DFD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34BC9E4" w14:textId="77777777" w:rsidTr="005640BE">
        <w:tc>
          <w:tcPr>
            <w:tcW w:w="0" w:type="auto"/>
            <w:tcMar>
              <w:top w:w="30" w:type="dxa"/>
              <w:bottom w:w="30" w:type="dxa"/>
            </w:tcMar>
            <w:vAlign w:val="center"/>
          </w:tcPr>
          <w:p w14:paraId="57AB700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AGE-STRESS</w:t>
            </w:r>
          </w:p>
        </w:tc>
        <w:tc>
          <w:tcPr>
            <w:tcW w:w="0" w:type="auto"/>
            <w:tcMar>
              <w:top w:w="30" w:type="dxa"/>
              <w:bottom w:w="30" w:type="dxa"/>
            </w:tcMar>
            <w:vAlign w:val="center"/>
          </w:tcPr>
          <w:p w14:paraId="66F65A2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w:t>
            </w:r>
          </w:p>
        </w:tc>
        <w:tc>
          <w:tcPr>
            <w:tcW w:w="0" w:type="auto"/>
            <w:tcMar>
              <w:top w:w="30" w:type="dxa"/>
              <w:bottom w:w="30" w:type="dxa"/>
            </w:tcMar>
            <w:vAlign w:val="center"/>
          </w:tcPr>
          <w:p w14:paraId="13EE0D5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[-0.12, -0.02]</w:t>
            </w:r>
          </w:p>
        </w:tc>
        <w:tc>
          <w:tcPr>
            <w:tcW w:w="0" w:type="auto"/>
            <w:tcMar>
              <w:top w:w="30" w:type="dxa"/>
              <w:bottom w:w="30" w:type="dxa"/>
            </w:tcMar>
            <w:vAlign w:val="center"/>
          </w:tcPr>
          <w:p w14:paraId="2E82CE2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B2A5D5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.124</w:t>
            </w:r>
          </w:p>
        </w:tc>
      </w:tr>
      <w:tr w:rsidR="005459E6" w:rsidRPr="005459E6" w14:paraId="2C687C15" w14:textId="77777777" w:rsidTr="005640BE">
        <w:tc>
          <w:tcPr>
            <w:tcW w:w="0" w:type="auto"/>
            <w:tcMar>
              <w:top w:w="30" w:type="dxa"/>
              <w:bottom w:w="30" w:type="dxa"/>
            </w:tcMar>
            <w:vAlign w:val="center"/>
          </w:tcPr>
          <w:p w14:paraId="1D8D104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AGE-ENERGY_LEVEL</w:t>
            </w:r>
          </w:p>
        </w:tc>
        <w:tc>
          <w:tcPr>
            <w:tcW w:w="0" w:type="auto"/>
            <w:tcMar>
              <w:top w:w="30" w:type="dxa"/>
              <w:bottom w:w="30" w:type="dxa"/>
            </w:tcMar>
            <w:vAlign w:val="center"/>
          </w:tcPr>
          <w:p w14:paraId="47B5AB6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0.08</w:t>
            </w:r>
          </w:p>
        </w:tc>
        <w:tc>
          <w:tcPr>
            <w:tcW w:w="0" w:type="auto"/>
            <w:tcMar>
              <w:top w:w="30" w:type="dxa"/>
              <w:bottom w:w="30" w:type="dxa"/>
            </w:tcMar>
            <w:vAlign w:val="center"/>
          </w:tcPr>
          <w:p w14:paraId="1F7DC98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0.13]</w:t>
            </w:r>
          </w:p>
        </w:tc>
        <w:tc>
          <w:tcPr>
            <w:tcW w:w="0" w:type="auto"/>
            <w:tcMar>
              <w:top w:w="30" w:type="dxa"/>
              <w:bottom w:w="30" w:type="dxa"/>
            </w:tcMar>
            <w:vAlign w:val="center"/>
          </w:tcPr>
          <w:p w14:paraId="37A895C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98708C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.042</w:t>
            </w:r>
          </w:p>
        </w:tc>
      </w:tr>
      <w:tr w:rsidR="005459E6" w:rsidRPr="005459E6" w14:paraId="330FEDCD" w14:textId="77777777" w:rsidTr="005640BE">
        <w:tc>
          <w:tcPr>
            <w:tcW w:w="0" w:type="auto"/>
            <w:tcMar>
              <w:top w:w="30" w:type="dxa"/>
              <w:bottom w:w="30" w:type="dxa"/>
            </w:tcMar>
            <w:vAlign w:val="center"/>
          </w:tcPr>
          <w:p w14:paraId="3F6CF78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AGE-LIFESTYLE</w:t>
            </w:r>
          </w:p>
        </w:tc>
        <w:tc>
          <w:tcPr>
            <w:tcW w:w="0" w:type="auto"/>
            <w:tcMar>
              <w:top w:w="30" w:type="dxa"/>
              <w:bottom w:w="30" w:type="dxa"/>
            </w:tcMar>
            <w:vAlign w:val="center"/>
          </w:tcPr>
          <w:p w14:paraId="52612EA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-0.68</w:t>
            </w:r>
          </w:p>
        </w:tc>
        <w:tc>
          <w:tcPr>
            <w:tcW w:w="0" w:type="auto"/>
            <w:tcMar>
              <w:top w:w="30" w:type="dxa"/>
              <w:bottom w:w="30" w:type="dxa"/>
            </w:tcMar>
            <w:vAlign w:val="center"/>
          </w:tcPr>
          <w:p w14:paraId="75481F2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[-0.70, -0.65]</w:t>
            </w:r>
          </w:p>
        </w:tc>
        <w:tc>
          <w:tcPr>
            <w:tcW w:w="0" w:type="auto"/>
            <w:tcMar>
              <w:top w:w="30" w:type="dxa"/>
              <w:bottom w:w="30" w:type="dxa"/>
            </w:tcMar>
            <w:vAlign w:val="center"/>
          </w:tcPr>
          <w:p w14:paraId="6AE0DF0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FD82BA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4DCAFF4D" w14:textId="77777777" w:rsidTr="005640BE">
        <w:tc>
          <w:tcPr>
            <w:tcW w:w="0" w:type="auto"/>
            <w:tcMar>
              <w:top w:w="30" w:type="dxa"/>
              <w:bottom w:w="30" w:type="dxa"/>
            </w:tcMar>
            <w:vAlign w:val="center"/>
          </w:tcPr>
          <w:p w14:paraId="0522B18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AGE-ENGAGEMENT</w:t>
            </w:r>
          </w:p>
        </w:tc>
        <w:tc>
          <w:tcPr>
            <w:tcW w:w="0" w:type="auto"/>
            <w:tcMar>
              <w:top w:w="30" w:type="dxa"/>
              <w:bottom w:w="30" w:type="dxa"/>
            </w:tcMar>
            <w:vAlign w:val="center"/>
          </w:tcPr>
          <w:p w14:paraId="1F01830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w:t>
            </w:r>
          </w:p>
        </w:tc>
        <w:tc>
          <w:tcPr>
            <w:tcW w:w="0" w:type="auto"/>
            <w:tcMar>
              <w:top w:w="30" w:type="dxa"/>
              <w:bottom w:w="30" w:type="dxa"/>
            </w:tcMar>
            <w:vAlign w:val="center"/>
          </w:tcPr>
          <w:p w14:paraId="180B739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0.16]</w:t>
            </w:r>
          </w:p>
        </w:tc>
        <w:tc>
          <w:tcPr>
            <w:tcW w:w="0" w:type="auto"/>
            <w:tcMar>
              <w:top w:w="30" w:type="dxa"/>
              <w:bottom w:w="30" w:type="dxa"/>
            </w:tcMar>
            <w:vAlign w:val="center"/>
          </w:tcPr>
          <w:p w14:paraId="0A5F14F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CB52EA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761A5E6" w14:textId="77777777" w:rsidTr="005640BE">
        <w:tc>
          <w:tcPr>
            <w:tcW w:w="0" w:type="auto"/>
            <w:tcMar>
              <w:top w:w="30" w:type="dxa"/>
              <w:bottom w:w="30" w:type="dxa"/>
            </w:tcMar>
            <w:vAlign w:val="center"/>
          </w:tcPr>
          <w:p w14:paraId="7FB10FF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AGE-SLEEP</w:t>
            </w:r>
          </w:p>
        </w:tc>
        <w:tc>
          <w:tcPr>
            <w:tcW w:w="0" w:type="auto"/>
            <w:tcMar>
              <w:top w:w="30" w:type="dxa"/>
              <w:bottom w:w="30" w:type="dxa"/>
            </w:tcMar>
            <w:vAlign w:val="center"/>
          </w:tcPr>
          <w:p w14:paraId="46BDDB7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7C98ECD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[-0.08, 0.02]</w:t>
            </w:r>
          </w:p>
        </w:tc>
        <w:tc>
          <w:tcPr>
            <w:tcW w:w="0" w:type="auto"/>
            <w:tcMar>
              <w:top w:w="30" w:type="dxa"/>
              <w:bottom w:w="30" w:type="dxa"/>
            </w:tcMar>
            <w:vAlign w:val="center"/>
          </w:tcPr>
          <w:p w14:paraId="11C3166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43F31A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9C243DB" w14:textId="77777777" w:rsidTr="005640BE">
        <w:tc>
          <w:tcPr>
            <w:tcW w:w="0" w:type="auto"/>
            <w:tcMar>
              <w:top w:w="30" w:type="dxa"/>
              <w:bottom w:w="30" w:type="dxa"/>
            </w:tcMar>
            <w:vAlign w:val="center"/>
          </w:tcPr>
          <w:p w14:paraId="4826192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AGE-OBSERVED_PRODUCTIVITY</w:t>
            </w:r>
          </w:p>
        </w:tc>
        <w:tc>
          <w:tcPr>
            <w:tcW w:w="0" w:type="auto"/>
            <w:tcMar>
              <w:top w:w="30" w:type="dxa"/>
              <w:bottom w:w="30" w:type="dxa"/>
            </w:tcMar>
            <w:vAlign w:val="center"/>
          </w:tcPr>
          <w:p w14:paraId="78A0F57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0.18</w:t>
            </w:r>
          </w:p>
        </w:tc>
        <w:tc>
          <w:tcPr>
            <w:tcW w:w="0" w:type="auto"/>
            <w:tcMar>
              <w:top w:w="30" w:type="dxa"/>
              <w:bottom w:w="30" w:type="dxa"/>
            </w:tcMar>
            <w:vAlign w:val="center"/>
          </w:tcPr>
          <w:p w14:paraId="51F6BF4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 0.23]</w:t>
            </w:r>
          </w:p>
        </w:tc>
        <w:tc>
          <w:tcPr>
            <w:tcW w:w="0" w:type="auto"/>
            <w:tcMar>
              <w:top w:w="30" w:type="dxa"/>
              <w:bottom w:w="30" w:type="dxa"/>
            </w:tcMar>
            <w:vAlign w:val="center"/>
          </w:tcPr>
          <w:p w14:paraId="0216202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5DB511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EFC8887" w14:textId="77777777" w:rsidTr="005640BE">
        <w:tc>
          <w:tcPr>
            <w:tcW w:w="0" w:type="auto"/>
            <w:tcMar>
              <w:top w:w="30" w:type="dxa"/>
              <w:bottom w:w="30" w:type="dxa"/>
            </w:tcMar>
            <w:vAlign w:val="center"/>
          </w:tcPr>
          <w:p w14:paraId="5CB2265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BMI-FOCUS</w:t>
            </w:r>
          </w:p>
        </w:tc>
        <w:tc>
          <w:tcPr>
            <w:tcW w:w="0" w:type="auto"/>
            <w:tcMar>
              <w:top w:w="30" w:type="dxa"/>
              <w:bottom w:w="30" w:type="dxa"/>
            </w:tcMar>
            <w:vAlign w:val="center"/>
          </w:tcPr>
          <w:p w14:paraId="397696A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-0.24</w:t>
            </w:r>
          </w:p>
        </w:tc>
        <w:tc>
          <w:tcPr>
            <w:tcW w:w="0" w:type="auto"/>
            <w:tcMar>
              <w:top w:w="30" w:type="dxa"/>
              <w:bottom w:w="30" w:type="dxa"/>
            </w:tcMar>
            <w:vAlign w:val="center"/>
          </w:tcPr>
          <w:p w14:paraId="157E487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 -0.19]</w:t>
            </w:r>
          </w:p>
        </w:tc>
        <w:tc>
          <w:tcPr>
            <w:tcW w:w="0" w:type="auto"/>
            <w:tcMar>
              <w:top w:w="30" w:type="dxa"/>
              <w:bottom w:w="30" w:type="dxa"/>
            </w:tcMar>
            <w:vAlign w:val="center"/>
          </w:tcPr>
          <w:p w14:paraId="28AF58E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9F31F1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6998D674" w14:textId="77777777" w:rsidTr="005640BE">
        <w:tc>
          <w:tcPr>
            <w:tcW w:w="0" w:type="auto"/>
            <w:tcMar>
              <w:top w:w="30" w:type="dxa"/>
              <w:bottom w:w="30" w:type="dxa"/>
            </w:tcMar>
            <w:vAlign w:val="center"/>
          </w:tcPr>
          <w:p w14:paraId="290E6E5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BMI-CIRCADIAN_RHYTHM</w:t>
            </w:r>
          </w:p>
        </w:tc>
        <w:tc>
          <w:tcPr>
            <w:tcW w:w="0" w:type="auto"/>
            <w:tcMar>
              <w:top w:w="30" w:type="dxa"/>
              <w:bottom w:w="30" w:type="dxa"/>
            </w:tcMar>
            <w:vAlign w:val="center"/>
          </w:tcPr>
          <w:p w14:paraId="29AC14D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-0.67</w:t>
            </w:r>
          </w:p>
        </w:tc>
        <w:tc>
          <w:tcPr>
            <w:tcW w:w="0" w:type="auto"/>
            <w:tcMar>
              <w:top w:w="30" w:type="dxa"/>
              <w:bottom w:w="30" w:type="dxa"/>
            </w:tcMar>
            <w:vAlign w:val="center"/>
          </w:tcPr>
          <w:p w14:paraId="49A9358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[-0.70, -0.64]</w:t>
            </w:r>
          </w:p>
        </w:tc>
        <w:tc>
          <w:tcPr>
            <w:tcW w:w="0" w:type="auto"/>
            <w:tcMar>
              <w:top w:w="30" w:type="dxa"/>
              <w:bottom w:w="30" w:type="dxa"/>
            </w:tcMar>
            <w:vAlign w:val="center"/>
          </w:tcPr>
          <w:p w14:paraId="7B7774A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0C3FB9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65A269F" w14:textId="77777777" w:rsidTr="005640BE">
        <w:tc>
          <w:tcPr>
            <w:tcW w:w="0" w:type="auto"/>
            <w:tcMar>
              <w:top w:w="30" w:type="dxa"/>
              <w:bottom w:w="30" w:type="dxa"/>
            </w:tcMar>
            <w:vAlign w:val="center"/>
          </w:tcPr>
          <w:p w14:paraId="27681C3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BMI-GENDER</w:t>
            </w:r>
          </w:p>
        </w:tc>
        <w:tc>
          <w:tcPr>
            <w:tcW w:w="0" w:type="auto"/>
            <w:tcMar>
              <w:top w:w="30" w:type="dxa"/>
              <w:bottom w:w="30" w:type="dxa"/>
            </w:tcMar>
            <w:vAlign w:val="center"/>
          </w:tcPr>
          <w:p w14:paraId="600F88C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w:t>
            </w:r>
          </w:p>
        </w:tc>
        <w:tc>
          <w:tcPr>
            <w:tcW w:w="0" w:type="auto"/>
            <w:tcMar>
              <w:top w:w="30" w:type="dxa"/>
              <w:bottom w:w="30" w:type="dxa"/>
            </w:tcMar>
            <w:vAlign w:val="center"/>
          </w:tcPr>
          <w:p w14:paraId="4EFE29F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0.20]</w:t>
            </w:r>
          </w:p>
        </w:tc>
        <w:tc>
          <w:tcPr>
            <w:tcW w:w="0" w:type="auto"/>
            <w:tcMar>
              <w:top w:w="30" w:type="dxa"/>
              <w:bottom w:w="30" w:type="dxa"/>
            </w:tcMar>
            <w:vAlign w:val="center"/>
          </w:tcPr>
          <w:p w14:paraId="079D622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BCBD93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37E4FA0" w14:textId="77777777" w:rsidTr="005640BE">
        <w:tc>
          <w:tcPr>
            <w:tcW w:w="0" w:type="auto"/>
            <w:tcMar>
              <w:top w:w="30" w:type="dxa"/>
              <w:bottom w:w="30" w:type="dxa"/>
            </w:tcMar>
            <w:vAlign w:val="center"/>
          </w:tcPr>
          <w:p w14:paraId="1B88685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BMI-STATE_OF_HEALTH</w:t>
            </w:r>
          </w:p>
        </w:tc>
        <w:tc>
          <w:tcPr>
            <w:tcW w:w="0" w:type="auto"/>
            <w:tcMar>
              <w:top w:w="30" w:type="dxa"/>
              <w:bottom w:w="30" w:type="dxa"/>
            </w:tcMar>
            <w:vAlign w:val="center"/>
          </w:tcPr>
          <w:p w14:paraId="5B17D5D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0.21</w:t>
            </w:r>
          </w:p>
        </w:tc>
        <w:tc>
          <w:tcPr>
            <w:tcW w:w="0" w:type="auto"/>
            <w:tcMar>
              <w:top w:w="30" w:type="dxa"/>
              <w:bottom w:w="30" w:type="dxa"/>
            </w:tcMar>
            <w:vAlign w:val="center"/>
          </w:tcPr>
          <w:p w14:paraId="3C73FCE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 0.26]</w:t>
            </w:r>
          </w:p>
        </w:tc>
        <w:tc>
          <w:tcPr>
            <w:tcW w:w="0" w:type="auto"/>
            <w:tcMar>
              <w:top w:w="30" w:type="dxa"/>
              <w:bottom w:w="30" w:type="dxa"/>
            </w:tcMar>
            <w:vAlign w:val="center"/>
          </w:tcPr>
          <w:p w14:paraId="48B9717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D43F79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64C9C13" w14:textId="77777777" w:rsidTr="005640BE">
        <w:tc>
          <w:tcPr>
            <w:tcW w:w="0" w:type="auto"/>
            <w:tcMar>
              <w:top w:w="30" w:type="dxa"/>
              <w:bottom w:w="30" w:type="dxa"/>
            </w:tcMar>
            <w:vAlign w:val="center"/>
          </w:tcPr>
          <w:p w14:paraId="1FC1529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BMI-STRESS</w:t>
            </w:r>
          </w:p>
        </w:tc>
        <w:tc>
          <w:tcPr>
            <w:tcW w:w="0" w:type="auto"/>
            <w:tcMar>
              <w:top w:w="30" w:type="dxa"/>
              <w:bottom w:w="30" w:type="dxa"/>
            </w:tcMar>
            <w:vAlign w:val="center"/>
          </w:tcPr>
          <w:p w14:paraId="568A3DC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Mar>
              <w:top w:w="30" w:type="dxa"/>
              <w:bottom w:w="30" w:type="dxa"/>
            </w:tcMar>
            <w:vAlign w:val="center"/>
          </w:tcPr>
          <w:p w14:paraId="1071BE3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0.04]</w:t>
            </w:r>
          </w:p>
        </w:tc>
        <w:tc>
          <w:tcPr>
            <w:tcW w:w="0" w:type="auto"/>
            <w:tcMar>
              <w:top w:w="30" w:type="dxa"/>
              <w:bottom w:w="30" w:type="dxa"/>
            </w:tcMar>
            <w:vAlign w:val="center"/>
          </w:tcPr>
          <w:p w14:paraId="769BD8B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3D4D06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0BCD5127" w14:textId="77777777" w:rsidTr="005640BE">
        <w:tc>
          <w:tcPr>
            <w:tcW w:w="0" w:type="auto"/>
            <w:tcMar>
              <w:top w:w="30" w:type="dxa"/>
              <w:bottom w:w="30" w:type="dxa"/>
            </w:tcMar>
            <w:vAlign w:val="center"/>
          </w:tcPr>
          <w:p w14:paraId="640C3A6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BMI-ENERGY_LEVEL</w:t>
            </w:r>
          </w:p>
        </w:tc>
        <w:tc>
          <w:tcPr>
            <w:tcW w:w="0" w:type="auto"/>
            <w:tcMar>
              <w:top w:w="30" w:type="dxa"/>
              <w:bottom w:w="30" w:type="dxa"/>
            </w:tcMar>
            <w:vAlign w:val="center"/>
          </w:tcPr>
          <w:p w14:paraId="44294F6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w:t>
            </w:r>
          </w:p>
        </w:tc>
        <w:tc>
          <w:tcPr>
            <w:tcW w:w="0" w:type="auto"/>
            <w:tcMar>
              <w:top w:w="30" w:type="dxa"/>
              <w:bottom w:w="30" w:type="dxa"/>
            </w:tcMar>
            <w:vAlign w:val="center"/>
          </w:tcPr>
          <w:p w14:paraId="7FD8991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-0.24]</w:t>
            </w:r>
          </w:p>
        </w:tc>
        <w:tc>
          <w:tcPr>
            <w:tcW w:w="0" w:type="auto"/>
            <w:tcMar>
              <w:top w:w="30" w:type="dxa"/>
              <w:bottom w:w="30" w:type="dxa"/>
            </w:tcMar>
            <w:vAlign w:val="center"/>
          </w:tcPr>
          <w:p w14:paraId="337592F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09413E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80E86BF" w14:textId="77777777" w:rsidTr="005640BE">
        <w:tc>
          <w:tcPr>
            <w:tcW w:w="0" w:type="auto"/>
            <w:tcMar>
              <w:top w:w="30" w:type="dxa"/>
              <w:bottom w:w="30" w:type="dxa"/>
            </w:tcMar>
            <w:vAlign w:val="center"/>
          </w:tcPr>
          <w:p w14:paraId="5EAF07C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BMI-LIFESTYLE</w:t>
            </w:r>
          </w:p>
        </w:tc>
        <w:tc>
          <w:tcPr>
            <w:tcW w:w="0" w:type="auto"/>
            <w:tcMar>
              <w:top w:w="30" w:type="dxa"/>
              <w:bottom w:w="30" w:type="dxa"/>
            </w:tcMar>
            <w:vAlign w:val="center"/>
          </w:tcPr>
          <w:p w14:paraId="7BCA497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0.14</w:t>
            </w:r>
          </w:p>
        </w:tc>
        <w:tc>
          <w:tcPr>
            <w:tcW w:w="0" w:type="auto"/>
            <w:tcMar>
              <w:top w:w="30" w:type="dxa"/>
              <w:bottom w:w="30" w:type="dxa"/>
            </w:tcMar>
            <w:vAlign w:val="center"/>
          </w:tcPr>
          <w:p w14:paraId="1A72255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 0.19]</w:t>
            </w:r>
          </w:p>
        </w:tc>
        <w:tc>
          <w:tcPr>
            <w:tcW w:w="0" w:type="auto"/>
            <w:tcMar>
              <w:top w:w="30" w:type="dxa"/>
              <w:bottom w:w="30" w:type="dxa"/>
            </w:tcMar>
            <w:vAlign w:val="center"/>
          </w:tcPr>
          <w:p w14:paraId="280F47D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D4480C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AA43C4F" w14:textId="77777777" w:rsidTr="005640BE">
        <w:tc>
          <w:tcPr>
            <w:tcW w:w="0" w:type="auto"/>
            <w:tcMar>
              <w:top w:w="30" w:type="dxa"/>
              <w:bottom w:w="30" w:type="dxa"/>
            </w:tcMar>
            <w:vAlign w:val="center"/>
          </w:tcPr>
          <w:p w14:paraId="60544FD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BMI-ENGAGEMENT</w:t>
            </w:r>
          </w:p>
        </w:tc>
        <w:tc>
          <w:tcPr>
            <w:tcW w:w="0" w:type="auto"/>
            <w:tcMar>
              <w:top w:w="30" w:type="dxa"/>
              <w:bottom w:w="30" w:type="dxa"/>
            </w:tcMar>
            <w:vAlign w:val="center"/>
          </w:tcPr>
          <w:p w14:paraId="1D87A7B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w:t>
            </w:r>
          </w:p>
        </w:tc>
        <w:tc>
          <w:tcPr>
            <w:tcW w:w="0" w:type="auto"/>
            <w:tcMar>
              <w:top w:w="30" w:type="dxa"/>
              <w:bottom w:w="30" w:type="dxa"/>
            </w:tcMar>
            <w:vAlign w:val="center"/>
          </w:tcPr>
          <w:p w14:paraId="783A3C0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-0.25]</w:t>
            </w:r>
          </w:p>
        </w:tc>
        <w:tc>
          <w:tcPr>
            <w:tcW w:w="0" w:type="auto"/>
            <w:tcMar>
              <w:top w:w="30" w:type="dxa"/>
              <w:bottom w:w="30" w:type="dxa"/>
            </w:tcMar>
            <w:vAlign w:val="center"/>
          </w:tcPr>
          <w:p w14:paraId="6D1D878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0E4F55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4DF9CC7" w14:textId="77777777" w:rsidTr="005640BE">
        <w:tc>
          <w:tcPr>
            <w:tcW w:w="0" w:type="auto"/>
            <w:tcMar>
              <w:top w:w="30" w:type="dxa"/>
              <w:bottom w:w="30" w:type="dxa"/>
            </w:tcMar>
            <w:vAlign w:val="center"/>
          </w:tcPr>
          <w:p w14:paraId="59AA5D4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BMI-SLEEP</w:t>
            </w:r>
          </w:p>
        </w:tc>
        <w:tc>
          <w:tcPr>
            <w:tcW w:w="0" w:type="auto"/>
            <w:tcMar>
              <w:top w:w="30" w:type="dxa"/>
              <w:bottom w:w="30" w:type="dxa"/>
            </w:tcMar>
            <w:vAlign w:val="center"/>
          </w:tcPr>
          <w:p w14:paraId="77C9E1B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w:t>
            </w:r>
          </w:p>
        </w:tc>
        <w:tc>
          <w:tcPr>
            <w:tcW w:w="0" w:type="auto"/>
            <w:tcMar>
              <w:top w:w="30" w:type="dxa"/>
              <w:bottom w:w="30" w:type="dxa"/>
            </w:tcMar>
            <w:vAlign w:val="center"/>
          </w:tcPr>
          <w:p w14:paraId="16E5BAD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-0.25]</w:t>
            </w:r>
          </w:p>
        </w:tc>
        <w:tc>
          <w:tcPr>
            <w:tcW w:w="0" w:type="auto"/>
            <w:tcMar>
              <w:top w:w="30" w:type="dxa"/>
              <w:bottom w:w="30" w:type="dxa"/>
            </w:tcMar>
            <w:vAlign w:val="center"/>
          </w:tcPr>
          <w:p w14:paraId="063CD5B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6E0B07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02E6FA6" w14:textId="77777777" w:rsidTr="005640BE">
        <w:tc>
          <w:tcPr>
            <w:tcW w:w="0" w:type="auto"/>
            <w:tcMar>
              <w:top w:w="30" w:type="dxa"/>
              <w:bottom w:w="30" w:type="dxa"/>
            </w:tcMar>
            <w:vAlign w:val="center"/>
          </w:tcPr>
          <w:p w14:paraId="218E515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BMI-OBSERVED_PRODUCTIVITY</w:t>
            </w:r>
          </w:p>
        </w:tc>
        <w:tc>
          <w:tcPr>
            <w:tcW w:w="0" w:type="auto"/>
            <w:tcMar>
              <w:top w:w="30" w:type="dxa"/>
              <w:bottom w:w="30" w:type="dxa"/>
            </w:tcMar>
            <w:vAlign w:val="center"/>
          </w:tcPr>
          <w:p w14:paraId="6BD24DC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w:t>
            </w:r>
          </w:p>
        </w:tc>
        <w:tc>
          <w:tcPr>
            <w:tcW w:w="0" w:type="auto"/>
            <w:tcMar>
              <w:top w:w="30" w:type="dxa"/>
              <w:bottom w:w="30" w:type="dxa"/>
            </w:tcMar>
            <w:vAlign w:val="center"/>
          </w:tcPr>
          <w:p w14:paraId="7DFF358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0.21]</w:t>
            </w:r>
          </w:p>
        </w:tc>
        <w:tc>
          <w:tcPr>
            <w:tcW w:w="0" w:type="auto"/>
            <w:tcMar>
              <w:top w:w="30" w:type="dxa"/>
              <w:bottom w:w="30" w:type="dxa"/>
            </w:tcMar>
            <w:vAlign w:val="center"/>
          </w:tcPr>
          <w:p w14:paraId="42B501F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51921B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F0730CE" w14:textId="77777777" w:rsidTr="005640BE">
        <w:tc>
          <w:tcPr>
            <w:tcW w:w="0" w:type="auto"/>
            <w:tcMar>
              <w:top w:w="30" w:type="dxa"/>
              <w:bottom w:w="30" w:type="dxa"/>
            </w:tcMar>
            <w:vAlign w:val="center"/>
          </w:tcPr>
          <w:p w14:paraId="307DFFC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FOCUS-CIRCADIAN_RHYTHM</w:t>
            </w:r>
          </w:p>
        </w:tc>
        <w:tc>
          <w:tcPr>
            <w:tcW w:w="0" w:type="auto"/>
            <w:tcMar>
              <w:top w:w="30" w:type="dxa"/>
              <w:bottom w:w="30" w:type="dxa"/>
            </w:tcMar>
            <w:vAlign w:val="center"/>
          </w:tcPr>
          <w:p w14:paraId="6CCB6D2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w:t>
            </w:r>
          </w:p>
        </w:tc>
        <w:tc>
          <w:tcPr>
            <w:tcW w:w="0" w:type="auto"/>
            <w:tcMar>
              <w:top w:w="30" w:type="dxa"/>
              <w:bottom w:w="30" w:type="dxa"/>
            </w:tcMar>
            <w:vAlign w:val="center"/>
          </w:tcPr>
          <w:p w14:paraId="53268F6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 0.34]</w:t>
            </w:r>
          </w:p>
        </w:tc>
        <w:tc>
          <w:tcPr>
            <w:tcW w:w="0" w:type="auto"/>
            <w:tcMar>
              <w:top w:w="30" w:type="dxa"/>
              <w:bottom w:w="30" w:type="dxa"/>
            </w:tcMar>
            <w:vAlign w:val="center"/>
          </w:tcPr>
          <w:p w14:paraId="0957A14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1D40D1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6C44A4E" w14:textId="77777777" w:rsidTr="005640BE">
        <w:tc>
          <w:tcPr>
            <w:tcW w:w="0" w:type="auto"/>
            <w:tcMar>
              <w:top w:w="30" w:type="dxa"/>
              <w:bottom w:w="30" w:type="dxa"/>
            </w:tcMar>
            <w:vAlign w:val="center"/>
          </w:tcPr>
          <w:p w14:paraId="11E8159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FOCUS-GENDER</w:t>
            </w:r>
          </w:p>
        </w:tc>
        <w:tc>
          <w:tcPr>
            <w:tcW w:w="0" w:type="auto"/>
            <w:tcMar>
              <w:top w:w="30" w:type="dxa"/>
              <w:bottom w:w="30" w:type="dxa"/>
            </w:tcMar>
            <w:vAlign w:val="center"/>
          </w:tcPr>
          <w:p w14:paraId="0F905E8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-0.38</w:t>
            </w:r>
          </w:p>
        </w:tc>
        <w:tc>
          <w:tcPr>
            <w:tcW w:w="0" w:type="auto"/>
            <w:tcMar>
              <w:top w:w="30" w:type="dxa"/>
              <w:bottom w:w="30" w:type="dxa"/>
            </w:tcMar>
            <w:vAlign w:val="center"/>
          </w:tcPr>
          <w:p w14:paraId="308633E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[-0.42, -0.34]</w:t>
            </w:r>
          </w:p>
        </w:tc>
        <w:tc>
          <w:tcPr>
            <w:tcW w:w="0" w:type="auto"/>
            <w:tcMar>
              <w:top w:w="30" w:type="dxa"/>
              <w:bottom w:w="30" w:type="dxa"/>
            </w:tcMar>
            <w:vAlign w:val="center"/>
          </w:tcPr>
          <w:p w14:paraId="278147B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5A8C61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6ACB857" w14:textId="77777777" w:rsidTr="005640BE">
        <w:tc>
          <w:tcPr>
            <w:tcW w:w="0" w:type="auto"/>
            <w:tcMar>
              <w:top w:w="30" w:type="dxa"/>
              <w:bottom w:w="30" w:type="dxa"/>
            </w:tcMar>
            <w:vAlign w:val="center"/>
          </w:tcPr>
          <w:p w14:paraId="4363660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FOCUS-STATE_OF_HEALTH</w:t>
            </w:r>
          </w:p>
        </w:tc>
        <w:tc>
          <w:tcPr>
            <w:tcW w:w="0" w:type="auto"/>
            <w:tcMar>
              <w:top w:w="30" w:type="dxa"/>
              <w:bottom w:w="30" w:type="dxa"/>
            </w:tcMar>
            <w:vAlign w:val="center"/>
          </w:tcPr>
          <w:p w14:paraId="574E16A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69C6CA2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 0.03]</w:t>
            </w:r>
          </w:p>
        </w:tc>
        <w:tc>
          <w:tcPr>
            <w:tcW w:w="0" w:type="auto"/>
            <w:tcMar>
              <w:top w:w="30" w:type="dxa"/>
              <w:bottom w:w="30" w:type="dxa"/>
            </w:tcMar>
            <w:vAlign w:val="center"/>
          </w:tcPr>
          <w:p w14:paraId="0A46CFD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9A0BE2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D6F70EA" w14:textId="77777777" w:rsidTr="005640BE">
        <w:tc>
          <w:tcPr>
            <w:tcW w:w="0" w:type="auto"/>
            <w:tcMar>
              <w:top w:w="30" w:type="dxa"/>
              <w:bottom w:w="30" w:type="dxa"/>
            </w:tcMar>
            <w:vAlign w:val="center"/>
          </w:tcPr>
          <w:p w14:paraId="2B289BF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FOCUS-STRESS</w:t>
            </w:r>
          </w:p>
        </w:tc>
        <w:tc>
          <w:tcPr>
            <w:tcW w:w="0" w:type="auto"/>
            <w:tcMar>
              <w:top w:w="30" w:type="dxa"/>
              <w:bottom w:w="30" w:type="dxa"/>
            </w:tcMar>
            <w:vAlign w:val="center"/>
          </w:tcPr>
          <w:p w14:paraId="4FF48C6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0.63</w:t>
            </w:r>
          </w:p>
        </w:tc>
        <w:tc>
          <w:tcPr>
            <w:tcW w:w="0" w:type="auto"/>
            <w:tcMar>
              <w:top w:w="30" w:type="dxa"/>
              <w:bottom w:w="30" w:type="dxa"/>
            </w:tcMar>
            <w:vAlign w:val="center"/>
          </w:tcPr>
          <w:p w14:paraId="73BB294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[0.60, 0.66]</w:t>
            </w:r>
          </w:p>
        </w:tc>
        <w:tc>
          <w:tcPr>
            <w:tcW w:w="0" w:type="auto"/>
            <w:tcMar>
              <w:top w:w="30" w:type="dxa"/>
              <w:bottom w:w="30" w:type="dxa"/>
            </w:tcMar>
            <w:vAlign w:val="center"/>
          </w:tcPr>
          <w:p w14:paraId="6E2C5FA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75EDDC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769779A" w14:textId="77777777" w:rsidTr="005640BE">
        <w:tc>
          <w:tcPr>
            <w:tcW w:w="0" w:type="auto"/>
            <w:tcMar>
              <w:top w:w="30" w:type="dxa"/>
              <w:bottom w:w="30" w:type="dxa"/>
            </w:tcMar>
            <w:vAlign w:val="center"/>
          </w:tcPr>
          <w:p w14:paraId="474B956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FOCUS-ENERGY_LEVEL</w:t>
            </w:r>
          </w:p>
        </w:tc>
        <w:tc>
          <w:tcPr>
            <w:tcW w:w="0" w:type="auto"/>
            <w:tcMar>
              <w:top w:w="30" w:type="dxa"/>
              <w:bottom w:w="30" w:type="dxa"/>
            </w:tcMar>
            <w:vAlign w:val="center"/>
          </w:tcPr>
          <w:p w14:paraId="39AE71F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w:t>
            </w:r>
          </w:p>
        </w:tc>
        <w:tc>
          <w:tcPr>
            <w:tcW w:w="0" w:type="auto"/>
            <w:tcMar>
              <w:top w:w="30" w:type="dxa"/>
              <w:bottom w:w="30" w:type="dxa"/>
            </w:tcMar>
            <w:vAlign w:val="center"/>
          </w:tcPr>
          <w:p w14:paraId="7456243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 0.15]</w:t>
            </w:r>
          </w:p>
        </w:tc>
        <w:tc>
          <w:tcPr>
            <w:tcW w:w="0" w:type="auto"/>
            <w:tcMar>
              <w:top w:w="30" w:type="dxa"/>
              <w:bottom w:w="30" w:type="dxa"/>
            </w:tcMar>
            <w:vAlign w:val="center"/>
          </w:tcPr>
          <w:p w14:paraId="27B8EB0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C1D9EF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r>
      <w:tr w:rsidR="005459E6" w:rsidRPr="005459E6" w14:paraId="31C8824A" w14:textId="77777777" w:rsidTr="005640BE">
        <w:tc>
          <w:tcPr>
            <w:tcW w:w="0" w:type="auto"/>
            <w:tcMar>
              <w:top w:w="30" w:type="dxa"/>
              <w:bottom w:w="30" w:type="dxa"/>
            </w:tcMar>
            <w:vAlign w:val="center"/>
          </w:tcPr>
          <w:p w14:paraId="441E163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FOCUS-LIFESTYLE</w:t>
            </w:r>
          </w:p>
        </w:tc>
        <w:tc>
          <w:tcPr>
            <w:tcW w:w="0" w:type="auto"/>
            <w:tcMar>
              <w:top w:w="30" w:type="dxa"/>
              <w:bottom w:w="30" w:type="dxa"/>
            </w:tcMar>
            <w:vAlign w:val="center"/>
          </w:tcPr>
          <w:p w14:paraId="514698C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0.08</w:t>
            </w:r>
          </w:p>
        </w:tc>
        <w:tc>
          <w:tcPr>
            <w:tcW w:w="0" w:type="auto"/>
            <w:tcMar>
              <w:top w:w="30" w:type="dxa"/>
              <w:bottom w:w="30" w:type="dxa"/>
            </w:tcMar>
            <w:vAlign w:val="center"/>
          </w:tcPr>
          <w:p w14:paraId="1C5F62C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0.13]</w:t>
            </w:r>
          </w:p>
        </w:tc>
        <w:tc>
          <w:tcPr>
            <w:tcW w:w="0" w:type="auto"/>
            <w:tcMar>
              <w:top w:w="30" w:type="dxa"/>
              <w:bottom w:w="30" w:type="dxa"/>
            </w:tcMar>
            <w:vAlign w:val="center"/>
          </w:tcPr>
          <w:p w14:paraId="125E5D3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92BD64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.054</w:t>
            </w:r>
          </w:p>
        </w:tc>
      </w:tr>
      <w:tr w:rsidR="005459E6" w:rsidRPr="005459E6" w14:paraId="2D6E4CB8" w14:textId="77777777" w:rsidTr="005640BE">
        <w:tc>
          <w:tcPr>
            <w:tcW w:w="0" w:type="auto"/>
            <w:tcMar>
              <w:top w:w="30" w:type="dxa"/>
              <w:bottom w:w="30" w:type="dxa"/>
            </w:tcMar>
            <w:vAlign w:val="center"/>
          </w:tcPr>
          <w:p w14:paraId="743B2D9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FOCUS-ENGAGEMENT</w:t>
            </w:r>
          </w:p>
        </w:tc>
        <w:tc>
          <w:tcPr>
            <w:tcW w:w="0" w:type="auto"/>
            <w:tcMar>
              <w:top w:w="30" w:type="dxa"/>
              <w:bottom w:w="30" w:type="dxa"/>
            </w:tcMar>
            <w:vAlign w:val="center"/>
          </w:tcPr>
          <w:p w14:paraId="1D5007F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0.81</w:t>
            </w:r>
          </w:p>
        </w:tc>
        <w:tc>
          <w:tcPr>
            <w:tcW w:w="0" w:type="auto"/>
            <w:tcMar>
              <w:top w:w="30" w:type="dxa"/>
              <w:bottom w:w="30" w:type="dxa"/>
            </w:tcMar>
            <w:vAlign w:val="center"/>
          </w:tcPr>
          <w:p w14:paraId="224E64F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[0.79, 0.82]</w:t>
            </w:r>
          </w:p>
        </w:tc>
        <w:tc>
          <w:tcPr>
            <w:tcW w:w="0" w:type="auto"/>
            <w:tcMar>
              <w:top w:w="30" w:type="dxa"/>
              <w:bottom w:w="30" w:type="dxa"/>
            </w:tcMar>
            <w:vAlign w:val="center"/>
          </w:tcPr>
          <w:p w14:paraId="348480E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A5296C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7A65DA0" w14:textId="77777777" w:rsidTr="005640BE">
        <w:tc>
          <w:tcPr>
            <w:tcW w:w="0" w:type="auto"/>
            <w:tcMar>
              <w:top w:w="30" w:type="dxa"/>
              <w:bottom w:w="30" w:type="dxa"/>
            </w:tcMar>
            <w:vAlign w:val="center"/>
          </w:tcPr>
          <w:p w14:paraId="7B820A2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FOCUS-SLEEP</w:t>
            </w:r>
          </w:p>
        </w:tc>
        <w:tc>
          <w:tcPr>
            <w:tcW w:w="0" w:type="auto"/>
            <w:tcMar>
              <w:top w:w="30" w:type="dxa"/>
              <w:bottom w:w="30" w:type="dxa"/>
            </w:tcMar>
            <w:vAlign w:val="center"/>
          </w:tcPr>
          <w:p w14:paraId="46CD70A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w:t>
            </w:r>
          </w:p>
        </w:tc>
        <w:tc>
          <w:tcPr>
            <w:tcW w:w="0" w:type="auto"/>
            <w:tcMar>
              <w:top w:w="30" w:type="dxa"/>
              <w:bottom w:w="30" w:type="dxa"/>
            </w:tcMar>
            <w:vAlign w:val="center"/>
          </w:tcPr>
          <w:p w14:paraId="5267D73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0.09]</w:t>
            </w:r>
          </w:p>
        </w:tc>
        <w:tc>
          <w:tcPr>
            <w:tcW w:w="0" w:type="auto"/>
            <w:tcMar>
              <w:top w:w="30" w:type="dxa"/>
              <w:bottom w:w="30" w:type="dxa"/>
            </w:tcMar>
            <w:vAlign w:val="center"/>
          </w:tcPr>
          <w:p w14:paraId="74B922D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D7975B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F901813" w14:textId="77777777" w:rsidTr="005640BE">
        <w:tc>
          <w:tcPr>
            <w:tcW w:w="0" w:type="auto"/>
            <w:tcMar>
              <w:top w:w="30" w:type="dxa"/>
              <w:bottom w:w="30" w:type="dxa"/>
            </w:tcMar>
            <w:vAlign w:val="center"/>
          </w:tcPr>
          <w:p w14:paraId="0462A31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FOCUS-OBSERVED_PRODUCTIVITY</w:t>
            </w:r>
          </w:p>
        </w:tc>
        <w:tc>
          <w:tcPr>
            <w:tcW w:w="0" w:type="auto"/>
            <w:tcMar>
              <w:top w:w="30" w:type="dxa"/>
              <w:bottom w:w="30" w:type="dxa"/>
            </w:tcMar>
            <w:vAlign w:val="center"/>
          </w:tcPr>
          <w:p w14:paraId="571836C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-0.12</w:t>
            </w:r>
          </w:p>
        </w:tc>
        <w:tc>
          <w:tcPr>
            <w:tcW w:w="0" w:type="auto"/>
            <w:tcMar>
              <w:top w:w="30" w:type="dxa"/>
              <w:bottom w:w="30" w:type="dxa"/>
            </w:tcMar>
            <w:vAlign w:val="center"/>
          </w:tcPr>
          <w:p w14:paraId="56FB10D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 -0.07]</w:t>
            </w:r>
          </w:p>
        </w:tc>
        <w:tc>
          <w:tcPr>
            <w:tcW w:w="0" w:type="auto"/>
            <w:tcMar>
              <w:top w:w="30" w:type="dxa"/>
              <w:bottom w:w="30" w:type="dxa"/>
            </w:tcMar>
            <w:vAlign w:val="center"/>
          </w:tcPr>
          <w:p w14:paraId="78C1F50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3E2D19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15DB439" w14:textId="77777777" w:rsidTr="005640BE">
        <w:tc>
          <w:tcPr>
            <w:tcW w:w="0" w:type="auto"/>
            <w:tcMar>
              <w:top w:w="30" w:type="dxa"/>
              <w:bottom w:w="30" w:type="dxa"/>
            </w:tcMar>
            <w:vAlign w:val="center"/>
          </w:tcPr>
          <w:p w14:paraId="05F878E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CIRCADIAN_RHYTHM-GENDER</w:t>
            </w:r>
          </w:p>
        </w:tc>
        <w:tc>
          <w:tcPr>
            <w:tcW w:w="0" w:type="auto"/>
            <w:tcMar>
              <w:top w:w="30" w:type="dxa"/>
              <w:bottom w:w="30" w:type="dxa"/>
            </w:tcMar>
            <w:vAlign w:val="center"/>
          </w:tcPr>
          <w:p w14:paraId="2843144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w:t>
            </w:r>
          </w:p>
        </w:tc>
        <w:tc>
          <w:tcPr>
            <w:tcW w:w="0" w:type="auto"/>
            <w:tcMar>
              <w:top w:w="30" w:type="dxa"/>
              <w:bottom w:w="30" w:type="dxa"/>
            </w:tcMar>
            <w:vAlign w:val="center"/>
          </w:tcPr>
          <w:p w14:paraId="306CCF6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[-0.39, -0.30]</w:t>
            </w:r>
          </w:p>
        </w:tc>
        <w:tc>
          <w:tcPr>
            <w:tcW w:w="0" w:type="auto"/>
            <w:tcMar>
              <w:top w:w="30" w:type="dxa"/>
              <w:bottom w:w="30" w:type="dxa"/>
            </w:tcMar>
            <w:vAlign w:val="center"/>
          </w:tcPr>
          <w:p w14:paraId="595CF7A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E94E68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4152C3C7" w14:textId="77777777" w:rsidTr="005640BE">
        <w:tc>
          <w:tcPr>
            <w:tcW w:w="0" w:type="auto"/>
            <w:tcMar>
              <w:top w:w="30" w:type="dxa"/>
              <w:bottom w:w="30" w:type="dxa"/>
            </w:tcMar>
            <w:vAlign w:val="center"/>
          </w:tcPr>
          <w:p w14:paraId="52D7B1F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CIRCADIAN_RHYTHM-STATE_OF_HEALTH</w:t>
            </w:r>
          </w:p>
        </w:tc>
        <w:tc>
          <w:tcPr>
            <w:tcW w:w="0" w:type="auto"/>
            <w:tcMar>
              <w:top w:w="30" w:type="dxa"/>
              <w:bottom w:w="30" w:type="dxa"/>
            </w:tcMar>
            <w:vAlign w:val="center"/>
          </w:tcPr>
          <w:p w14:paraId="37D43B7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w:t>
            </w:r>
          </w:p>
        </w:tc>
        <w:tc>
          <w:tcPr>
            <w:tcW w:w="0" w:type="auto"/>
            <w:tcMar>
              <w:top w:w="30" w:type="dxa"/>
              <w:bottom w:w="30" w:type="dxa"/>
            </w:tcMar>
            <w:vAlign w:val="center"/>
          </w:tcPr>
          <w:p w14:paraId="63F9DDB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 0.25]</w:t>
            </w:r>
          </w:p>
        </w:tc>
        <w:tc>
          <w:tcPr>
            <w:tcW w:w="0" w:type="auto"/>
            <w:tcMar>
              <w:top w:w="30" w:type="dxa"/>
              <w:bottom w:w="30" w:type="dxa"/>
            </w:tcMar>
            <w:vAlign w:val="center"/>
          </w:tcPr>
          <w:p w14:paraId="03BB394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09222E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8D89717" w14:textId="77777777" w:rsidTr="005640BE">
        <w:tc>
          <w:tcPr>
            <w:tcW w:w="0" w:type="auto"/>
            <w:tcMar>
              <w:top w:w="30" w:type="dxa"/>
              <w:bottom w:w="30" w:type="dxa"/>
            </w:tcMar>
            <w:vAlign w:val="center"/>
          </w:tcPr>
          <w:p w14:paraId="1F2D6F6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CIRCADIAN_RHYTHM-STRESS</w:t>
            </w:r>
          </w:p>
        </w:tc>
        <w:tc>
          <w:tcPr>
            <w:tcW w:w="0" w:type="auto"/>
            <w:tcMar>
              <w:top w:w="30" w:type="dxa"/>
              <w:bottom w:w="30" w:type="dxa"/>
            </w:tcMar>
            <w:vAlign w:val="center"/>
          </w:tcPr>
          <w:p w14:paraId="2D18830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w:t>
            </w:r>
          </w:p>
        </w:tc>
        <w:tc>
          <w:tcPr>
            <w:tcW w:w="0" w:type="auto"/>
            <w:tcMar>
              <w:top w:w="30" w:type="dxa"/>
              <w:bottom w:w="30" w:type="dxa"/>
            </w:tcMar>
            <w:vAlign w:val="center"/>
          </w:tcPr>
          <w:p w14:paraId="2067D35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0.11]</w:t>
            </w:r>
          </w:p>
        </w:tc>
        <w:tc>
          <w:tcPr>
            <w:tcW w:w="0" w:type="auto"/>
            <w:tcMar>
              <w:top w:w="30" w:type="dxa"/>
              <w:bottom w:w="30" w:type="dxa"/>
            </w:tcMar>
            <w:vAlign w:val="center"/>
          </w:tcPr>
          <w:p w14:paraId="4A22F5F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A41C96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.179</w:t>
            </w:r>
          </w:p>
        </w:tc>
      </w:tr>
      <w:tr w:rsidR="005459E6" w:rsidRPr="005459E6" w14:paraId="5EE83306" w14:textId="77777777" w:rsidTr="005640BE">
        <w:tc>
          <w:tcPr>
            <w:tcW w:w="0" w:type="auto"/>
            <w:tcMar>
              <w:top w:w="30" w:type="dxa"/>
              <w:bottom w:w="30" w:type="dxa"/>
            </w:tcMar>
            <w:vAlign w:val="center"/>
          </w:tcPr>
          <w:p w14:paraId="78290DF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CIRCADIAN_RHYTHM-ENERGY_LEVEL</w:t>
            </w:r>
          </w:p>
        </w:tc>
        <w:tc>
          <w:tcPr>
            <w:tcW w:w="0" w:type="auto"/>
            <w:tcMar>
              <w:top w:w="30" w:type="dxa"/>
              <w:bottom w:w="30" w:type="dxa"/>
            </w:tcMar>
            <w:vAlign w:val="center"/>
          </w:tcPr>
          <w:p w14:paraId="5A08C66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0.47</w:t>
            </w:r>
          </w:p>
        </w:tc>
        <w:tc>
          <w:tcPr>
            <w:tcW w:w="0" w:type="auto"/>
            <w:tcMar>
              <w:top w:w="30" w:type="dxa"/>
              <w:bottom w:w="30" w:type="dxa"/>
            </w:tcMar>
            <w:vAlign w:val="center"/>
          </w:tcPr>
          <w:p w14:paraId="1DB0D80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[0.43, 0.51]</w:t>
            </w:r>
          </w:p>
        </w:tc>
        <w:tc>
          <w:tcPr>
            <w:tcW w:w="0" w:type="auto"/>
            <w:tcMar>
              <w:top w:w="30" w:type="dxa"/>
              <w:bottom w:w="30" w:type="dxa"/>
            </w:tcMar>
            <w:vAlign w:val="center"/>
          </w:tcPr>
          <w:p w14:paraId="245D5B1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C7D530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81CFE06" w14:textId="77777777" w:rsidTr="005640BE">
        <w:tc>
          <w:tcPr>
            <w:tcW w:w="0" w:type="auto"/>
            <w:tcMar>
              <w:top w:w="30" w:type="dxa"/>
              <w:bottom w:w="30" w:type="dxa"/>
            </w:tcMar>
            <w:vAlign w:val="center"/>
          </w:tcPr>
          <w:p w14:paraId="0CFA5F7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CIRCADIAN_RHYTHM-LIFESTYLE</w:t>
            </w:r>
          </w:p>
        </w:tc>
        <w:tc>
          <w:tcPr>
            <w:tcW w:w="0" w:type="auto"/>
            <w:tcMar>
              <w:top w:w="30" w:type="dxa"/>
              <w:bottom w:w="30" w:type="dxa"/>
            </w:tcMar>
            <w:vAlign w:val="center"/>
          </w:tcPr>
          <w:p w14:paraId="7C2C725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0.48</w:t>
            </w:r>
          </w:p>
        </w:tc>
        <w:tc>
          <w:tcPr>
            <w:tcW w:w="0" w:type="auto"/>
            <w:tcMar>
              <w:top w:w="30" w:type="dxa"/>
              <w:bottom w:w="30" w:type="dxa"/>
            </w:tcMar>
            <w:vAlign w:val="center"/>
          </w:tcPr>
          <w:p w14:paraId="502AD92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[0.44, 0.52]</w:t>
            </w:r>
          </w:p>
        </w:tc>
        <w:tc>
          <w:tcPr>
            <w:tcW w:w="0" w:type="auto"/>
            <w:tcMar>
              <w:top w:w="30" w:type="dxa"/>
              <w:bottom w:w="30" w:type="dxa"/>
            </w:tcMar>
            <w:vAlign w:val="center"/>
          </w:tcPr>
          <w:p w14:paraId="16D9A8E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7306EF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0BC66982" w14:textId="77777777" w:rsidTr="005640BE">
        <w:tc>
          <w:tcPr>
            <w:tcW w:w="0" w:type="auto"/>
            <w:tcMar>
              <w:top w:w="30" w:type="dxa"/>
              <w:bottom w:w="30" w:type="dxa"/>
            </w:tcMar>
            <w:vAlign w:val="center"/>
          </w:tcPr>
          <w:p w14:paraId="6B4A0A4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CIRCADIAN_RHYTHM-ENGAGEMENT</w:t>
            </w:r>
          </w:p>
        </w:tc>
        <w:tc>
          <w:tcPr>
            <w:tcW w:w="0" w:type="auto"/>
            <w:tcMar>
              <w:top w:w="30" w:type="dxa"/>
              <w:bottom w:w="30" w:type="dxa"/>
            </w:tcMar>
            <w:vAlign w:val="center"/>
          </w:tcPr>
          <w:p w14:paraId="1279981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0.25</w:t>
            </w:r>
          </w:p>
        </w:tc>
        <w:tc>
          <w:tcPr>
            <w:tcW w:w="0" w:type="auto"/>
            <w:tcMar>
              <w:top w:w="30" w:type="dxa"/>
              <w:bottom w:w="30" w:type="dxa"/>
            </w:tcMar>
            <w:vAlign w:val="center"/>
          </w:tcPr>
          <w:p w14:paraId="5DCD8BA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[0.21, 0.30]</w:t>
            </w:r>
          </w:p>
        </w:tc>
        <w:tc>
          <w:tcPr>
            <w:tcW w:w="0" w:type="auto"/>
            <w:tcMar>
              <w:top w:w="30" w:type="dxa"/>
              <w:bottom w:w="30" w:type="dxa"/>
            </w:tcMar>
            <w:vAlign w:val="center"/>
          </w:tcPr>
          <w:p w14:paraId="3172FD2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36599B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DEAE8A2" w14:textId="77777777" w:rsidTr="005640BE">
        <w:tc>
          <w:tcPr>
            <w:tcW w:w="0" w:type="auto"/>
            <w:tcMar>
              <w:top w:w="30" w:type="dxa"/>
              <w:bottom w:w="30" w:type="dxa"/>
            </w:tcMar>
            <w:vAlign w:val="center"/>
          </w:tcPr>
          <w:p w14:paraId="55CA4EE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CIRCADIAN_RHYTHM-SLEEP</w:t>
            </w:r>
          </w:p>
        </w:tc>
        <w:tc>
          <w:tcPr>
            <w:tcW w:w="0" w:type="auto"/>
            <w:tcMar>
              <w:top w:w="30" w:type="dxa"/>
              <w:bottom w:w="30" w:type="dxa"/>
            </w:tcMar>
            <w:vAlign w:val="center"/>
          </w:tcPr>
          <w:p w14:paraId="4D41FA5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0.48</w:t>
            </w:r>
          </w:p>
        </w:tc>
        <w:tc>
          <w:tcPr>
            <w:tcW w:w="0" w:type="auto"/>
            <w:tcMar>
              <w:top w:w="30" w:type="dxa"/>
              <w:bottom w:w="30" w:type="dxa"/>
            </w:tcMar>
            <w:vAlign w:val="center"/>
          </w:tcPr>
          <w:p w14:paraId="772DB03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[0.44, 0.51]</w:t>
            </w:r>
          </w:p>
        </w:tc>
        <w:tc>
          <w:tcPr>
            <w:tcW w:w="0" w:type="auto"/>
            <w:tcMar>
              <w:top w:w="30" w:type="dxa"/>
              <w:bottom w:w="30" w:type="dxa"/>
            </w:tcMar>
            <w:vAlign w:val="center"/>
          </w:tcPr>
          <w:p w14:paraId="2ECD712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1A7A390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877B40F" w14:textId="77777777" w:rsidTr="005640BE">
        <w:tc>
          <w:tcPr>
            <w:tcW w:w="0" w:type="auto"/>
            <w:tcMar>
              <w:top w:w="30" w:type="dxa"/>
              <w:bottom w:w="30" w:type="dxa"/>
            </w:tcMar>
            <w:vAlign w:val="center"/>
          </w:tcPr>
          <w:p w14:paraId="17EB6AF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CIRCADIAN_RHYTHM-OBSERVED_PRODUCTIVITY</w:t>
            </w:r>
          </w:p>
        </w:tc>
        <w:tc>
          <w:tcPr>
            <w:tcW w:w="0" w:type="auto"/>
            <w:tcMar>
              <w:top w:w="30" w:type="dxa"/>
              <w:bottom w:w="30" w:type="dxa"/>
            </w:tcMar>
            <w:vAlign w:val="center"/>
          </w:tcPr>
          <w:p w14:paraId="3D725C1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w:t>
            </w:r>
          </w:p>
        </w:tc>
        <w:tc>
          <w:tcPr>
            <w:tcW w:w="0" w:type="auto"/>
            <w:tcMar>
              <w:top w:w="30" w:type="dxa"/>
              <w:bottom w:w="30" w:type="dxa"/>
            </w:tcMar>
            <w:vAlign w:val="center"/>
          </w:tcPr>
          <w:p w14:paraId="6743D59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-0.25]</w:t>
            </w:r>
          </w:p>
        </w:tc>
        <w:tc>
          <w:tcPr>
            <w:tcW w:w="0" w:type="auto"/>
            <w:tcMar>
              <w:top w:w="30" w:type="dxa"/>
              <w:bottom w:w="30" w:type="dxa"/>
            </w:tcMar>
            <w:vAlign w:val="center"/>
          </w:tcPr>
          <w:p w14:paraId="3064F52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C1D3B4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4CF1BA9A" w14:textId="77777777" w:rsidTr="005640BE">
        <w:tc>
          <w:tcPr>
            <w:tcW w:w="0" w:type="auto"/>
            <w:tcMar>
              <w:top w:w="30" w:type="dxa"/>
              <w:bottom w:w="30" w:type="dxa"/>
            </w:tcMar>
            <w:vAlign w:val="center"/>
          </w:tcPr>
          <w:p w14:paraId="2343962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GENDER-STATE_OF_HEALTH</w:t>
            </w:r>
          </w:p>
        </w:tc>
        <w:tc>
          <w:tcPr>
            <w:tcW w:w="0" w:type="auto"/>
            <w:tcMar>
              <w:top w:w="30" w:type="dxa"/>
              <w:bottom w:w="30" w:type="dxa"/>
            </w:tcMar>
            <w:vAlign w:val="center"/>
          </w:tcPr>
          <w:p w14:paraId="72E4A6B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-0.15</w:t>
            </w:r>
          </w:p>
        </w:tc>
        <w:tc>
          <w:tcPr>
            <w:tcW w:w="0" w:type="auto"/>
            <w:tcMar>
              <w:top w:w="30" w:type="dxa"/>
              <w:bottom w:w="30" w:type="dxa"/>
            </w:tcMar>
            <w:vAlign w:val="center"/>
          </w:tcPr>
          <w:p w14:paraId="48DBC18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 -0.10]</w:t>
            </w:r>
          </w:p>
        </w:tc>
        <w:tc>
          <w:tcPr>
            <w:tcW w:w="0" w:type="auto"/>
            <w:tcMar>
              <w:top w:w="30" w:type="dxa"/>
              <w:bottom w:w="30" w:type="dxa"/>
            </w:tcMar>
            <w:vAlign w:val="center"/>
          </w:tcPr>
          <w:p w14:paraId="319CEB6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BFFBC8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A1CF3A5" w14:textId="77777777" w:rsidTr="005640BE">
        <w:tc>
          <w:tcPr>
            <w:tcW w:w="0" w:type="auto"/>
            <w:tcMar>
              <w:top w:w="30" w:type="dxa"/>
              <w:bottom w:w="30" w:type="dxa"/>
            </w:tcMar>
            <w:vAlign w:val="center"/>
          </w:tcPr>
          <w:p w14:paraId="70907B2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GENDER-STRESS</w:t>
            </w:r>
          </w:p>
        </w:tc>
        <w:tc>
          <w:tcPr>
            <w:tcW w:w="0" w:type="auto"/>
            <w:tcMar>
              <w:top w:w="30" w:type="dxa"/>
              <w:bottom w:w="30" w:type="dxa"/>
            </w:tcMar>
            <w:vAlign w:val="center"/>
          </w:tcPr>
          <w:p w14:paraId="71D0DBB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-0.22</w:t>
            </w:r>
          </w:p>
        </w:tc>
        <w:tc>
          <w:tcPr>
            <w:tcW w:w="0" w:type="auto"/>
            <w:tcMar>
              <w:top w:w="30" w:type="dxa"/>
              <w:bottom w:w="30" w:type="dxa"/>
            </w:tcMar>
            <w:vAlign w:val="center"/>
          </w:tcPr>
          <w:p w14:paraId="7489A17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[-0.27, -0.17]</w:t>
            </w:r>
          </w:p>
        </w:tc>
        <w:tc>
          <w:tcPr>
            <w:tcW w:w="0" w:type="auto"/>
            <w:tcMar>
              <w:top w:w="30" w:type="dxa"/>
              <w:bottom w:w="30" w:type="dxa"/>
            </w:tcMar>
            <w:vAlign w:val="center"/>
          </w:tcPr>
          <w:p w14:paraId="5F04560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46537D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202DED2" w14:textId="77777777" w:rsidTr="005640BE">
        <w:tc>
          <w:tcPr>
            <w:tcW w:w="0" w:type="auto"/>
            <w:tcMar>
              <w:top w:w="30" w:type="dxa"/>
              <w:bottom w:w="30" w:type="dxa"/>
            </w:tcMar>
            <w:vAlign w:val="center"/>
          </w:tcPr>
          <w:p w14:paraId="43BC036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GENDER-ENERGY_LEVEL</w:t>
            </w:r>
          </w:p>
        </w:tc>
        <w:tc>
          <w:tcPr>
            <w:tcW w:w="0" w:type="auto"/>
            <w:tcMar>
              <w:top w:w="30" w:type="dxa"/>
              <w:bottom w:w="30" w:type="dxa"/>
            </w:tcMar>
            <w:vAlign w:val="center"/>
          </w:tcPr>
          <w:p w14:paraId="1EDAF65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w:t>
            </w:r>
          </w:p>
        </w:tc>
        <w:tc>
          <w:tcPr>
            <w:tcW w:w="0" w:type="auto"/>
            <w:tcMar>
              <w:top w:w="30" w:type="dxa"/>
              <w:bottom w:w="30" w:type="dxa"/>
            </w:tcMar>
            <w:vAlign w:val="center"/>
          </w:tcPr>
          <w:p w14:paraId="51280C8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 -0.06]</w:t>
            </w:r>
          </w:p>
        </w:tc>
        <w:tc>
          <w:tcPr>
            <w:tcW w:w="0" w:type="auto"/>
            <w:tcMar>
              <w:top w:w="30" w:type="dxa"/>
              <w:bottom w:w="30" w:type="dxa"/>
            </w:tcMar>
            <w:vAlign w:val="center"/>
          </w:tcPr>
          <w:p w14:paraId="0874F94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A8CAE2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08ECD3A" w14:textId="77777777" w:rsidTr="005640BE">
        <w:tc>
          <w:tcPr>
            <w:tcW w:w="0" w:type="auto"/>
            <w:tcMar>
              <w:top w:w="30" w:type="dxa"/>
              <w:bottom w:w="30" w:type="dxa"/>
            </w:tcMar>
            <w:vAlign w:val="center"/>
          </w:tcPr>
          <w:p w14:paraId="532AFC6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GENDER-LIFESTYLE</w:t>
            </w:r>
          </w:p>
        </w:tc>
        <w:tc>
          <w:tcPr>
            <w:tcW w:w="0" w:type="auto"/>
            <w:tcMar>
              <w:top w:w="30" w:type="dxa"/>
              <w:bottom w:w="30" w:type="dxa"/>
            </w:tcMar>
            <w:vAlign w:val="center"/>
          </w:tcPr>
          <w:p w14:paraId="3321B44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-0.29</w:t>
            </w:r>
          </w:p>
        </w:tc>
        <w:tc>
          <w:tcPr>
            <w:tcW w:w="0" w:type="auto"/>
            <w:tcMar>
              <w:top w:w="30" w:type="dxa"/>
              <w:bottom w:w="30" w:type="dxa"/>
            </w:tcMar>
            <w:vAlign w:val="center"/>
          </w:tcPr>
          <w:p w14:paraId="2F0E4F8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-0.24]</w:t>
            </w:r>
          </w:p>
        </w:tc>
        <w:tc>
          <w:tcPr>
            <w:tcW w:w="0" w:type="auto"/>
            <w:tcMar>
              <w:top w:w="30" w:type="dxa"/>
              <w:bottom w:w="30" w:type="dxa"/>
            </w:tcMar>
            <w:vAlign w:val="center"/>
          </w:tcPr>
          <w:p w14:paraId="530EB7C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6AE1CA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68D1B01" w14:textId="77777777" w:rsidTr="005640BE">
        <w:tc>
          <w:tcPr>
            <w:tcW w:w="0" w:type="auto"/>
            <w:tcMar>
              <w:top w:w="30" w:type="dxa"/>
              <w:bottom w:w="30" w:type="dxa"/>
            </w:tcMar>
            <w:vAlign w:val="center"/>
          </w:tcPr>
          <w:p w14:paraId="5163DC5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GENDER-ENGAGEMENT</w:t>
            </w:r>
          </w:p>
        </w:tc>
        <w:tc>
          <w:tcPr>
            <w:tcW w:w="0" w:type="auto"/>
            <w:tcMar>
              <w:top w:w="30" w:type="dxa"/>
              <w:bottom w:w="30" w:type="dxa"/>
            </w:tcMar>
            <w:vAlign w:val="center"/>
          </w:tcPr>
          <w:p w14:paraId="7F09179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-0.24</w:t>
            </w:r>
          </w:p>
        </w:tc>
        <w:tc>
          <w:tcPr>
            <w:tcW w:w="0" w:type="auto"/>
            <w:tcMar>
              <w:top w:w="30" w:type="dxa"/>
              <w:bottom w:w="30" w:type="dxa"/>
            </w:tcMar>
            <w:vAlign w:val="center"/>
          </w:tcPr>
          <w:p w14:paraId="1ADB3D8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[-0.28, -0.19]</w:t>
            </w:r>
          </w:p>
        </w:tc>
        <w:tc>
          <w:tcPr>
            <w:tcW w:w="0" w:type="auto"/>
            <w:tcMar>
              <w:top w:w="30" w:type="dxa"/>
              <w:bottom w:w="30" w:type="dxa"/>
            </w:tcMar>
            <w:vAlign w:val="center"/>
          </w:tcPr>
          <w:p w14:paraId="67D4EC2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E74EBF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4C49036" w14:textId="77777777" w:rsidTr="005640BE">
        <w:tc>
          <w:tcPr>
            <w:tcW w:w="0" w:type="auto"/>
            <w:tcMar>
              <w:top w:w="30" w:type="dxa"/>
              <w:bottom w:w="30" w:type="dxa"/>
            </w:tcMar>
            <w:vAlign w:val="center"/>
          </w:tcPr>
          <w:p w14:paraId="3E51B8B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GENDER-SLEEP</w:t>
            </w:r>
          </w:p>
        </w:tc>
        <w:tc>
          <w:tcPr>
            <w:tcW w:w="0" w:type="auto"/>
            <w:tcMar>
              <w:top w:w="30" w:type="dxa"/>
              <w:bottom w:w="30" w:type="dxa"/>
            </w:tcMar>
            <w:vAlign w:val="center"/>
          </w:tcPr>
          <w:p w14:paraId="6028765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0.40</w:t>
            </w:r>
          </w:p>
        </w:tc>
        <w:tc>
          <w:tcPr>
            <w:tcW w:w="0" w:type="auto"/>
            <w:tcMar>
              <w:top w:w="30" w:type="dxa"/>
              <w:bottom w:w="30" w:type="dxa"/>
            </w:tcMar>
            <w:vAlign w:val="center"/>
          </w:tcPr>
          <w:p w14:paraId="0B51898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[0.36, 0.44]</w:t>
            </w:r>
          </w:p>
        </w:tc>
        <w:tc>
          <w:tcPr>
            <w:tcW w:w="0" w:type="auto"/>
            <w:tcMar>
              <w:top w:w="30" w:type="dxa"/>
              <w:bottom w:w="30" w:type="dxa"/>
            </w:tcMar>
            <w:vAlign w:val="center"/>
          </w:tcPr>
          <w:p w14:paraId="5214EAC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0780017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6D42D66D" w14:textId="77777777" w:rsidTr="005640BE">
        <w:tc>
          <w:tcPr>
            <w:tcW w:w="0" w:type="auto"/>
            <w:tcMar>
              <w:top w:w="30" w:type="dxa"/>
              <w:bottom w:w="30" w:type="dxa"/>
            </w:tcMar>
            <w:vAlign w:val="center"/>
          </w:tcPr>
          <w:p w14:paraId="13DD55F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GENDER-OBSERVED_PRODUCTIVITY</w:t>
            </w:r>
          </w:p>
        </w:tc>
        <w:tc>
          <w:tcPr>
            <w:tcW w:w="0" w:type="auto"/>
            <w:tcMar>
              <w:top w:w="30" w:type="dxa"/>
              <w:bottom w:w="30" w:type="dxa"/>
            </w:tcMar>
            <w:vAlign w:val="center"/>
          </w:tcPr>
          <w:p w14:paraId="2D3893B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0.21</w:t>
            </w:r>
          </w:p>
        </w:tc>
        <w:tc>
          <w:tcPr>
            <w:tcW w:w="0" w:type="auto"/>
            <w:tcMar>
              <w:top w:w="30" w:type="dxa"/>
              <w:bottom w:w="30" w:type="dxa"/>
            </w:tcMar>
            <w:vAlign w:val="center"/>
          </w:tcPr>
          <w:p w14:paraId="6E88A8C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 0.26]</w:t>
            </w:r>
          </w:p>
        </w:tc>
        <w:tc>
          <w:tcPr>
            <w:tcW w:w="0" w:type="auto"/>
            <w:tcMar>
              <w:top w:w="30" w:type="dxa"/>
              <w:bottom w:w="30" w:type="dxa"/>
            </w:tcMar>
            <w:vAlign w:val="center"/>
          </w:tcPr>
          <w:p w14:paraId="0BBFC27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693557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19796269" w14:textId="77777777" w:rsidTr="005640BE">
        <w:tc>
          <w:tcPr>
            <w:tcW w:w="0" w:type="auto"/>
            <w:tcMar>
              <w:top w:w="30" w:type="dxa"/>
              <w:bottom w:w="30" w:type="dxa"/>
            </w:tcMar>
            <w:vAlign w:val="center"/>
          </w:tcPr>
          <w:p w14:paraId="3828FAC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STATE_OF_HEALTH-STRESS</w:t>
            </w:r>
          </w:p>
        </w:tc>
        <w:tc>
          <w:tcPr>
            <w:tcW w:w="0" w:type="auto"/>
            <w:tcMar>
              <w:top w:w="30" w:type="dxa"/>
              <w:bottom w:w="30" w:type="dxa"/>
            </w:tcMar>
            <w:vAlign w:val="center"/>
          </w:tcPr>
          <w:p w14:paraId="17295C6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w:t>
            </w:r>
          </w:p>
        </w:tc>
        <w:tc>
          <w:tcPr>
            <w:tcW w:w="0" w:type="auto"/>
            <w:tcMar>
              <w:top w:w="30" w:type="dxa"/>
              <w:bottom w:w="30" w:type="dxa"/>
            </w:tcMar>
            <w:vAlign w:val="center"/>
          </w:tcPr>
          <w:p w14:paraId="28CB2A3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0.15]</w:t>
            </w:r>
          </w:p>
        </w:tc>
        <w:tc>
          <w:tcPr>
            <w:tcW w:w="0" w:type="auto"/>
            <w:tcMar>
              <w:top w:w="30" w:type="dxa"/>
              <w:bottom w:w="30" w:type="dxa"/>
            </w:tcMar>
            <w:vAlign w:val="center"/>
          </w:tcPr>
          <w:p w14:paraId="151F8CC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668470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1B61AEC" w14:textId="77777777" w:rsidTr="005640BE">
        <w:tc>
          <w:tcPr>
            <w:tcW w:w="0" w:type="auto"/>
            <w:tcMar>
              <w:top w:w="30" w:type="dxa"/>
              <w:bottom w:w="30" w:type="dxa"/>
            </w:tcMar>
            <w:vAlign w:val="center"/>
          </w:tcPr>
          <w:p w14:paraId="60C116A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STATE_OF_HEALTH-ENERGY_LEVEL</w:t>
            </w:r>
          </w:p>
        </w:tc>
        <w:tc>
          <w:tcPr>
            <w:tcW w:w="0" w:type="auto"/>
            <w:tcMar>
              <w:top w:w="30" w:type="dxa"/>
              <w:bottom w:w="30" w:type="dxa"/>
            </w:tcMar>
            <w:vAlign w:val="center"/>
          </w:tcPr>
          <w:p w14:paraId="6A8F13E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0DFC76B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 0.03]</w:t>
            </w:r>
          </w:p>
        </w:tc>
        <w:tc>
          <w:tcPr>
            <w:tcW w:w="0" w:type="auto"/>
            <w:tcMar>
              <w:top w:w="30" w:type="dxa"/>
              <w:bottom w:w="30" w:type="dxa"/>
            </w:tcMar>
            <w:vAlign w:val="center"/>
          </w:tcPr>
          <w:p w14:paraId="296226F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57E84B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67A4D99C" w14:textId="77777777" w:rsidTr="005640BE">
        <w:tc>
          <w:tcPr>
            <w:tcW w:w="0" w:type="auto"/>
            <w:tcMar>
              <w:top w:w="30" w:type="dxa"/>
              <w:bottom w:w="30" w:type="dxa"/>
            </w:tcMar>
            <w:vAlign w:val="center"/>
          </w:tcPr>
          <w:p w14:paraId="5233C3A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STATE_OF_HEALTH-LIFESTYLE</w:t>
            </w:r>
          </w:p>
        </w:tc>
        <w:tc>
          <w:tcPr>
            <w:tcW w:w="0" w:type="auto"/>
            <w:tcMar>
              <w:top w:w="30" w:type="dxa"/>
              <w:bottom w:w="30" w:type="dxa"/>
            </w:tcMar>
            <w:vAlign w:val="center"/>
          </w:tcPr>
          <w:p w14:paraId="26E5911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0.75</w:t>
            </w:r>
          </w:p>
        </w:tc>
        <w:tc>
          <w:tcPr>
            <w:tcW w:w="0" w:type="auto"/>
            <w:tcMar>
              <w:top w:w="30" w:type="dxa"/>
              <w:bottom w:w="30" w:type="dxa"/>
            </w:tcMar>
            <w:vAlign w:val="center"/>
          </w:tcPr>
          <w:p w14:paraId="4FFB2A3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[0.72, 0.77]</w:t>
            </w:r>
          </w:p>
        </w:tc>
        <w:tc>
          <w:tcPr>
            <w:tcW w:w="0" w:type="auto"/>
            <w:tcMar>
              <w:top w:w="30" w:type="dxa"/>
              <w:bottom w:w="30" w:type="dxa"/>
            </w:tcMar>
            <w:vAlign w:val="center"/>
          </w:tcPr>
          <w:p w14:paraId="71906A0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C40A91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E6B5950" w14:textId="77777777" w:rsidTr="005640BE">
        <w:tc>
          <w:tcPr>
            <w:tcW w:w="0" w:type="auto"/>
            <w:tcMar>
              <w:top w:w="30" w:type="dxa"/>
              <w:bottom w:w="30" w:type="dxa"/>
            </w:tcMar>
            <w:vAlign w:val="center"/>
          </w:tcPr>
          <w:p w14:paraId="3A3D1D3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STATE_OF_HEALTH-ENGAGEMENT</w:t>
            </w:r>
          </w:p>
        </w:tc>
        <w:tc>
          <w:tcPr>
            <w:tcW w:w="0" w:type="auto"/>
            <w:tcMar>
              <w:top w:w="30" w:type="dxa"/>
              <w:bottom w:w="30" w:type="dxa"/>
            </w:tcMar>
            <w:vAlign w:val="center"/>
          </w:tcPr>
          <w:p w14:paraId="5596EE9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-0.15</w:t>
            </w:r>
          </w:p>
        </w:tc>
        <w:tc>
          <w:tcPr>
            <w:tcW w:w="0" w:type="auto"/>
            <w:tcMar>
              <w:top w:w="30" w:type="dxa"/>
              <w:bottom w:w="30" w:type="dxa"/>
            </w:tcMar>
            <w:vAlign w:val="center"/>
          </w:tcPr>
          <w:p w14:paraId="1A4C23B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[-0.20, -0.10]</w:t>
            </w:r>
          </w:p>
        </w:tc>
        <w:tc>
          <w:tcPr>
            <w:tcW w:w="0" w:type="auto"/>
            <w:tcMar>
              <w:top w:w="30" w:type="dxa"/>
              <w:bottom w:w="30" w:type="dxa"/>
            </w:tcMar>
            <w:vAlign w:val="center"/>
          </w:tcPr>
          <w:p w14:paraId="7603364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445A22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D853E8F" w14:textId="77777777" w:rsidTr="005640BE">
        <w:tc>
          <w:tcPr>
            <w:tcW w:w="0" w:type="auto"/>
            <w:tcMar>
              <w:top w:w="30" w:type="dxa"/>
              <w:bottom w:w="30" w:type="dxa"/>
            </w:tcMar>
            <w:vAlign w:val="center"/>
          </w:tcPr>
          <w:p w14:paraId="674E181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STATE_OF_HEALTH-SLEEP</w:t>
            </w:r>
          </w:p>
        </w:tc>
        <w:tc>
          <w:tcPr>
            <w:tcW w:w="0" w:type="auto"/>
            <w:tcMar>
              <w:top w:w="30" w:type="dxa"/>
              <w:bottom w:w="30" w:type="dxa"/>
            </w:tcMar>
            <w:vAlign w:val="center"/>
          </w:tcPr>
          <w:p w14:paraId="3A0030B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w:t>
            </w:r>
          </w:p>
        </w:tc>
        <w:tc>
          <w:tcPr>
            <w:tcW w:w="0" w:type="auto"/>
            <w:tcMar>
              <w:top w:w="30" w:type="dxa"/>
              <w:bottom w:w="30" w:type="dxa"/>
            </w:tcMar>
            <w:vAlign w:val="center"/>
          </w:tcPr>
          <w:p w14:paraId="345A5D1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 0.09]</w:t>
            </w:r>
          </w:p>
        </w:tc>
        <w:tc>
          <w:tcPr>
            <w:tcW w:w="0" w:type="auto"/>
            <w:tcMar>
              <w:top w:w="30" w:type="dxa"/>
              <w:bottom w:w="30" w:type="dxa"/>
            </w:tcMar>
            <w:vAlign w:val="center"/>
          </w:tcPr>
          <w:p w14:paraId="09B2D99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D51FDE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12B44EBE" w14:textId="77777777" w:rsidTr="005640BE">
        <w:tc>
          <w:tcPr>
            <w:tcW w:w="0" w:type="auto"/>
            <w:tcMar>
              <w:top w:w="30" w:type="dxa"/>
              <w:bottom w:w="30" w:type="dxa"/>
            </w:tcMar>
            <w:vAlign w:val="center"/>
          </w:tcPr>
          <w:p w14:paraId="3BBDD90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STATE_OF_HEALTH-OBSERVED_PRODUCTIVITY</w:t>
            </w:r>
          </w:p>
        </w:tc>
        <w:tc>
          <w:tcPr>
            <w:tcW w:w="0" w:type="auto"/>
            <w:tcMar>
              <w:top w:w="30" w:type="dxa"/>
              <w:bottom w:w="30" w:type="dxa"/>
            </w:tcMar>
            <w:vAlign w:val="center"/>
          </w:tcPr>
          <w:p w14:paraId="7D3BBCA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-0.23</w:t>
            </w:r>
          </w:p>
        </w:tc>
        <w:tc>
          <w:tcPr>
            <w:tcW w:w="0" w:type="auto"/>
            <w:tcMar>
              <w:top w:w="30" w:type="dxa"/>
              <w:bottom w:w="30" w:type="dxa"/>
            </w:tcMar>
            <w:vAlign w:val="center"/>
          </w:tcPr>
          <w:p w14:paraId="77C14E1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[-0.27, -0.18]</w:t>
            </w:r>
          </w:p>
        </w:tc>
        <w:tc>
          <w:tcPr>
            <w:tcW w:w="0" w:type="auto"/>
            <w:tcMar>
              <w:top w:w="30" w:type="dxa"/>
              <w:bottom w:w="30" w:type="dxa"/>
            </w:tcMar>
            <w:vAlign w:val="center"/>
          </w:tcPr>
          <w:p w14:paraId="4DDD0F0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3496A7E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B06A7EF" w14:textId="77777777" w:rsidTr="005640BE">
        <w:tc>
          <w:tcPr>
            <w:tcW w:w="0" w:type="auto"/>
            <w:tcMar>
              <w:top w:w="30" w:type="dxa"/>
              <w:bottom w:w="30" w:type="dxa"/>
            </w:tcMar>
            <w:vAlign w:val="center"/>
          </w:tcPr>
          <w:p w14:paraId="2A3D923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STRESS-ENERGY_LEVEL</w:t>
            </w:r>
          </w:p>
        </w:tc>
        <w:tc>
          <w:tcPr>
            <w:tcW w:w="0" w:type="auto"/>
            <w:tcMar>
              <w:top w:w="30" w:type="dxa"/>
              <w:bottom w:w="30" w:type="dxa"/>
            </w:tcMar>
            <w:vAlign w:val="center"/>
          </w:tcPr>
          <w:p w14:paraId="171FDF0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w:t>
            </w:r>
          </w:p>
        </w:tc>
        <w:tc>
          <w:tcPr>
            <w:tcW w:w="0" w:type="auto"/>
            <w:tcMar>
              <w:top w:w="30" w:type="dxa"/>
              <w:bottom w:w="30" w:type="dxa"/>
            </w:tcMar>
            <w:vAlign w:val="center"/>
          </w:tcPr>
          <w:p w14:paraId="3CBB606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[-0.15, -0.05]</w:t>
            </w:r>
          </w:p>
        </w:tc>
        <w:tc>
          <w:tcPr>
            <w:tcW w:w="0" w:type="auto"/>
            <w:tcMar>
              <w:top w:w="30" w:type="dxa"/>
              <w:bottom w:w="30" w:type="dxa"/>
            </w:tcMar>
            <w:vAlign w:val="center"/>
          </w:tcPr>
          <w:p w14:paraId="7B6E92A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BFE04A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r>
      <w:tr w:rsidR="005459E6" w:rsidRPr="005459E6" w14:paraId="38BC24A2" w14:textId="77777777" w:rsidTr="005640BE">
        <w:tc>
          <w:tcPr>
            <w:tcW w:w="0" w:type="auto"/>
            <w:tcMar>
              <w:top w:w="30" w:type="dxa"/>
              <w:bottom w:w="30" w:type="dxa"/>
            </w:tcMar>
            <w:vAlign w:val="center"/>
          </w:tcPr>
          <w:p w14:paraId="0965470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STRESS-LIFESTYLE</w:t>
            </w:r>
          </w:p>
        </w:tc>
        <w:tc>
          <w:tcPr>
            <w:tcW w:w="0" w:type="auto"/>
            <w:tcMar>
              <w:top w:w="30" w:type="dxa"/>
              <w:bottom w:w="30" w:type="dxa"/>
            </w:tcMar>
            <w:vAlign w:val="center"/>
          </w:tcPr>
          <w:p w14:paraId="0D63A5A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w:t>
            </w:r>
          </w:p>
        </w:tc>
        <w:tc>
          <w:tcPr>
            <w:tcW w:w="0" w:type="auto"/>
            <w:tcMar>
              <w:top w:w="30" w:type="dxa"/>
              <w:bottom w:w="30" w:type="dxa"/>
            </w:tcMar>
            <w:vAlign w:val="center"/>
          </w:tcPr>
          <w:p w14:paraId="42D6A8A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 0.12]</w:t>
            </w:r>
          </w:p>
        </w:tc>
        <w:tc>
          <w:tcPr>
            <w:tcW w:w="0" w:type="auto"/>
            <w:tcMar>
              <w:top w:w="30" w:type="dxa"/>
              <w:bottom w:w="30" w:type="dxa"/>
            </w:tcMar>
            <w:vAlign w:val="center"/>
          </w:tcPr>
          <w:p w14:paraId="4011A06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F42978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.119</w:t>
            </w:r>
          </w:p>
        </w:tc>
      </w:tr>
      <w:tr w:rsidR="005459E6" w:rsidRPr="005459E6" w14:paraId="62F5C4F5" w14:textId="77777777" w:rsidTr="005640BE">
        <w:tc>
          <w:tcPr>
            <w:tcW w:w="0" w:type="auto"/>
            <w:tcMar>
              <w:top w:w="30" w:type="dxa"/>
              <w:bottom w:w="30" w:type="dxa"/>
            </w:tcMar>
            <w:vAlign w:val="center"/>
          </w:tcPr>
          <w:p w14:paraId="24D627C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STRESS-ENGAGEMENT</w:t>
            </w:r>
          </w:p>
        </w:tc>
        <w:tc>
          <w:tcPr>
            <w:tcW w:w="0" w:type="auto"/>
            <w:tcMar>
              <w:top w:w="30" w:type="dxa"/>
              <w:bottom w:w="30" w:type="dxa"/>
            </w:tcMar>
            <w:vAlign w:val="center"/>
          </w:tcPr>
          <w:p w14:paraId="46C1D23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0.63</w:t>
            </w:r>
          </w:p>
        </w:tc>
        <w:tc>
          <w:tcPr>
            <w:tcW w:w="0" w:type="auto"/>
            <w:tcMar>
              <w:top w:w="30" w:type="dxa"/>
              <w:bottom w:w="30" w:type="dxa"/>
            </w:tcMar>
            <w:vAlign w:val="center"/>
          </w:tcPr>
          <w:p w14:paraId="14AA73A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[0.60, 0.66]</w:t>
            </w:r>
          </w:p>
        </w:tc>
        <w:tc>
          <w:tcPr>
            <w:tcW w:w="0" w:type="auto"/>
            <w:tcMar>
              <w:top w:w="30" w:type="dxa"/>
              <w:bottom w:w="30" w:type="dxa"/>
            </w:tcMar>
            <w:vAlign w:val="center"/>
          </w:tcPr>
          <w:p w14:paraId="6A23A82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4F7D6B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A0F6741" w14:textId="77777777" w:rsidTr="005640BE">
        <w:tc>
          <w:tcPr>
            <w:tcW w:w="0" w:type="auto"/>
            <w:tcMar>
              <w:top w:w="30" w:type="dxa"/>
              <w:bottom w:w="30" w:type="dxa"/>
            </w:tcMar>
            <w:vAlign w:val="center"/>
          </w:tcPr>
          <w:p w14:paraId="0991E31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STRESS-SLEEP</w:t>
            </w:r>
          </w:p>
        </w:tc>
        <w:tc>
          <w:tcPr>
            <w:tcW w:w="0" w:type="auto"/>
            <w:tcMar>
              <w:top w:w="30" w:type="dxa"/>
              <w:bottom w:w="30" w:type="dxa"/>
            </w:tcMar>
            <w:vAlign w:val="center"/>
          </w:tcPr>
          <w:p w14:paraId="3CC2AFE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w:t>
            </w:r>
          </w:p>
        </w:tc>
        <w:tc>
          <w:tcPr>
            <w:tcW w:w="0" w:type="auto"/>
            <w:tcMar>
              <w:top w:w="30" w:type="dxa"/>
              <w:bottom w:w="30" w:type="dxa"/>
            </w:tcMar>
            <w:vAlign w:val="center"/>
          </w:tcPr>
          <w:p w14:paraId="13E2AE4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 0.10]</w:t>
            </w:r>
          </w:p>
        </w:tc>
        <w:tc>
          <w:tcPr>
            <w:tcW w:w="0" w:type="auto"/>
            <w:tcMar>
              <w:top w:w="30" w:type="dxa"/>
              <w:bottom w:w="30" w:type="dxa"/>
            </w:tcMar>
            <w:vAlign w:val="center"/>
          </w:tcPr>
          <w:p w14:paraId="7A4565B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35CCC1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.632</w:t>
            </w:r>
          </w:p>
        </w:tc>
      </w:tr>
      <w:tr w:rsidR="005459E6" w:rsidRPr="005459E6" w14:paraId="0DCBC2C6" w14:textId="77777777" w:rsidTr="005640BE">
        <w:tc>
          <w:tcPr>
            <w:tcW w:w="0" w:type="auto"/>
            <w:tcMar>
              <w:top w:w="30" w:type="dxa"/>
              <w:bottom w:w="30" w:type="dxa"/>
            </w:tcMar>
            <w:vAlign w:val="center"/>
          </w:tcPr>
          <w:p w14:paraId="2BF8DF9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STRESS-OBSERVED_PRODUCTIVITY</w:t>
            </w:r>
          </w:p>
        </w:tc>
        <w:tc>
          <w:tcPr>
            <w:tcW w:w="0" w:type="auto"/>
            <w:tcMar>
              <w:top w:w="30" w:type="dxa"/>
              <w:bottom w:w="30" w:type="dxa"/>
            </w:tcMar>
            <w:vAlign w:val="center"/>
          </w:tcPr>
          <w:p w14:paraId="05A749F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7DCCC6C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[-0.07, 0.03]</w:t>
            </w:r>
          </w:p>
        </w:tc>
        <w:tc>
          <w:tcPr>
            <w:tcW w:w="0" w:type="auto"/>
            <w:tcMar>
              <w:top w:w="30" w:type="dxa"/>
              <w:bottom w:w="30" w:type="dxa"/>
            </w:tcMar>
            <w:vAlign w:val="center"/>
          </w:tcPr>
          <w:p w14:paraId="33F3399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14F4C8E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EC24295" w14:textId="77777777" w:rsidTr="005640BE">
        <w:tc>
          <w:tcPr>
            <w:tcW w:w="0" w:type="auto"/>
            <w:tcMar>
              <w:top w:w="30" w:type="dxa"/>
              <w:bottom w:w="30" w:type="dxa"/>
            </w:tcMar>
            <w:vAlign w:val="center"/>
          </w:tcPr>
          <w:p w14:paraId="5CFBE7A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ENERGY_LEVEL-LIFESTYLE</w:t>
            </w:r>
          </w:p>
        </w:tc>
        <w:tc>
          <w:tcPr>
            <w:tcW w:w="0" w:type="auto"/>
            <w:tcMar>
              <w:top w:w="30" w:type="dxa"/>
              <w:bottom w:w="30" w:type="dxa"/>
            </w:tcMar>
            <w:vAlign w:val="center"/>
          </w:tcPr>
          <w:p w14:paraId="46F263E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w:t>
            </w:r>
          </w:p>
        </w:tc>
        <w:tc>
          <w:tcPr>
            <w:tcW w:w="0" w:type="auto"/>
            <w:tcMar>
              <w:top w:w="30" w:type="dxa"/>
              <w:bottom w:w="30" w:type="dxa"/>
            </w:tcMar>
            <w:vAlign w:val="center"/>
          </w:tcPr>
          <w:p w14:paraId="5BEE9EC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[0.08, 0.18]</w:t>
            </w:r>
          </w:p>
        </w:tc>
        <w:tc>
          <w:tcPr>
            <w:tcW w:w="0" w:type="auto"/>
            <w:tcMar>
              <w:top w:w="30" w:type="dxa"/>
              <w:bottom w:w="30" w:type="dxa"/>
            </w:tcMar>
            <w:vAlign w:val="center"/>
          </w:tcPr>
          <w:p w14:paraId="6C4D412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AC97CB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2DAA54BA" w14:textId="77777777" w:rsidTr="005640BE">
        <w:tc>
          <w:tcPr>
            <w:tcW w:w="0" w:type="auto"/>
            <w:tcMar>
              <w:top w:w="30" w:type="dxa"/>
              <w:bottom w:w="30" w:type="dxa"/>
            </w:tcMar>
            <w:vAlign w:val="center"/>
          </w:tcPr>
          <w:p w14:paraId="0D8140B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ENERGY_LEVEL-ENGAGEMENT</w:t>
            </w:r>
          </w:p>
        </w:tc>
        <w:tc>
          <w:tcPr>
            <w:tcW w:w="0" w:type="auto"/>
            <w:tcMar>
              <w:top w:w="30" w:type="dxa"/>
              <w:bottom w:w="30" w:type="dxa"/>
            </w:tcMar>
            <w:vAlign w:val="center"/>
          </w:tcPr>
          <w:p w14:paraId="329BBC1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-0.00</w:t>
            </w:r>
          </w:p>
        </w:tc>
        <w:tc>
          <w:tcPr>
            <w:tcW w:w="0" w:type="auto"/>
            <w:tcMar>
              <w:top w:w="30" w:type="dxa"/>
              <w:bottom w:w="30" w:type="dxa"/>
            </w:tcMar>
            <w:vAlign w:val="center"/>
          </w:tcPr>
          <w:p w14:paraId="1B8B868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 0.05]</w:t>
            </w:r>
          </w:p>
        </w:tc>
        <w:tc>
          <w:tcPr>
            <w:tcW w:w="0" w:type="auto"/>
            <w:tcMar>
              <w:top w:w="30" w:type="dxa"/>
              <w:bottom w:w="30" w:type="dxa"/>
            </w:tcMar>
            <w:vAlign w:val="center"/>
          </w:tcPr>
          <w:p w14:paraId="52B4265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43057E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4D43754C" w14:textId="77777777" w:rsidTr="005640BE">
        <w:tc>
          <w:tcPr>
            <w:tcW w:w="0" w:type="auto"/>
            <w:tcMar>
              <w:top w:w="30" w:type="dxa"/>
              <w:bottom w:w="30" w:type="dxa"/>
            </w:tcMar>
            <w:vAlign w:val="center"/>
          </w:tcPr>
          <w:p w14:paraId="7A81226F"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ENERGY_LEVEL-SLEEP</w:t>
            </w:r>
          </w:p>
        </w:tc>
        <w:tc>
          <w:tcPr>
            <w:tcW w:w="0" w:type="auto"/>
            <w:tcMar>
              <w:top w:w="30" w:type="dxa"/>
              <w:bottom w:w="30" w:type="dxa"/>
            </w:tcMar>
            <w:vAlign w:val="center"/>
          </w:tcPr>
          <w:p w14:paraId="4712E560"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w:t>
            </w:r>
          </w:p>
        </w:tc>
        <w:tc>
          <w:tcPr>
            <w:tcW w:w="0" w:type="auto"/>
            <w:tcMar>
              <w:top w:w="30" w:type="dxa"/>
              <w:bottom w:w="30" w:type="dxa"/>
            </w:tcMar>
            <w:vAlign w:val="center"/>
          </w:tcPr>
          <w:p w14:paraId="3AF660D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 0.08]</w:t>
            </w:r>
          </w:p>
        </w:tc>
        <w:tc>
          <w:tcPr>
            <w:tcW w:w="0" w:type="auto"/>
            <w:tcMar>
              <w:top w:w="30" w:type="dxa"/>
              <w:bottom w:w="30" w:type="dxa"/>
            </w:tcMar>
            <w:vAlign w:val="center"/>
          </w:tcPr>
          <w:p w14:paraId="18ED6D6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678AA75C"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71062D55" w14:textId="77777777" w:rsidTr="005640BE">
        <w:tc>
          <w:tcPr>
            <w:tcW w:w="0" w:type="auto"/>
            <w:tcMar>
              <w:top w:w="30" w:type="dxa"/>
              <w:bottom w:w="30" w:type="dxa"/>
            </w:tcMar>
            <w:vAlign w:val="center"/>
          </w:tcPr>
          <w:p w14:paraId="2FF7CEA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ENERGY_LEVEL-OBSERVED_PRODUCTIVITY</w:t>
            </w:r>
          </w:p>
        </w:tc>
        <w:tc>
          <w:tcPr>
            <w:tcW w:w="0" w:type="auto"/>
            <w:tcMar>
              <w:top w:w="30" w:type="dxa"/>
              <w:bottom w:w="30" w:type="dxa"/>
            </w:tcMar>
            <w:vAlign w:val="center"/>
          </w:tcPr>
          <w:p w14:paraId="50BEF78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-0.81</w:t>
            </w:r>
          </w:p>
        </w:tc>
        <w:tc>
          <w:tcPr>
            <w:tcW w:w="0" w:type="auto"/>
            <w:tcMar>
              <w:top w:w="30" w:type="dxa"/>
              <w:bottom w:w="30" w:type="dxa"/>
            </w:tcMar>
            <w:vAlign w:val="center"/>
          </w:tcPr>
          <w:p w14:paraId="492A548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[-0.83, -0.80]</w:t>
            </w:r>
          </w:p>
        </w:tc>
        <w:tc>
          <w:tcPr>
            <w:tcW w:w="0" w:type="auto"/>
            <w:tcMar>
              <w:top w:w="30" w:type="dxa"/>
              <w:bottom w:w="30" w:type="dxa"/>
            </w:tcMar>
            <w:vAlign w:val="center"/>
          </w:tcPr>
          <w:p w14:paraId="77FA77A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ECCC74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6C3BE64" w14:textId="77777777" w:rsidTr="005640BE">
        <w:tc>
          <w:tcPr>
            <w:tcW w:w="0" w:type="auto"/>
            <w:tcMar>
              <w:top w:w="30" w:type="dxa"/>
              <w:bottom w:w="30" w:type="dxa"/>
            </w:tcMar>
            <w:vAlign w:val="center"/>
          </w:tcPr>
          <w:p w14:paraId="150612B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LIFESTYLE-ENGAGEMENT</w:t>
            </w:r>
          </w:p>
        </w:tc>
        <w:tc>
          <w:tcPr>
            <w:tcW w:w="0" w:type="auto"/>
            <w:tcMar>
              <w:top w:w="30" w:type="dxa"/>
              <w:bottom w:w="30" w:type="dxa"/>
            </w:tcMar>
            <w:vAlign w:val="center"/>
          </w:tcPr>
          <w:p w14:paraId="25089B4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w:t>
            </w:r>
          </w:p>
        </w:tc>
        <w:tc>
          <w:tcPr>
            <w:tcW w:w="0" w:type="auto"/>
            <w:tcMar>
              <w:top w:w="30" w:type="dxa"/>
              <w:bottom w:w="30" w:type="dxa"/>
            </w:tcMar>
            <w:vAlign w:val="center"/>
          </w:tcPr>
          <w:p w14:paraId="5639870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-0.01]</w:t>
            </w:r>
          </w:p>
        </w:tc>
        <w:tc>
          <w:tcPr>
            <w:tcW w:w="0" w:type="auto"/>
            <w:tcMar>
              <w:top w:w="30" w:type="dxa"/>
              <w:bottom w:w="30" w:type="dxa"/>
            </w:tcMar>
            <w:vAlign w:val="center"/>
          </w:tcPr>
          <w:p w14:paraId="77FDCCA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5EA18DA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.277</w:t>
            </w:r>
          </w:p>
        </w:tc>
      </w:tr>
      <w:tr w:rsidR="005459E6" w:rsidRPr="005459E6" w14:paraId="5CEE18DC" w14:textId="77777777" w:rsidTr="005640BE">
        <w:tc>
          <w:tcPr>
            <w:tcW w:w="0" w:type="auto"/>
            <w:tcMar>
              <w:top w:w="30" w:type="dxa"/>
              <w:bottom w:w="30" w:type="dxa"/>
            </w:tcMar>
            <w:vAlign w:val="center"/>
          </w:tcPr>
          <w:p w14:paraId="4E6BFF2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LIFESTYLE-SLEEP</w:t>
            </w:r>
          </w:p>
        </w:tc>
        <w:tc>
          <w:tcPr>
            <w:tcW w:w="0" w:type="auto"/>
            <w:tcMar>
              <w:top w:w="30" w:type="dxa"/>
              <w:bottom w:w="30" w:type="dxa"/>
            </w:tcMar>
            <w:vAlign w:val="center"/>
          </w:tcPr>
          <w:p w14:paraId="2028930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w:t>
            </w:r>
          </w:p>
        </w:tc>
        <w:tc>
          <w:tcPr>
            <w:tcW w:w="0" w:type="auto"/>
            <w:tcMar>
              <w:top w:w="30" w:type="dxa"/>
              <w:bottom w:w="30" w:type="dxa"/>
            </w:tcMar>
            <w:vAlign w:val="center"/>
          </w:tcPr>
          <w:p w14:paraId="4F9E145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[0.04, 0.14]</w:t>
            </w:r>
          </w:p>
        </w:tc>
        <w:tc>
          <w:tcPr>
            <w:tcW w:w="0" w:type="auto"/>
            <w:tcMar>
              <w:top w:w="30" w:type="dxa"/>
              <w:bottom w:w="30" w:type="dxa"/>
            </w:tcMar>
            <w:vAlign w:val="center"/>
          </w:tcPr>
          <w:p w14:paraId="7E7E42E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4CD9DC8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w:t>
            </w:r>
          </w:p>
        </w:tc>
      </w:tr>
      <w:tr w:rsidR="005459E6" w:rsidRPr="005459E6" w14:paraId="0722EFBF" w14:textId="77777777" w:rsidTr="005640BE">
        <w:tc>
          <w:tcPr>
            <w:tcW w:w="0" w:type="auto"/>
            <w:tcMar>
              <w:top w:w="30" w:type="dxa"/>
              <w:bottom w:w="30" w:type="dxa"/>
            </w:tcMar>
            <w:vAlign w:val="center"/>
          </w:tcPr>
          <w:p w14:paraId="353C866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LIFESTYLE-OBSERVED_PRODUCTIVITY</w:t>
            </w:r>
          </w:p>
        </w:tc>
        <w:tc>
          <w:tcPr>
            <w:tcW w:w="0" w:type="auto"/>
            <w:tcMar>
              <w:top w:w="30" w:type="dxa"/>
              <w:bottom w:w="30" w:type="dxa"/>
            </w:tcMar>
            <w:vAlign w:val="center"/>
          </w:tcPr>
          <w:p w14:paraId="6DFC755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-0.05</w:t>
            </w:r>
          </w:p>
        </w:tc>
        <w:tc>
          <w:tcPr>
            <w:tcW w:w="0" w:type="auto"/>
            <w:tcMar>
              <w:top w:w="30" w:type="dxa"/>
              <w:bottom w:w="30" w:type="dxa"/>
            </w:tcMar>
            <w:vAlign w:val="center"/>
          </w:tcPr>
          <w:p w14:paraId="092E10E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[-0.10, 0.00]</w:t>
            </w:r>
          </w:p>
        </w:tc>
        <w:tc>
          <w:tcPr>
            <w:tcW w:w="0" w:type="auto"/>
            <w:tcMar>
              <w:top w:w="30" w:type="dxa"/>
              <w:bottom w:w="30" w:type="dxa"/>
            </w:tcMar>
            <w:vAlign w:val="center"/>
          </w:tcPr>
          <w:p w14:paraId="474B2B4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29C8604B"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.777</w:t>
            </w:r>
          </w:p>
        </w:tc>
      </w:tr>
      <w:tr w:rsidR="005459E6" w:rsidRPr="005459E6" w14:paraId="0F7B7A43" w14:textId="77777777" w:rsidTr="005640BE">
        <w:tc>
          <w:tcPr>
            <w:tcW w:w="0" w:type="auto"/>
            <w:tcMar>
              <w:top w:w="30" w:type="dxa"/>
              <w:bottom w:w="30" w:type="dxa"/>
            </w:tcMar>
            <w:vAlign w:val="center"/>
          </w:tcPr>
          <w:p w14:paraId="62542556"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ENGAGEMENT-SLEEP</w:t>
            </w:r>
          </w:p>
        </w:tc>
        <w:tc>
          <w:tcPr>
            <w:tcW w:w="0" w:type="auto"/>
            <w:tcMar>
              <w:top w:w="30" w:type="dxa"/>
              <w:bottom w:w="30" w:type="dxa"/>
            </w:tcMar>
            <w:vAlign w:val="center"/>
          </w:tcPr>
          <w:p w14:paraId="512941DD"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0.14</w:t>
            </w:r>
          </w:p>
        </w:tc>
        <w:tc>
          <w:tcPr>
            <w:tcW w:w="0" w:type="auto"/>
            <w:tcMar>
              <w:top w:w="30" w:type="dxa"/>
              <w:bottom w:w="30" w:type="dxa"/>
            </w:tcMar>
            <w:vAlign w:val="center"/>
          </w:tcPr>
          <w:p w14:paraId="36D08B29"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[0.09, 0.19]</w:t>
            </w:r>
          </w:p>
        </w:tc>
        <w:tc>
          <w:tcPr>
            <w:tcW w:w="0" w:type="auto"/>
            <w:tcMar>
              <w:top w:w="30" w:type="dxa"/>
              <w:bottom w:w="30" w:type="dxa"/>
            </w:tcMar>
            <w:vAlign w:val="center"/>
          </w:tcPr>
          <w:p w14:paraId="79776F7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5FD3F8A"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52172D0D" w14:textId="77777777" w:rsidTr="005640BE">
        <w:tc>
          <w:tcPr>
            <w:tcW w:w="0" w:type="auto"/>
            <w:tcMar>
              <w:top w:w="30" w:type="dxa"/>
              <w:bottom w:w="30" w:type="dxa"/>
            </w:tcMar>
            <w:vAlign w:val="center"/>
          </w:tcPr>
          <w:p w14:paraId="0F0E09D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ENGAGEMENT-OBSERVED_PRODUCTIVITY</w:t>
            </w:r>
          </w:p>
        </w:tc>
        <w:tc>
          <w:tcPr>
            <w:tcW w:w="0" w:type="auto"/>
            <w:tcMar>
              <w:top w:w="30" w:type="dxa"/>
              <w:bottom w:w="30" w:type="dxa"/>
            </w:tcMar>
            <w:vAlign w:val="center"/>
          </w:tcPr>
          <w:p w14:paraId="289BA0F2"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0.02</w:t>
            </w:r>
          </w:p>
        </w:tc>
        <w:tc>
          <w:tcPr>
            <w:tcW w:w="0" w:type="auto"/>
            <w:tcMar>
              <w:top w:w="30" w:type="dxa"/>
              <w:bottom w:w="30" w:type="dxa"/>
            </w:tcMar>
            <w:vAlign w:val="center"/>
          </w:tcPr>
          <w:p w14:paraId="757A2DB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[-0.03, 0.07]</w:t>
            </w:r>
          </w:p>
        </w:tc>
        <w:tc>
          <w:tcPr>
            <w:tcW w:w="0" w:type="auto"/>
            <w:tcMar>
              <w:top w:w="30" w:type="dxa"/>
              <w:bottom w:w="30" w:type="dxa"/>
            </w:tcMar>
            <w:vAlign w:val="center"/>
          </w:tcPr>
          <w:p w14:paraId="6B38C275"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bottom w:w="30" w:type="dxa"/>
            </w:tcMar>
            <w:vAlign w:val="center"/>
          </w:tcPr>
          <w:p w14:paraId="7B8901C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5459E6" w:rsidRPr="005459E6" w14:paraId="5A42293C" w14:textId="77777777" w:rsidTr="005640BE">
        <w:tc>
          <w:tcPr>
            <w:tcW w:w="0" w:type="auto"/>
            <w:tcBorders>
              <w:bottom w:val="single" w:sz="5" w:space="0" w:color="000000"/>
            </w:tcBorders>
            <w:tcMar>
              <w:top w:w="30" w:type="dxa"/>
              <w:bottom w:w="30" w:type="dxa"/>
            </w:tcMar>
            <w:vAlign w:val="center"/>
          </w:tcPr>
          <w:p w14:paraId="5E28373E"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SLEEP-OBSERVED_PRODUCTIVITY</w:t>
            </w:r>
          </w:p>
        </w:tc>
        <w:tc>
          <w:tcPr>
            <w:tcW w:w="0" w:type="auto"/>
            <w:tcBorders>
              <w:bottom w:val="single" w:sz="5" w:space="0" w:color="000000"/>
            </w:tcBorders>
            <w:tcMar>
              <w:top w:w="30" w:type="dxa"/>
              <w:bottom w:w="30" w:type="dxa"/>
            </w:tcMar>
            <w:vAlign w:val="center"/>
          </w:tcPr>
          <w:p w14:paraId="47DC3877"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-0.01</w:t>
            </w:r>
          </w:p>
        </w:tc>
        <w:tc>
          <w:tcPr>
            <w:tcW w:w="0" w:type="auto"/>
            <w:tcBorders>
              <w:bottom w:val="single" w:sz="5" w:space="0" w:color="000000"/>
            </w:tcBorders>
            <w:tcMar>
              <w:top w:w="30" w:type="dxa"/>
              <w:bottom w:w="30" w:type="dxa"/>
            </w:tcMar>
            <w:vAlign w:val="center"/>
          </w:tcPr>
          <w:p w14:paraId="666EF921"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[-0.06, 0.04]</w:t>
            </w:r>
          </w:p>
        </w:tc>
        <w:tc>
          <w:tcPr>
            <w:tcW w:w="0" w:type="auto"/>
            <w:tcBorders>
              <w:bottom w:val="single" w:sz="5" w:space="0" w:color="000000"/>
            </w:tcBorders>
            <w:tcMar>
              <w:top w:w="30" w:type="dxa"/>
              <w:bottom w:w="30" w:type="dxa"/>
            </w:tcMar>
            <w:vAlign w:val="center"/>
          </w:tcPr>
          <w:p w14:paraId="4A586744"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Borders>
              <w:bottom w:val="single" w:sz="5" w:space="0" w:color="000000"/>
            </w:tcBorders>
            <w:tcMar>
              <w:top w:w="30" w:type="dxa"/>
              <w:bottom w:w="30" w:type="dxa"/>
            </w:tcMar>
            <w:vAlign w:val="center"/>
          </w:tcPr>
          <w:p w14:paraId="3C7E7458"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1.000</w:t>
            </w:r>
          </w:p>
        </w:tc>
      </w:tr>
      <w:tr w:rsidR="003D2384" w:rsidRPr="005459E6" w14:paraId="01461C13" w14:textId="77777777" w:rsidTr="005640BE">
        <w:tc>
          <w:tcPr>
            <w:tcW w:w="0" w:type="auto"/>
            <w:gridSpan w:val="5"/>
            <w:tcMar>
              <w:top w:w="15" w:type="dxa"/>
              <w:bottom w:w="15" w:type="dxa"/>
            </w:tcMar>
            <w:vAlign w:val="center"/>
          </w:tcPr>
          <w:p w14:paraId="3734D7C3" w14:textId="77777777" w:rsidR="003D2384" w:rsidRPr="005459E6" w:rsidRDefault="003D2384"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Note.</w:t>
            </w:r>
            <w:r w:rsidRPr="005459E6">
              <w:rPr>
                <w:rFonts w:ascii="Times New Roman" w:hAnsi="Times New Roman" w:cs="Times New Roman"/>
                <w:position w:val="-3"/>
              </w:rPr>
              <w:t xml:space="preserve"> </w:t>
            </w:r>
            <w:r w:rsidRPr="005459E6">
              <w:rPr>
                <w:rFonts w:ascii="Times New Roman" w:hAnsi="Times New Roman" w:cs="Times New Roman"/>
                <w:i/>
                <w:iCs/>
                <w:position w:val="-3"/>
              </w:rPr>
              <w:t>p</w:t>
            </w:r>
            <w:r w:rsidRPr="005459E6">
              <w:rPr>
                <w:rFonts w:ascii="Times New Roman" w:hAnsi="Times New Roman" w:cs="Times New Roman"/>
                <w:position w:val="-3"/>
              </w:rPr>
              <w:t>-values adjusted using the Holm correction.</w:t>
            </w:r>
          </w:p>
        </w:tc>
      </w:tr>
    </w:tbl>
    <w:p w14:paraId="4A801A4C" w14:textId="64F869A3" w:rsidR="003C0C38" w:rsidRPr="005459E6" w:rsidRDefault="003C0C38" w:rsidP="00042CB0">
      <w:pPr>
        <w:spacing w:line="360" w:lineRule="auto"/>
        <w:jc w:val="both"/>
        <w:rPr>
          <w:rFonts w:ascii="Times New Roman" w:hAnsi="Times New Roman" w:cs="Times New Roman"/>
          <w:b/>
          <w:bCs/>
          <w:i/>
          <w:iCs/>
        </w:rPr>
      </w:pPr>
    </w:p>
    <w:p w14:paraId="48BEF18D" w14:textId="25693E7C" w:rsidR="00D969F9" w:rsidRPr="005459E6" w:rsidRDefault="003C0C38" w:rsidP="00042CB0">
      <w:pPr>
        <w:pStyle w:val="Titolo4"/>
        <w:spacing w:line="360" w:lineRule="auto"/>
        <w:jc w:val="both"/>
        <w:rPr>
          <w:rFonts w:ascii="Times New Roman" w:hAnsi="Times New Roman" w:cs="Times New Roman"/>
          <w:color w:val="auto"/>
        </w:rPr>
      </w:pPr>
      <w:r w:rsidRPr="005459E6">
        <w:rPr>
          <w:rFonts w:ascii="Times New Roman" w:hAnsi="Times New Roman" w:cs="Times New Roman"/>
          <w:color w:val="auto"/>
        </w:rPr>
        <w:t xml:space="preserve">Insights from </w:t>
      </w:r>
      <w:r w:rsidR="00061ED9" w:rsidRPr="005459E6">
        <w:rPr>
          <w:rFonts w:ascii="Times New Roman" w:hAnsi="Times New Roman" w:cs="Times New Roman"/>
          <w:color w:val="auto"/>
        </w:rPr>
        <w:t>Spearman Correlations Analysis</w:t>
      </w:r>
    </w:p>
    <w:p w14:paraId="4A387E84" w14:textId="58C3BB02"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This final stage of the study was used data from the survey that was done during simultaneous interaction with BCI.  The survey was used to establish relationships across Individual well-being and Workplace Productivity.</w:t>
      </w:r>
      <w:r w:rsidR="00B377B1" w:rsidRPr="005459E6">
        <w:rPr>
          <w:rFonts w:ascii="Times New Roman" w:hAnsi="Times New Roman" w:cs="Times New Roman"/>
        </w:rPr>
        <w:t xml:space="preserve"> </w:t>
      </w:r>
      <w:r w:rsidRPr="005459E6">
        <w:rPr>
          <w:rFonts w:ascii="Times New Roman" w:hAnsi="Times New Roman" w:cs="Times New Roman"/>
        </w:rPr>
        <w:t>This stage of research was driven by Quantitative analysis inclusive of 2</w:t>
      </w:r>
      <w:r w:rsidR="00B25584" w:rsidRPr="005459E6">
        <w:rPr>
          <w:rFonts w:ascii="Times New Roman" w:hAnsi="Times New Roman" w:cs="Times New Roman"/>
        </w:rPr>
        <w:t>6</w:t>
      </w:r>
      <w:r w:rsidRPr="005459E6">
        <w:rPr>
          <w:rFonts w:ascii="Times New Roman" w:hAnsi="Times New Roman" w:cs="Times New Roman"/>
        </w:rPr>
        <w:t xml:space="preserve"> subjects (including academicians and scientists) with the help of spearman co-relation analysis.</w:t>
      </w:r>
    </w:p>
    <w:p w14:paraId="745A65B1" w14:textId="77777777" w:rsidR="00D969F9" w:rsidRPr="005459E6" w:rsidRDefault="00D969F9" w:rsidP="00042CB0">
      <w:pPr>
        <w:spacing w:after="120" w:line="360" w:lineRule="auto"/>
        <w:jc w:val="both"/>
        <w:rPr>
          <w:rFonts w:ascii="Times New Roman" w:hAnsi="Times New Roman" w:cs="Times New Roman"/>
          <w:i/>
          <w:iCs/>
        </w:rPr>
      </w:pPr>
      <w:r w:rsidRPr="005459E6">
        <w:rPr>
          <w:rFonts w:ascii="Times New Roman" w:hAnsi="Times New Roman" w:cs="Times New Roman"/>
          <w:i/>
          <w:iCs/>
        </w:rPr>
        <w:t>Spearman Correlation Results Among AGE, BMI, FOCUS, CIRCADIAN_RHYTHM, GENDER, STATE_OF_HEALTH, STRESS, ENERGY_LEVEL, LIFESTYLE, ENGAGEMENT, SLEEP, and OBSERVED_PRODUCTIVITY</w:t>
      </w:r>
    </w:p>
    <w:p w14:paraId="4AFC2C0A" w14:textId="77777777" w:rsidR="00D969F9" w:rsidRPr="005459E6" w:rsidRDefault="00D969F9" w:rsidP="00042CB0">
      <w:pPr>
        <w:spacing w:after="120" w:line="360" w:lineRule="auto"/>
        <w:jc w:val="both"/>
        <w:rPr>
          <w:rFonts w:ascii="Times New Roman" w:hAnsi="Times New Roman" w:cs="Times New Roman"/>
        </w:rPr>
      </w:pPr>
    </w:p>
    <w:tbl>
      <w:tblPr>
        <w:tblStyle w:val="NormalTablePHPDOCX"/>
        <w:tblW w:w="5000" w:type="pct"/>
        <w:tblInd w:w="108" w:type="dxa"/>
        <w:tblLook w:val="04A0" w:firstRow="1" w:lastRow="0" w:firstColumn="1" w:lastColumn="0" w:noHBand="0" w:noVBand="1"/>
      </w:tblPr>
      <w:tblGrid>
        <w:gridCol w:w="5707"/>
        <w:gridCol w:w="704"/>
        <w:gridCol w:w="1450"/>
        <w:gridCol w:w="684"/>
        <w:gridCol w:w="815"/>
      </w:tblGrid>
      <w:tr w:rsidR="005459E6" w:rsidRPr="005459E6" w14:paraId="7D3E5BE9" w14:textId="77777777" w:rsidTr="00562384">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4732557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Combination</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7105D4A0"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r</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07BAFDE2"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95% CI</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2BAA6F0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n</w:t>
            </w:r>
          </w:p>
        </w:tc>
        <w:tc>
          <w:tcPr>
            <w:tcW w:w="0" w:type="auto"/>
            <w:tcBorders>
              <w:top w:val="single" w:sz="6" w:space="0" w:color="000000"/>
              <w:left w:val="nil"/>
              <w:bottom w:val="single" w:sz="6" w:space="0" w:color="000000"/>
              <w:right w:val="nil"/>
            </w:tcBorders>
            <w:tcMar>
              <w:top w:w="30" w:type="dxa"/>
              <w:left w:w="108" w:type="dxa"/>
              <w:bottom w:w="30" w:type="dxa"/>
              <w:right w:w="108" w:type="dxa"/>
            </w:tcMar>
            <w:vAlign w:val="center"/>
            <w:hideMark/>
          </w:tcPr>
          <w:p w14:paraId="4472A55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i/>
                <w:iCs/>
                <w:position w:val="-3"/>
              </w:rPr>
              <w:t>p</w:t>
            </w:r>
          </w:p>
        </w:tc>
      </w:tr>
      <w:tr w:rsidR="005459E6" w:rsidRPr="005459E6" w14:paraId="2A822D60" w14:textId="77777777" w:rsidTr="00562384">
        <w:tc>
          <w:tcPr>
            <w:tcW w:w="0" w:type="auto"/>
            <w:tcMar>
              <w:top w:w="30" w:type="dxa"/>
              <w:left w:w="108" w:type="dxa"/>
              <w:bottom w:w="30" w:type="dxa"/>
              <w:right w:w="108" w:type="dxa"/>
            </w:tcMar>
            <w:vAlign w:val="center"/>
            <w:hideMark/>
          </w:tcPr>
          <w:p w14:paraId="5C590143"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AGE-OBSERVED_PRODUCTIVITY</w:t>
            </w:r>
          </w:p>
        </w:tc>
        <w:tc>
          <w:tcPr>
            <w:tcW w:w="0" w:type="auto"/>
            <w:tcMar>
              <w:top w:w="30" w:type="dxa"/>
              <w:left w:w="108" w:type="dxa"/>
              <w:bottom w:w="30" w:type="dxa"/>
              <w:right w:w="108" w:type="dxa"/>
            </w:tcMar>
            <w:vAlign w:val="center"/>
            <w:hideMark/>
          </w:tcPr>
          <w:p w14:paraId="5D925ED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0.18</w:t>
            </w:r>
          </w:p>
        </w:tc>
        <w:tc>
          <w:tcPr>
            <w:tcW w:w="0" w:type="auto"/>
            <w:tcMar>
              <w:top w:w="30" w:type="dxa"/>
              <w:left w:w="108" w:type="dxa"/>
              <w:bottom w:w="30" w:type="dxa"/>
              <w:right w:w="108" w:type="dxa"/>
            </w:tcMar>
            <w:vAlign w:val="center"/>
            <w:hideMark/>
          </w:tcPr>
          <w:p w14:paraId="534DA02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[0.13, 0.23]</w:t>
            </w:r>
          </w:p>
        </w:tc>
        <w:tc>
          <w:tcPr>
            <w:tcW w:w="0" w:type="auto"/>
            <w:tcMar>
              <w:top w:w="30" w:type="dxa"/>
              <w:left w:w="108" w:type="dxa"/>
              <w:bottom w:w="30" w:type="dxa"/>
              <w:right w:w="108" w:type="dxa"/>
            </w:tcMar>
            <w:vAlign w:val="center"/>
            <w:hideMark/>
          </w:tcPr>
          <w:p w14:paraId="64067CB1"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left w:w="108" w:type="dxa"/>
              <w:bottom w:w="30" w:type="dxa"/>
              <w:right w:w="108" w:type="dxa"/>
            </w:tcMar>
            <w:vAlign w:val="center"/>
            <w:hideMark/>
          </w:tcPr>
          <w:p w14:paraId="67EA81C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4A3C5F23" w14:textId="77777777" w:rsidTr="00562384">
        <w:tc>
          <w:tcPr>
            <w:tcW w:w="0" w:type="auto"/>
            <w:tcMar>
              <w:top w:w="30" w:type="dxa"/>
              <w:left w:w="108" w:type="dxa"/>
              <w:bottom w:w="30" w:type="dxa"/>
              <w:right w:w="108" w:type="dxa"/>
            </w:tcMar>
            <w:vAlign w:val="center"/>
            <w:hideMark/>
          </w:tcPr>
          <w:p w14:paraId="5F13938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BMI-OBSERVED_PRODUCTIVITY</w:t>
            </w:r>
          </w:p>
        </w:tc>
        <w:tc>
          <w:tcPr>
            <w:tcW w:w="0" w:type="auto"/>
            <w:tcMar>
              <w:top w:w="30" w:type="dxa"/>
              <w:left w:w="108" w:type="dxa"/>
              <w:bottom w:w="30" w:type="dxa"/>
              <w:right w:w="108" w:type="dxa"/>
            </w:tcMar>
            <w:vAlign w:val="center"/>
            <w:hideMark/>
          </w:tcPr>
          <w:p w14:paraId="0D1002E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0.16</w:t>
            </w:r>
          </w:p>
        </w:tc>
        <w:tc>
          <w:tcPr>
            <w:tcW w:w="0" w:type="auto"/>
            <w:tcMar>
              <w:top w:w="30" w:type="dxa"/>
              <w:left w:w="108" w:type="dxa"/>
              <w:bottom w:w="30" w:type="dxa"/>
              <w:right w:w="108" w:type="dxa"/>
            </w:tcMar>
            <w:vAlign w:val="center"/>
            <w:hideMark/>
          </w:tcPr>
          <w:p w14:paraId="3A4C35B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[0.11, 0.21]</w:t>
            </w:r>
          </w:p>
        </w:tc>
        <w:tc>
          <w:tcPr>
            <w:tcW w:w="0" w:type="auto"/>
            <w:tcMar>
              <w:top w:w="30" w:type="dxa"/>
              <w:left w:w="108" w:type="dxa"/>
              <w:bottom w:w="30" w:type="dxa"/>
              <w:right w:w="108" w:type="dxa"/>
            </w:tcMar>
            <w:vAlign w:val="center"/>
            <w:hideMark/>
          </w:tcPr>
          <w:p w14:paraId="18B60A4C"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left w:w="108" w:type="dxa"/>
              <w:bottom w:w="30" w:type="dxa"/>
              <w:right w:w="108" w:type="dxa"/>
            </w:tcMar>
            <w:vAlign w:val="center"/>
            <w:hideMark/>
          </w:tcPr>
          <w:p w14:paraId="1AB5C467"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76352599" w14:textId="77777777" w:rsidTr="00562384">
        <w:tc>
          <w:tcPr>
            <w:tcW w:w="0" w:type="auto"/>
            <w:tcMar>
              <w:top w:w="30" w:type="dxa"/>
              <w:left w:w="108" w:type="dxa"/>
              <w:bottom w:w="30" w:type="dxa"/>
              <w:right w:w="108" w:type="dxa"/>
            </w:tcMar>
            <w:vAlign w:val="center"/>
            <w:hideMark/>
          </w:tcPr>
          <w:p w14:paraId="091A92A4"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FOCUS-OBSERVED_PRODUCTIVITY</w:t>
            </w:r>
          </w:p>
        </w:tc>
        <w:tc>
          <w:tcPr>
            <w:tcW w:w="0" w:type="auto"/>
            <w:tcMar>
              <w:top w:w="30" w:type="dxa"/>
              <w:left w:w="108" w:type="dxa"/>
              <w:bottom w:w="30" w:type="dxa"/>
              <w:right w:w="108" w:type="dxa"/>
            </w:tcMar>
            <w:vAlign w:val="center"/>
            <w:hideMark/>
          </w:tcPr>
          <w:p w14:paraId="5B7857A5"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-0.12</w:t>
            </w:r>
          </w:p>
        </w:tc>
        <w:tc>
          <w:tcPr>
            <w:tcW w:w="0" w:type="auto"/>
            <w:tcMar>
              <w:top w:w="30" w:type="dxa"/>
              <w:left w:w="108" w:type="dxa"/>
              <w:bottom w:w="30" w:type="dxa"/>
              <w:right w:w="108" w:type="dxa"/>
            </w:tcMar>
            <w:vAlign w:val="center"/>
            <w:hideMark/>
          </w:tcPr>
          <w:p w14:paraId="32C74C61"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[-0.17, -0.07]</w:t>
            </w:r>
          </w:p>
        </w:tc>
        <w:tc>
          <w:tcPr>
            <w:tcW w:w="0" w:type="auto"/>
            <w:tcMar>
              <w:top w:w="30" w:type="dxa"/>
              <w:left w:w="108" w:type="dxa"/>
              <w:bottom w:w="30" w:type="dxa"/>
              <w:right w:w="108" w:type="dxa"/>
            </w:tcMar>
            <w:vAlign w:val="center"/>
            <w:hideMark/>
          </w:tcPr>
          <w:p w14:paraId="22C9ED3F"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left w:w="108" w:type="dxa"/>
              <w:bottom w:w="30" w:type="dxa"/>
              <w:right w:w="108" w:type="dxa"/>
            </w:tcMar>
            <w:vAlign w:val="center"/>
            <w:hideMark/>
          </w:tcPr>
          <w:p w14:paraId="379F52B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5459E6" w:rsidRPr="005459E6" w14:paraId="30B7D4F4" w14:textId="77777777" w:rsidTr="00562384">
        <w:tc>
          <w:tcPr>
            <w:tcW w:w="0" w:type="auto"/>
            <w:tcMar>
              <w:top w:w="30" w:type="dxa"/>
              <w:left w:w="108" w:type="dxa"/>
              <w:bottom w:w="30" w:type="dxa"/>
              <w:right w:w="108" w:type="dxa"/>
            </w:tcMar>
            <w:vAlign w:val="center"/>
            <w:hideMark/>
          </w:tcPr>
          <w:p w14:paraId="6FF046B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CIRCADIAN_RHYTHM-OBSERVED_PRODUCTIVITY</w:t>
            </w:r>
          </w:p>
        </w:tc>
        <w:tc>
          <w:tcPr>
            <w:tcW w:w="0" w:type="auto"/>
            <w:tcMar>
              <w:top w:w="30" w:type="dxa"/>
              <w:left w:w="108" w:type="dxa"/>
              <w:bottom w:w="30" w:type="dxa"/>
              <w:right w:w="108" w:type="dxa"/>
            </w:tcMar>
            <w:vAlign w:val="center"/>
            <w:hideMark/>
          </w:tcPr>
          <w:p w14:paraId="6FD6605A"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-0.30</w:t>
            </w:r>
          </w:p>
        </w:tc>
        <w:tc>
          <w:tcPr>
            <w:tcW w:w="0" w:type="auto"/>
            <w:tcMar>
              <w:top w:w="30" w:type="dxa"/>
              <w:left w:w="108" w:type="dxa"/>
              <w:bottom w:w="30" w:type="dxa"/>
              <w:right w:w="108" w:type="dxa"/>
            </w:tcMar>
            <w:vAlign w:val="center"/>
            <w:hideMark/>
          </w:tcPr>
          <w:p w14:paraId="0E3B569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[-0.34, -0.25]</w:t>
            </w:r>
          </w:p>
        </w:tc>
        <w:tc>
          <w:tcPr>
            <w:tcW w:w="0" w:type="auto"/>
            <w:tcMar>
              <w:top w:w="30" w:type="dxa"/>
              <w:left w:w="108" w:type="dxa"/>
              <w:bottom w:w="30" w:type="dxa"/>
              <w:right w:w="108" w:type="dxa"/>
            </w:tcMar>
            <w:vAlign w:val="center"/>
            <w:hideMark/>
          </w:tcPr>
          <w:p w14:paraId="1576402B"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left w:w="108" w:type="dxa"/>
              <w:bottom w:w="30" w:type="dxa"/>
              <w:right w:w="108" w:type="dxa"/>
            </w:tcMar>
            <w:vAlign w:val="center"/>
            <w:hideMark/>
          </w:tcPr>
          <w:p w14:paraId="74886C83"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r w:rsidR="006F7BC0" w:rsidRPr="005459E6" w14:paraId="4B8FBBCA" w14:textId="77777777" w:rsidTr="00562384">
        <w:tc>
          <w:tcPr>
            <w:tcW w:w="0" w:type="auto"/>
            <w:tcMar>
              <w:top w:w="30" w:type="dxa"/>
              <w:left w:w="108" w:type="dxa"/>
              <w:bottom w:w="30" w:type="dxa"/>
              <w:right w:w="108" w:type="dxa"/>
            </w:tcMar>
            <w:vAlign w:val="center"/>
            <w:hideMark/>
          </w:tcPr>
          <w:p w14:paraId="177155C2"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ENERGY_LEVEL-OBSERVED_PRODUCTIVITY</w:t>
            </w:r>
          </w:p>
        </w:tc>
        <w:tc>
          <w:tcPr>
            <w:tcW w:w="0" w:type="auto"/>
            <w:tcMar>
              <w:top w:w="30" w:type="dxa"/>
              <w:left w:w="108" w:type="dxa"/>
              <w:bottom w:w="30" w:type="dxa"/>
              <w:right w:w="108" w:type="dxa"/>
            </w:tcMar>
            <w:vAlign w:val="center"/>
            <w:hideMark/>
          </w:tcPr>
          <w:p w14:paraId="71F3A10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-0.81</w:t>
            </w:r>
          </w:p>
        </w:tc>
        <w:tc>
          <w:tcPr>
            <w:tcW w:w="0" w:type="auto"/>
            <w:tcMar>
              <w:top w:w="30" w:type="dxa"/>
              <w:left w:w="108" w:type="dxa"/>
              <w:bottom w:w="30" w:type="dxa"/>
              <w:right w:w="108" w:type="dxa"/>
            </w:tcMar>
            <w:vAlign w:val="center"/>
            <w:hideMark/>
          </w:tcPr>
          <w:p w14:paraId="2A759A88"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[-0.83, -0.80]</w:t>
            </w:r>
          </w:p>
        </w:tc>
        <w:tc>
          <w:tcPr>
            <w:tcW w:w="0" w:type="auto"/>
            <w:tcMar>
              <w:top w:w="30" w:type="dxa"/>
              <w:left w:w="108" w:type="dxa"/>
              <w:bottom w:w="30" w:type="dxa"/>
              <w:right w:w="108" w:type="dxa"/>
            </w:tcMar>
            <w:vAlign w:val="center"/>
            <w:hideMark/>
          </w:tcPr>
          <w:p w14:paraId="7CB61929"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1522</w:t>
            </w:r>
          </w:p>
        </w:tc>
        <w:tc>
          <w:tcPr>
            <w:tcW w:w="0" w:type="auto"/>
            <w:tcMar>
              <w:top w:w="30" w:type="dxa"/>
              <w:left w:w="108" w:type="dxa"/>
              <w:bottom w:w="30" w:type="dxa"/>
              <w:right w:w="108" w:type="dxa"/>
            </w:tcMar>
            <w:vAlign w:val="center"/>
            <w:hideMark/>
          </w:tcPr>
          <w:p w14:paraId="70F03E37" w14:textId="77777777" w:rsidR="00D969F9" w:rsidRPr="005459E6" w:rsidRDefault="00D969F9" w:rsidP="00042CB0">
            <w:pPr>
              <w:spacing w:after="0" w:line="360" w:lineRule="auto"/>
              <w:jc w:val="both"/>
              <w:rPr>
                <w:rFonts w:ascii="Times New Roman" w:hAnsi="Times New Roman" w:cs="Times New Roman"/>
              </w:rPr>
            </w:pPr>
            <w:r w:rsidRPr="005459E6">
              <w:rPr>
                <w:rFonts w:ascii="Times New Roman" w:hAnsi="Times New Roman" w:cs="Times New Roman"/>
                <w:position w:val="-3"/>
              </w:rPr>
              <w:t>&lt; .001</w:t>
            </w:r>
          </w:p>
        </w:tc>
      </w:tr>
    </w:tbl>
    <w:p w14:paraId="64241F4E" w14:textId="77777777" w:rsidR="00D969F9" w:rsidRPr="005459E6" w:rsidRDefault="00D969F9" w:rsidP="00042CB0">
      <w:pPr>
        <w:spacing w:line="360" w:lineRule="auto"/>
        <w:jc w:val="both"/>
        <w:rPr>
          <w:rFonts w:ascii="Times New Roman" w:hAnsi="Times New Roman" w:cs="Times New Roman"/>
        </w:rPr>
      </w:pPr>
    </w:p>
    <w:p w14:paraId="58D1D4E4" w14:textId="77777777" w:rsidR="00D969F9"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rPr>
        <w:t>A significant negative correlation was observed between FOCUS and OBSERVED_PRODUCTIVITY (r = -0.12, p &lt; .001, 95% CI = [-0.17, -0.07]). The correlation coefficient between FOCUS and OBSERVED_PRODUCTIVITY was -0.12, indicating a small effect size. This correlation indicates that as FOCUS increases, OBSERVED_PRODUCTIVITY tends to decrease.</w:t>
      </w:r>
    </w:p>
    <w:p w14:paraId="2AC05638" w14:textId="4987BA47" w:rsidR="008C2DE8" w:rsidRPr="005459E6" w:rsidRDefault="00D969F9" w:rsidP="00042CB0">
      <w:pPr>
        <w:spacing w:line="360" w:lineRule="auto"/>
        <w:jc w:val="both"/>
        <w:rPr>
          <w:rFonts w:ascii="Times New Roman" w:hAnsi="Times New Roman" w:cs="Times New Roman"/>
        </w:rPr>
      </w:pPr>
      <w:r w:rsidRPr="005459E6">
        <w:rPr>
          <w:rFonts w:ascii="Times New Roman" w:hAnsi="Times New Roman" w:cs="Times New Roman"/>
          <w:b/>
          <w:bCs/>
        </w:rPr>
        <w:t>STAGE IV confirmed that Psychological Well-being (driven by emotion such as Focus) impacts Workplace Productivity.</w:t>
      </w:r>
      <w:r w:rsidRPr="005459E6">
        <w:rPr>
          <w:rFonts w:ascii="Times New Roman" w:hAnsi="Times New Roman" w:cs="Times New Roman"/>
        </w:rPr>
        <w:t xml:space="preserve"> </w:t>
      </w:r>
    </w:p>
    <w:p w14:paraId="04E11BB4" w14:textId="5CCF6762" w:rsidR="00D969F9" w:rsidRPr="005459E6" w:rsidRDefault="00D969F9" w:rsidP="00042CB0">
      <w:pPr>
        <w:spacing w:line="360" w:lineRule="auto"/>
        <w:jc w:val="both"/>
        <w:rPr>
          <w:rFonts w:ascii="Times New Roman" w:hAnsi="Times New Roman" w:cs="Times New Roman"/>
          <w:i/>
          <w:iCs/>
        </w:rPr>
      </w:pPr>
      <w:r w:rsidRPr="005459E6">
        <w:rPr>
          <w:rFonts w:ascii="Times New Roman" w:hAnsi="Times New Roman" w:cs="Times New Roman"/>
          <w:i/>
          <w:iCs/>
        </w:rPr>
        <w:t xml:space="preserve">The same can further be extended for </w:t>
      </w:r>
      <w:r w:rsidR="00B4233C" w:rsidRPr="005459E6">
        <w:rPr>
          <w:rFonts w:ascii="Times New Roman" w:hAnsi="Times New Roman" w:cs="Times New Roman"/>
          <w:i/>
          <w:iCs/>
        </w:rPr>
        <w:t xml:space="preserve">the </w:t>
      </w:r>
      <w:r w:rsidRPr="005459E6">
        <w:rPr>
          <w:rFonts w:ascii="Times New Roman" w:hAnsi="Times New Roman" w:cs="Times New Roman"/>
          <w:i/>
          <w:iCs/>
        </w:rPr>
        <w:t>improve</w:t>
      </w:r>
      <w:r w:rsidR="008C2DE8" w:rsidRPr="005459E6">
        <w:rPr>
          <w:rFonts w:ascii="Times New Roman" w:hAnsi="Times New Roman" w:cs="Times New Roman"/>
          <w:i/>
          <w:iCs/>
        </w:rPr>
        <w:t xml:space="preserve">ment of </w:t>
      </w:r>
      <w:r w:rsidRPr="005459E6">
        <w:rPr>
          <w:rFonts w:ascii="Times New Roman" w:hAnsi="Times New Roman" w:cs="Times New Roman"/>
          <w:i/>
          <w:iCs/>
        </w:rPr>
        <w:t>organizational performance.</w:t>
      </w:r>
    </w:p>
    <w:p w14:paraId="4AF078F2" w14:textId="77777777" w:rsidR="00D969F9" w:rsidRPr="005459E6" w:rsidRDefault="00D969F9" w:rsidP="00042CB0">
      <w:pPr>
        <w:spacing w:line="360" w:lineRule="auto"/>
        <w:jc w:val="both"/>
        <w:rPr>
          <w:rFonts w:ascii="Times New Roman" w:hAnsi="Times New Roman" w:cs="Times New Roman"/>
        </w:rPr>
      </w:pPr>
    </w:p>
    <w:p w14:paraId="481926C8" w14:textId="77777777" w:rsidR="00720DBF" w:rsidRPr="005459E6" w:rsidRDefault="00720DBF" w:rsidP="00042CB0">
      <w:pPr>
        <w:spacing w:line="360" w:lineRule="auto"/>
        <w:jc w:val="both"/>
        <w:rPr>
          <w:rFonts w:ascii="Times New Roman" w:hAnsi="Times New Roman" w:cs="Times New Roman"/>
        </w:rPr>
      </w:pPr>
    </w:p>
    <w:p w14:paraId="09F75DD3" w14:textId="518EEFDD" w:rsidR="003C0C38" w:rsidRPr="005459E6" w:rsidRDefault="003C0C38" w:rsidP="00042CB0">
      <w:pPr>
        <w:spacing w:line="360" w:lineRule="auto"/>
        <w:jc w:val="both"/>
        <w:rPr>
          <w:rFonts w:ascii="Times New Roman" w:hAnsi="Times New Roman" w:cs="Times New Roman"/>
        </w:rPr>
      </w:pPr>
    </w:p>
    <w:p w14:paraId="7394E2CC" w14:textId="77777777" w:rsidR="00823645" w:rsidRPr="005459E6" w:rsidRDefault="00823645" w:rsidP="00042CB0">
      <w:pPr>
        <w:spacing w:line="360" w:lineRule="auto"/>
        <w:jc w:val="both"/>
        <w:rPr>
          <w:rFonts w:ascii="Times New Roman" w:hAnsi="Times New Roman" w:cs="Times New Roman"/>
        </w:rPr>
      </w:pPr>
    </w:p>
    <w:p w14:paraId="4DC35667" w14:textId="77777777" w:rsidR="00343B85" w:rsidRPr="005459E6" w:rsidRDefault="00343B85" w:rsidP="00042CB0">
      <w:pPr>
        <w:spacing w:line="360" w:lineRule="auto"/>
        <w:jc w:val="both"/>
        <w:rPr>
          <w:rFonts w:ascii="Times New Roman" w:hAnsi="Times New Roman" w:cs="Times New Roman"/>
        </w:rPr>
      </w:pPr>
    </w:p>
    <w:p w14:paraId="622E0745" w14:textId="4122DBD5" w:rsidR="003261F0" w:rsidRPr="005459E6" w:rsidRDefault="003C0C38" w:rsidP="00042CB0">
      <w:pPr>
        <w:pStyle w:val="Titolo1"/>
        <w:spacing w:line="360" w:lineRule="auto"/>
        <w:jc w:val="both"/>
        <w:rPr>
          <w:rFonts w:ascii="Times New Roman" w:hAnsi="Times New Roman" w:cs="Times New Roman"/>
          <w:b/>
          <w:bCs/>
          <w:color w:val="auto"/>
          <w:sz w:val="22"/>
          <w:szCs w:val="22"/>
        </w:rPr>
      </w:pPr>
      <w:bookmarkStart w:id="321" w:name="_Toc87349535"/>
      <w:bookmarkStart w:id="322" w:name="_Toc87349648"/>
      <w:bookmarkStart w:id="323" w:name="_Toc87349755"/>
      <w:bookmarkStart w:id="324" w:name="_Toc107248320"/>
      <w:r w:rsidRPr="005459E6">
        <w:rPr>
          <w:rFonts w:ascii="Times New Roman" w:hAnsi="Times New Roman" w:cs="Times New Roman"/>
          <w:b/>
          <w:bCs/>
          <w:color w:val="auto"/>
          <w:sz w:val="22"/>
          <w:szCs w:val="22"/>
        </w:rPr>
        <w:t>PREDICTIVE MODELLING</w:t>
      </w:r>
      <w:bookmarkEnd w:id="321"/>
      <w:bookmarkEnd w:id="322"/>
      <w:bookmarkEnd w:id="323"/>
      <w:bookmarkEnd w:id="324"/>
    </w:p>
    <w:p w14:paraId="5DD956CA" w14:textId="4021DE6E" w:rsidR="003261F0" w:rsidRPr="005459E6" w:rsidRDefault="003261F0" w:rsidP="00042CB0">
      <w:pPr>
        <w:spacing w:line="360" w:lineRule="auto"/>
        <w:jc w:val="both"/>
        <w:rPr>
          <w:rFonts w:ascii="Times New Roman" w:hAnsi="Times New Roman" w:cs="Times New Roman"/>
        </w:rPr>
      </w:pPr>
      <w:r w:rsidRPr="005459E6">
        <w:rPr>
          <w:rFonts w:ascii="Times New Roman" w:hAnsi="Times New Roman" w:cs="Times New Roman"/>
        </w:rPr>
        <w:t xml:space="preserve">The data analysis suggested that </w:t>
      </w:r>
      <w:r w:rsidR="008C2DE8" w:rsidRPr="005459E6">
        <w:rPr>
          <w:rFonts w:ascii="Times New Roman" w:hAnsi="Times New Roman" w:cs="Times New Roman"/>
        </w:rPr>
        <w:t>‘</w:t>
      </w:r>
      <w:r w:rsidRPr="005459E6">
        <w:rPr>
          <w:rFonts w:ascii="Times New Roman" w:hAnsi="Times New Roman" w:cs="Times New Roman"/>
        </w:rPr>
        <w:t>Stress</w:t>
      </w:r>
      <w:r w:rsidR="008C2DE8" w:rsidRPr="005459E6">
        <w:rPr>
          <w:rFonts w:ascii="Times New Roman" w:hAnsi="Times New Roman" w:cs="Times New Roman"/>
        </w:rPr>
        <w:t>’</w:t>
      </w:r>
      <w:r w:rsidRPr="005459E6">
        <w:rPr>
          <w:rFonts w:ascii="Times New Roman" w:hAnsi="Times New Roman" w:cs="Times New Roman"/>
        </w:rPr>
        <w:t xml:space="preserve"> is relative &amp; </w:t>
      </w:r>
      <w:r w:rsidR="008C2DE8" w:rsidRPr="005459E6">
        <w:rPr>
          <w:rFonts w:ascii="Times New Roman" w:hAnsi="Times New Roman" w:cs="Times New Roman"/>
        </w:rPr>
        <w:t>it</w:t>
      </w:r>
      <w:r w:rsidRPr="005459E6">
        <w:rPr>
          <w:rFonts w:ascii="Times New Roman" w:hAnsi="Times New Roman" w:cs="Times New Roman"/>
        </w:rPr>
        <w:t xml:space="preserve"> is also not a constant indicator when measured by EEG. It has several mediators, and their holistic consideration is necessary.  With B</w:t>
      </w:r>
      <w:r w:rsidR="008C2DE8" w:rsidRPr="005459E6">
        <w:rPr>
          <w:rFonts w:ascii="Times New Roman" w:hAnsi="Times New Roman" w:cs="Times New Roman"/>
        </w:rPr>
        <w:t xml:space="preserve">rain </w:t>
      </w:r>
      <w:r w:rsidRPr="005459E6">
        <w:rPr>
          <w:rFonts w:ascii="Times New Roman" w:hAnsi="Times New Roman" w:cs="Times New Roman"/>
        </w:rPr>
        <w:t>C</w:t>
      </w:r>
      <w:r w:rsidR="008C2DE8" w:rsidRPr="005459E6">
        <w:rPr>
          <w:rFonts w:ascii="Times New Roman" w:hAnsi="Times New Roman" w:cs="Times New Roman"/>
        </w:rPr>
        <w:t xml:space="preserve">omputer </w:t>
      </w:r>
      <w:r w:rsidRPr="005459E6">
        <w:rPr>
          <w:rFonts w:ascii="Times New Roman" w:hAnsi="Times New Roman" w:cs="Times New Roman"/>
        </w:rPr>
        <w:t>I</w:t>
      </w:r>
      <w:r w:rsidR="008C2DE8" w:rsidRPr="005459E6">
        <w:rPr>
          <w:rFonts w:ascii="Times New Roman" w:hAnsi="Times New Roman" w:cs="Times New Roman"/>
        </w:rPr>
        <w:t>nterface</w:t>
      </w:r>
      <w:r w:rsidRPr="005459E6">
        <w:rPr>
          <w:rFonts w:ascii="Times New Roman" w:hAnsi="Times New Roman" w:cs="Times New Roman"/>
        </w:rPr>
        <w:t xml:space="preserve">, EEG stress needs to be simultaneously validated and confirmed with the subject (via Survey). Then the predictive model can be developed using personalized data to confirm the actual stress levels. </w:t>
      </w:r>
    </w:p>
    <w:p w14:paraId="57B9E489" w14:textId="658E94E5" w:rsidR="003261F0" w:rsidRPr="005459E6" w:rsidRDefault="003261F0" w:rsidP="00042CB0">
      <w:pPr>
        <w:spacing w:line="360" w:lineRule="auto"/>
        <w:jc w:val="both"/>
        <w:rPr>
          <w:rFonts w:ascii="Times New Roman" w:hAnsi="Times New Roman" w:cs="Times New Roman"/>
        </w:rPr>
      </w:pPr>
      <w:r w:rsidRPr="005459E6">
        <w:rPr>
          <w:rFonts w:ascii="Times New Roman" w:hAnsi="Times New Roman" w:cs="Times New Roman"/>
        </w:rPr>
        <w:t>As EEG data has thousands of instances recorded in a second</w:t>
      </w:r>
      <w:r w:rsidR="004970FE" w:rsidRPr="005459E6">
        <w:rPr>
          <w:rFonts w:ascii="Times New Roman" w:hAnsi="Times New Roman" w:cs="Times New Roman"/>
        </w:rPr>
        <w:t>,</w:t>
      </w:r>
      <w:r w:rsidRPr="005459E6">
        <w:rPr>
          <w:rFonts w:ascii="Times New Roman" w:hAnsi="Times New Roman" w:cs="Times New Roman"/>
        </w:rPr>
        <w:t xml:space="preserve"> it becomes extremely difficult for </w:t>
      </w:r>
      <w:r w:rsidR="004970FE" w:rsidRPr="005459E6">
        <w:rPr>
          <w:rFonts w:ascii="Times New Roman" w:hAnsi="Times New Roman" w:cs="Times New Roman"/>
        </w:rPr>
        <w:t xml:space="preserve">a </w:t>
      </w:r>
      <w:r w:rsidRPr="005459E6">
        <w:rPr>
          <w:rFonts w:ascii="Times New Roman" w:hAnsi="Times New Roman" w:cs="Times New Roman"/>
        </w:rPr>
        <w:t xml:space="preserve">health professional to reflect on </w:t>
      </w:r>
      <w:r w:rsidR="004970FE" w:rsidRPr="005459E6">
        <w:rPr>
          <w:rFonts w:ascii="Times New Roman" w:hAnsi="Times New Roman" w:cs="Times New Roman"/>
        </w:rPr>
        <w:t xml:space="preserve">the </w:t>
      </w:r>
      <w:r w:rsidRPr="005459E6">
        <w:rPr>
          <w:rFonts w:ascii="Times New Roman" w:hAnsi="Times New Roman" w:cs="Times New Roman"/>
        </w:rPr>
        <w:t xml:space="preserve">(tremendous) volume of available data. Hence this part of </w:t>
      </w:r>
      <w:r w:rsidR="004970FE" w:rsidRPr="005459E6">
        <w:rPr>
          <w:rFonts w:ascii="Times New Roman" w:hAnsi="Times New Roman" w:cs="Times New Roman"/>
        </w:rPr>
        <w:t xml:space="preserve">the </w:t>
      </w:r>
      <w:r w:rsidRPr="005459E6">
        <w:rPr>
          <w:rFonts w:ascii="Times New Roman" w:hAnsi="Times New Roman" w:cs="Times New Roman"/>
        </w:rPr>
        <w:t>study was dedicated to Predictive Modelling.</w:t>
      </w:r>
    </w:p>
    <w:p w14:paraId="2FDF0FE0" w14:textId="77777777" w:rsidR="003261F0" w:rsidRPr="005459E6" w:rsidRDefault="003261F0" w:rsidP="00042CB0">
      <w:pPr>
        <w:spacing w:line="360" w:lineRule="auto"/>
        <w:jc w:val="both"/>
        <w:rPr>
          <w:rFonts w:ascii="Times New Roman" w:hAnsi="Times New Roman" w:cs="Times New Roman"/>
        </w:rPr>
      </w:pPr>
    </w:p>
    <w:p w14:paraId="28A9FF1E" w14:textId="3FC6B8FC"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325" w:name="_Toc73129038"/>
      <w:bookmarkStart w:id="326" w:name="_Toc83834245"/>
      <w:bookmarkStart w:id="327" w:name="_Toc85542455"/>
      <w:bookmarkStart w:id="328" w:name="_Toc87349536"/>
      <w:bookmarkStart w:id="329" w:name="_Toc87349649"/>
      <w:bookmarkStart w:id="330" w:name="_Toc87349756"/>
      <w:bookmarkStart w:id="331" w:name="_Toc107248321"/>
      <w:r w:rsidRPr="005459E6">
        <w:rPr>
          <w:rFonts w:ascii="Times New Roman" w:hAnsi="Times New Roman" w:cs="Times New Roman"/>
          <w:color w:val="auto"/>
          <w:sz w:val="22"/>
          <w:szCs w:val="22"/>
        </w:rPr>
        <w:t xml:space="preserve">Data </w:t>
      </w:r>
      <w:r w:rsidR="00872523" w:rsidRPr="005459E6">
        <w:rPr>
          <w:rFonts w:ascii="Times New Roman" w:hAnsi="Times New Roman" w:cs="Times New Roman"/>
          <w:color w:val="auto"/>
          <w:sz w:val="22"/>
          <w:szCs w:val="22"/>
        </w:rPr>
        <w:t>P</w:t>
      </w:r>
      <w:r w:rsidRPr="005459E6">
        <w:rPr>
          <w:rFonts w:ascii="Times New Roman" w:hAnsi="Times New Roman" w:cs="Times New Roman"/>
          <w:color w:val="auto"/>
          <w:sz w:val="22"/>
          <w:szCs w:val="22"/>
        </w:rPr>
        <w:t>re-processing</w:t>
      </w:r>
      <w:bookmarkStart w:id="332" w:name="_Toc73129039"/>
      <w:bookmarkEnd w:id="325"/>
      <w:bookmarkEnd w:id="326"/>
      <w:bookmarkEnd w:id="327"/>
      <w:bookmarkEnd w:id="328"/>
      <w:bookmarkEnd w:id="329"/>
      <w:bookmarkEnd w:id="330"/>
      <w:bookmarkEnd w:id="331"/>
    </w:p>
    <w:p w14:paraId="1CACECFB" w14:textId="77777777" w:rsidR="003C0C38" w:rsidRPr="005459E6" w:rsidRDefault="003C0C38" w:rsidP="00042CB0">
      <w:pPr>
        <w:pStyle w:val="Titolo3"/>
        <w:spacing w:line="360" w:lineRule="auto"/>
        <w:jc w:val="both"/>
        <w:rPr>
          <w:rFonts w:ascii="Times New Roman" w:hAnsi="Times New Roman" w:cs="Times New Roman"/>
          <w:color w:val="auto"/>
          <w:sz w:val="22"/>
          <w:szCs w:val="22"/>
        </w:rPr>
      </w:pPr>
      <w:bookmarkStart w:id="333" w:name="_Toc83834246"/>
      <w:bookmarkStart w:id="334" w:name="_Toc85542456"/>
      <w:bookmarkStart w:id="335" w:name="_Toc87349537"/>
      <w:bookmarkStart w:id="336" w:name="_Toc87349650"/>
      <w:bookmarkStart w:id="337" w:name="_Toc87349757"/>
      <w:bookmarkStart w:id="338" w:name="_Toc107248322"/>
      <w:r w:rsidRPr="005459E6">
        <w:rPr>
          <w:rFonts w:ascii="Times New Roman" w:hAnsi="Times New Roman" w:cs="Times New Roman"/>
          <w:color w:val="auto"/>
          <w:sz w:val="22"/>
          <w:szCs w:val="22"/>
        </w:rPr>
        <w:t xml:space="preserve">Data </w:t>
      </w:r>
      <w:bookmarkEnd w:id="332"/>
      <w:bookmarkEnd w:id="333"/>
      <w:bookmarkEnd w:id="334"/>
      <w:bookmarkEnd w:id="335"/>
      <w:bookmarkEnd w:id="336"/>
      <w:bookmarkEnd w:id="337"/>
      <w:r w:rsidRPr="005459E6">
        <w:rPr>
          <w:rFonts w:ascii="Times New Roman" w:hAnsi="Times New Roman" w:cs="Times New Roman"/>
          <w:color w:val="auto"/>
          <w:sz w:val="22"/>
          <w:szCs w:val="22"/>
        </w:rPr>
        <w:t>Cleansing &amp; Standardization</w:t>
      </w:r>
      <w:bookmarkEnd w:id="338"/>
    </w:p>
    <w:p w14:paraId="310C0CCF" w14:textId="4EE002C5"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Frequencies capture</w:t>
      </w:r>
      <w:r w:rsidR="008C2DE8" w:rsidRPr="005459E6">
        <w:rPr>
          <w:rFonts w:ascii="Times New Roman" w:hAnsi="Times New Roman" w:cs="Times New Roman"/>
        </w:rPr>
        <w:t>d</w:t>
      </w:r>
      <w:r w:rsidRPr="005459E6">
        <w:rPr>
          <w:rFonts w:ascii="Times New Roman" w:hAnsi="Times New Roman" w:cs="Times New Roman"/>
        </w:rPr>
        <w:t xml:space="preserve"> from electrode</w:t>
      </w:r>
      <w:r w:rsidR="004970FE" w:rsidRPr="005459E6">
        <w:rPr>
          <w:rFonts w:ascii="Times New Roman" w:hAnsi="Times New Roman" w:cs="Times New Roman"/>
        </w:rPr>
        <w:t>s</w:t>
      </w:r>
      <w:r w:rsidRPr="005459E6">
        <w:rPr>
          <w:rFonts w:ascii="Times New Roman" w:hAnsi="Times New Roman" w:cs="Times New Roman"/>
        </w:rPr>
        <w:t xml:space="preserve"> attached to BCI (Emotiv) were converted into the CSV format.</w:t>
      </w:r>
    </w:p>
    <w:p w14:paraId="59471658" w14:textId="5A42B8F2" w:rsidR="003C0C38" w:rsidRPr="005459E6" w:rsidRDefault="008C2DE8" w:rsidP="00042CB0">
      <w:pPr>
        <w:spacing w:line="360" w:lineRule="auto"/>
        <w:jc w:val="both"/>
        <w:rPr>
          <w:rFonts w:ascii="Times New Roman" w:hAnsi="Times New Roman" w:cs="Times New Roman"/>
        </w:rPr>
      </w:pPr>
      <w:r w:rsidRPr="005459E6">
        <w:rPr>
          <w:rFonts w:ascii="Times New Roman" w:hAnsi="Times New Roman" w:cs="Times New Roman"/>
        </w:rPr>
        <w:t>The l</w:t>
      </w:r>
      <w:r w:rsidR="003C0C38" w:rsidRPr="005459E6">
        <w:rPr>
          <w:rFonts w:ascii="Times New Roman" w:hAnsi="Times New Roman" w:cs="Times New Roman"/>
        </w:rPr>
        <w:t xml:space="preserve">evel of measurements (Nominal, Ordinal and Scale) </w:t>
      </w:r>
      <w:r w:rsidRPr="005459E6">
        <w:rPr>
          <w:rFonts w:ascii="Times New Roman" w:hAnsi="Times New Roman" w:cs="Times New Roman"/>
        </w:rPr>
        <w:t>was</w:t>
      </w:r>
      <w:r w:rsidR="003C0C38" w:rsidRPr="005459E6">
        <w:rPr>
          <w:rFonts w:ascii="Times New Roman" w:hAnsi="Times New Roman" w:cs="Times New Roman"/>
        </w:rPr>
        <w:t xml:space="preserve"> checked.</w:t>
      </w:r>
      <w:r w:rsidR="002E0D74" w:rsidRPr="005459E6">
        <w:rPr>
          <w:rFonts w:ascii="Times New Roman" w:hAnsi="Times New Roman" w:cs="Times New Roman"/>
        </w:rPr>
        <w:t xml:space="preserve"> </w:t>
      </w:r>
      <w:r w:rsidR="003C0C38" w:rsidRPr="005459E6">
        <w:rPr>
          <w:rFonts w:ascii="Times New Roman" w:hAnsi="Times New Roman" w:cs="Times New Roman"/>
        </w:rPr>
        <w:t>These values and related metrics were converted in</w:t>
      </w:r>
      <w:r w:rsidR="001D1AD4" w:rsidRPr="005459E6">
        <w:rPr>
          <w:rFonts w:ascii="Times New Roman" w:hAnsi="Times New Roman" w:cs="Times New Roman"/>
        </w:rPr>
        <w:t>to</w:t>
      </w:r>
      <w:r w:rsidR="003C0C38" w:rsidRPr="005459E6">
        <w:rPr>
          <w:rFonts w:ascii="Times New Roman" w:hAnsi="Times New Roman" w:cs="Times New Roman"/>
        </w:rPr>
        <w:t xml:space="preserve"> scaled value</w:t>
      </w:r>
      <w:r w:rsidR="004970FE" w:rsidRPr="005459E6">
        <w:rPr>
          <w:rFonts w:ascii="Times New Roman" w:hAnsi="Times New Roman" w:cs="Times New Roman"/>
        </w:rPr>
        <w:t>s</w:t>
      </w:r>
      <w:r w:rsidR="003C0C38" w:rsidRPr="005459E6">
        <w:rPr>
          <w:rFonts w:ascii="Times New Roman" w:hAnsi="Times New Roman" w:cs="Times New Roman"/>
        </w:rPr>
        <w:t xml:space="preserve"> for ease of measurement.</w:t>
      </w:r>
    </w:p>
    <w:p w14:paraId="1731234F" w14:textId="77777777" w:rsidR="003C0C38" w:rsidRPr="005459E6" w:rsidRDefault="003C0C38" w:rsidP="00042CB0">
      <w:pPr>
        <w:spacing w:line="360" w:lineRule="auto"/>
        <w:jc w:val="both"/>
        <w:rPr>
          <w:rFonts w:ascii="Times New Roman" w:hAnsi="Times New Roman" w:cs="Times New Roman"/>
        </w:rPr>
      </w:pPr>
    </w:p>
    <w:p w14:paraId="53245268" w14:textId="6376E79D" w:rsidR="003C0C38" w:rsidRPr="005459E6" w:rsidRDefault="003C0C38" w:rsidP="00042CB0">
      <w:pPr>
        <w:pStyle w:val="Titolo3"/>
        <w:spacing w:line="360" w:lineRule="auto"/>
        <w:jc w:val="both"/>
        <w:rPr>
          <w:rFonts w:ascii="Times New Roman" w:hAnsi="Times New Roman" w:cs="Times New Roman"/>
          <w:color w:val="auto"/>
          <w:sz w:val="22"/>
          <w:szCs w:val="22"/>
        </w:rPr>
      </w:pPr>
      <w:bookmarkStart w:id="339" w:name="_Toc73129040"/>
      <w:bookmarkStart w:id="340" w:name="_Toc83834247"/>
      <w:bookmarkStart w:id="341" w:name="_Toc85542458"/>
      <w:bookmarkStart w:id="342" w:name="_Toc87349539"/>
      <w:bookmarkStart w:id="343" w:name="_Toc87349652"/>
      <w:bookmarkStart w:id="344" w:name="_Toc87349759"/>
      <w:bookmarkStart w:id="345" w:name="_Toc107248323"/>
      <w:r w:rsidRPr="005459E6">
        <w:rPr>
          <w:rFonts w:ascii="Times New Roman" w:hAnsi="Times New Roman" w:cs="Times New Roman"/>
          <w:color w:val="auto"/>
          <w:sz w:val="22"/>
          <w:szCs w:val="22"/>
        </w:rPr>
        <w:t>Data Conversion</w:t>
      </w:r>
      <w:bookmarkEnd w:id="339"/>
      <w:bookmarkEnd w:id="340"/>
      <w:bookmarkEnd w:id="341"/>
      <w:bookmarkEnd w:id="342"/>
      <w:bookmarkEnd w:id="343"/>
      <w:bookmarkEnd w:id="344"/>
      <w:r w:rsidR="007615A1" w:rsidRPr="005459E6">
        <w:rPr>
          <w:rFonts w:ascii="Times New Roman" w:hAnsi="Times New Roman" w:cs="Times New Roman"/>
          <w:color w:val="auto"/>
          <w:sz w:val="22"/>
          <w:szCs w:val="22"/>
        </w:rPr>
        <w:t xml:space="preserve"> and Feeding</w:t>
      </w:r>
      <w:bookmarkEnd w:id="345"/>
    </w:p>
    <w:p w14:paraId="5F631AD3" w14:textId="07A260D3" w:rsidR="007615A1" w:rsidRPr="005459E6" w:rsidRDefault="007615A1" w:rsidP="00042CB0">
      <w:pPr>
        <w:spacing w:line="360" w:lineRule="auto"/>
        <w:jc w:val="both"/>
        <w:rPr>
          <w:rFonts w:ascii="Times New Roman" w:hAnsi="Times New Roman" w:cs="Times New Roman"/>
        </w:rPr>
      </w:pPr>
      <w:r w:rsidRPr="005459E6">
        <w:rPr>
          <w:rFonts w:ascii="Times New Roman" w:hAnsi="Times New Roman" w:cs="Times New Roman"/>
        </w:rPr>
        <w:t>Univariate outliers were removed outside the range of +/- 3.29 standard variation from the mean.</w:t>
      </w:r>
    </w:p>
    <w:p w14:paraId="68E46D18" w14:textId="73369934" w:rsidR="003C0C38" w:rsidRPr="005459E6" w:rsidRDefault="007615A1" w:rsidP="00042CB0">
      <w:pPr>
        <w:spacing w:line="360" w:lineRule="auto"/>
        <w:jc w:val="both"/>
        <w:rPr>
          <w:rFonts w:ascii="Times New Roman" w:hAnsi="Times New Roman" w:cs="Times New Roman"/>
        </w:rPr>
      </w:pPr>
      <w:r w:rsidRPr="005459E6">
        <w:rPr>
          <w:rFonts w:ascii="Times New Roman" w:hAnsi="Times New Roman" w:cs="Times New Roman"/>
        </w:rPr>
        <w:t>Multivariate outliers with extreme observations from a set of two or more scale level variable</w:t>
      </w:r>
      <w:r w:rsidR="004970FE" w:rsidRPr="005459E6">
        <w:rPr>
          <w:rFonts w:ascii="Times New Roman" w:hAnsi="Times New Roman" w:cs="Times New Roman"/>
        </w:rPr>
        <w:t>s</w:t>
      </w:r>
      <w:r w:rsidRPr="005459E6">
        <w:rPr>
          <w:rFonts w:ascii="Times New Roman" w:hAnsi="Times New Roman" w:cs="Times New Roman"/>
        </w:rPr>
        <w:t xml:space="preserve"> were removed.</w:t>
      </w:r>
      <w:r w:rsidR="002E0D74" w:rsidRPr="005459E6">
        <w:rPr>
          <w:rFonts w:ascii="Times New Roman" w:hAnsi="Times New Roman" w:cs="Times New Roman"/>
        </w:rPr>
        <w:t xml:space="preserve"> </w:t>
      </w:r>
      <w:r w:rsidR="003C0C38" w:rsidRPr="005459E6">
        <w:rPr>
          <w:rFonts w:ascii="Times New Roman" w:hAnsi="Times New Roman" w:cs="Times New Roman"/>
        </w:rPr>
        <w:t xml:space="preserve">As few values were missing from </w:t>
      </w:r>
      <w:r w:rsidR="00B4233C" w:rsidRPr="005459E6">
        <w:rPr>
          <w:rFonts w:ascii="Times New Roman" w:hAnsi="Times New Roman" w:cs="Times New Roman"/>
        </w:rPr>
        <w:t xml:space="preserve">the </w:t>
      </w:r>
      <w:r w:rsidR="003C0C38" w:rsidRPr="005459E6">
        <w:rPr>
          <w:rFonts w:ascii="Times New Roman" w:hAnsi="Times New Roman" w:cs="Times New Roman"/>
        </w:rPr>
        <w:t xml:space="preserve">collected data, data imputation was carried out </w:t>
      </w:r>
      <w:r w:rsidR="003C0C38" w:rsidRPr="005459E6">
        <w:rPr>
          <w:rFonts w:ascii="Times New Roman" w:hAnsi="Times New Roman" w:cs="Times New Roman"/>
        </w:rPr>
        <w:fldChar w:fldCharType="begin" w:fldLock="1"/>
      </w:r>
      <w:r w:rsidR="003C0C38" w:rsidRPr="005459E6">
        <w:rPr>
          <w:rFonts w:ascii="Times New Roman" w:hAnsi="Times New Roman" w:cs="Times New Roman"/>
        </w:rPr>
        <w:instrText>ADDIN CSL_CITATION {"citationItems":[{"id":"ITEM-1","itemData":{"DOI":"10.1177/1094428103255532","abstract":"Missing data is a common problem in psychological research. Missing data can occur due to attrition in a longitudinal study or non-response to questionnaire items in a laboratory or field setting. Improper treatments of missing data (e.g., listwise deletion, mean imputation) can lead to biased statistical inference using complete case analysis statistical techniques. This paper presents a method for dealing with missing data, multiple imputation (Rubin, 1987; Schafer, 1997), that allows for valid statistical inference with complete case statistical analysis. Software for implementing multiple imputation under a multivariate normal model is available (Schafer, 1997; King, Honaker, Joseph &amp; Scheve, 1999) and should be routinely used for imputing missing data. We illustrate the application of these techniques using data from the HomeNet project (Kraut, Patterson, Lundmark, Kiesler, Mukhopadhyay &amp; Scherlis, 1998). Any social or psychological research which makes use of collect...","author":[{"dropping-particle":"","family":"Fichman","given":"Mark","non-dropping-particle":"","parse-names":false,"suffix":""},{"dropping-particle":"","family":"Cummings","given":"Jonathon","non-dropping-particle":"","parse-names":false,"suffix":""}],"container-title":"Organizational Research Methods","id":"ITEM-1","issued":{"date-parts":[["2000","4","13"]]},"title":"Multiple Imputation for Missing Data: Making the Most of What You Know","type":"article-journal","volume":"6"},"uris":["http://www.mendeley.com/documents/?uuid=022e1e70-0c19-490b-96bb-ff2225213116"]}],"mendeley":{"formattedCitation":"(Fichman &amp; Cummings, 2000)","plainTextFormattedCitation":"(Fichman &amp; Cummings, 2000)","previouslyFormattedCitation":"(Fichman &amp; Cummings, 2000)"},"properties":{"noteIndex":0},"schema":"https://github.com/citation-style-language/schema/raw/master/csl-citation.json"}</w:instrText>
      </w:r>
      <w:r w:rsidR="003C0C38" w:rsidRPr="005459E6">
        <w:rPr>
          <w:rFonts w:ascii="Times New Roman" w:hAnsi="Times New Roman" w:cs="Times New Roman"/>
        </w:rPr>
        <w:fldChar w:fldCharType="separate"/>
      </w:r>
      <w:r w:rsidR="003C0C38" w:rsidRPr="005459E6">
        <w:rPr>
          <w:rFonts w:ascii="Times New Roman" w:hAnsi="Times New Roman" w:cs="Times New Roman"/>
          <w:noProof/>
        </w:rPr>
        <w:t>(Fichman &amp; Cummings, 2000)</w:t>
      </w:r>
      <w:r w:rsidR="003C0C38" w:rsidRPr="005459E6">
        <w:rPr>
          <w:rFonts w:ascii="Times New Roman" w:hAnsi="Times New Roman" w:cs="Times New Roman"/>
        </w:rPr>
        <w:fldChar w:fldCharType="end"/>
      </w:r>
      <w:r w:rsidR="003C0C38" w:rsidRPr="005459E6">
        <w:rPr>
          <w:rFonts w:ascii="Times New Roman" w:hAnsi="Times New Roman" w:cs="Times New Roman"/>
        </w:rPr>
        <w:t>.</w:t>
      </w:r>
    </w:p>
    <w:p w14:paraId="1E3A258F" w14:textId="7F5442C8"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The output was then fed to ML modeler tools (BigML).</w:t>
      </w:r>
    </w:p>
    <w:p w14:paraId="37BFB1BF" w14:textId="77777777" w:rsidR="003C0C38" w:rsidRPr="005459E6" w:rsidRDefault="003C0C38" w:rsidP="00042CB0">
      <w:pPr>
        <w:spacing w:line="360" w:lineRule="auto"/>
        <w:jc w:val="both"/>
        <w:rPr>
          <w:rFonts w:ascii="Times New Roman" w:hAnsi="Times New Roman" w:cs="Times New Roman"/>
        </w:rPr>
      </w:pPr>
    </w:p>
    <w:p w14:paraId="5012BB36" w14:textId="77777777" w:rsidR="003C0C38" w:rsidRPr="005459E6" w:rsidRDefault="003C0C38" w:rsidP="00042CB0">
      <w:pPr>
        <w:spacing w:line="360" w:lineRule="auto"/>
        <w:jc w:val="both"/>
        <w:rPr>
          <w:rFonts w:ascii="Times New Roman" w:hAnsi="Times New Roman" w:cs="Times New Roman"/>
        </w:rPr>
      </w:pPr>
    </w:p>
    <w:p w14:paraId="10E7B935" w14:textId="77777777" w:rsidR="003C0C38" w:rsidRPr="005459E6" w:rsidRDefault="003C0C38" w:rsidP="00042CB0">
      <w:pPr>
        <w:spacing w:line="360" w:lineRule="auto"/>
        <w:jc w:val="both"/>
        <w:rPr>
          <w:rFonts w:ascii="Times New Roman" w:hAnsi="Times New Roman" w:cs="Times New Roman"/>
        </w:rPr>
      </w:pPr>
    </w:p>
    <w:p w14:paraId="46B810E1" w14:textId="77777777" w:rsidR="007615A1" w:rsidRPr="005459E6" w:rsidRDefault="007615A1" w:rsidP="00042CB0">
      <w:pPr>
        <w:spacing w:line="360" w:lineRule="auto"/>
        <w:jc w:val="both"/>
        <w:rPr>
          <w:rFonts w:ascii="Times New Roman" w:hAnsi="Times New Roman" w:cs="Times New Roman"/>
        </w:rPr>
      </w:pPr>
    </w:p>
    <w:p w14:paraId="06B84CAF" w14:textId="77777777" w:rsidR="007615A1" w:rsidRPr="005459E6" w:rsidRDefault="007615A1" w:rsidP="00042CB0">
      <w:pPr>
        <w:spacing w:line="360" w:lineRule="auto"/>
        <w:jc w:val="both"/>
        <w:rPr>
          <w:rFonts w:ascii="Times New Roman" w:hAnsi="Times New Roman" w:cs="Times New Roman"/>
        </w:rPr>
      </w:pPr>
    </w:p>
    <w:p w14:paraId="24B8F06F" w14:textId="77777777"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346" w:name="_Toc73129042"/>
      <w:bookmarkStart w:id="347" w:name="_Toc85542460"/>
      <w:bookmarkStart w:id="348" w:name="_Toc87349541"/>
      <w:bookmarkStart w:id="349" w:name="_Toc87349654"/>
      <w:bookmarkStart w:id="350" w:name="_Toc87349761"/>
      <w:bookmarkStart w:id="351" w:name="_Toc107248324"/>
      <w:r w:rsidRPr="005459E6">
        <w:rPr>
          <w:rFonts w:ascii="Times New Roman" w:hAnsi="Times New Roman" w:cs="Times New Roman"/>
          <w:color w:val="auto"/>
          <w:sz w:val="22"/>
          <w:szCs w:val="22"/>
        </w:rPr>
        <w:t>Machine Learning (ML) Modelling</w:t>
      </w:r>
      <w:bookmarkEnd w:id="346"/>
      <w:bookmarkEnd w:id="347"/>
      <w:bookmarkEnd w:id="348"/>
      <w:bookmarkEnd w:id="349"/>
      <w:bookmarkEnd w:id="350"/>
      <w:bookmarkEnd w:id="351"/>
    </w:p>
    <w:p w14:paraId="42C947F8" w14:textId="5158BCB8" w:rsidR="008C2DE8" w:rsidRPr="005459E6" w:rsidRDefault="00B4233C" w:rsidP="00042CB0">
      <w:pPr>
        <w:spacing w:line="360" w:lineRule="auto"/>
        <w:jc w:val="both"/>
        <w:rPr>
          <w:rFonts w:ascii="Times New Roman" w:hAnsi="Times New Roman" w:cs="Times New Roman"/>
          <w:b/>
        </w:rPr>
      </w:pPr>
      <w:r w:rsidRPr="005459E6">
        <w:rPr>
          <w:rFonts w:ascii="Times New Roman" w:hAnsi="Times New Roman" w:cs="Times New Roman"/>
        </w:rPr>
        <w:t>The r</w:t>
      </w:r>
      <w:r w:rsidR="003C0C38" w:rsidRPr="005459E6">
        <w:rPr>
          <w:rFonts w:ascii="Times New Roman" w:hAnsi="Times New Roman" w:cs="Times New Roman"/>
        </w:rPr>
        <w:t xml:space="preserve">esearch Method effectively used ‘Data Science’ for </w:t>
      </w:r>
      <w:r w:rsidR="008C2DE8" w:rsidRPr="005459E6">
        <w:rPr>
          <w:rFonts w:ascii="Times New Roman" w:hAnsi="Times New Roman" w:cs="Times New Roman"/>
        </w:rPr>
        <w:t>c</w:t>
      </w:r>
      <w:r w:rsidR="003C0C38" w:rsidRPr="005459E6">
        <w:rPr>
          <w:rFonts w:ascii="Times New Roman" w:hAnsi="Times New Roman" w:cs="Times New Roman"/>
        </w:rPr>
        <w:t xml:space="preserve">omputational </w:t>
      </w:r>
      <w:r w:rsidR="008C2DE8" w:rsidRPr="005459E6">
        <w:rPr>
          <w:rFonts w:ascii="Times New Roman" w:hAnsi="Times New Roman" w:cs="Times New Roman"/>
        </w:rPr>
        <w:t>m</w:t>
      </w:r>
      <w:r w:rsidR="003C0C38" w:rsidRPr="005459E6">
        <w:rPr>
          <w:rFonts w:ascii="Times New Roman" w:hAnsi="Times New Roman" w:cs="Times New Roman"/>
        </w:rPr>
        <w:t xml:space="preserve">odelling as suggested in </w:t>
      </w:r>
      <w:r w:rsidR="00135FB1" w:rsidRPr="005459E6">
        <w:rPr>
          <w:rFonts w:ascii="Times New Roman" w:hAnsi="Times New Roman" w:cs="Times New Roman"/>
          <w:b/>
        </w:rPr>
        <w:t>Figure</w:t>
      </w:r>
      <w:r w:rsidR="003C0C38" w:rsidRPr="005459E6">
        <w:rPr>
          <w:rFonts w:ascii="Times New Roman" w:hAnsi="Times New Roman" w:cs="Times New Roman"/>
          <w:b/>
        </w:rPr>
        <w:t xml:space="preserve"> </w:t>
      </w:r>
      <w:r w:rsidR="007A4CFE" w:rsidRPr="005459E6">
        <w:rPr>
          <w:rFonts w:ascii="Times New Roman" w:hAnsi="Times New Roman" w:cs="Times New Roman"/>
          <w:b/>
        </w:rPr>
        <w:t>2</w:t>
      </w:r>
      <w:r w:rsidR="00F2602C" w:rsidRPr="005459E6">
        <w:rPr>
          <w:rFonts w:ascii="Times New Roman" w:hAnsi="Times New Roman" w:cs="Times New Roman"/>
          <w:b/>
        </w:rPr>
        <w:t>0</w:t>
      </w:r>
      <w:r w:rsidR="003C0C38" w:rsidRPr="005459E6">
        <w:rPr>
          <w:rFonts w:ascii="Times New Roman" w:hAnsi="Times New Roman" w:cs="Times New Roman"/>
          <w:b/>
        </w:rPr>
        <w:t>.</w:t>
      </w:r>
      <w:r w:rsidR="008C2DE8" w:rsidRPr="005459E6">
        <w:rPr>
          <w:rFonts w:ascii="Times New Roman" w:hAnsi="Times New Roman" w:cs="Times New Roman"/>
          <w:b/>
        </w:rPr>
        <w:t xml:space="preserve"> </w:t>
      </w:r>
      <w:r w:rsidR="008C2DE8" w:rsidRPr="005459E6">
        <w:rPr>
          <w:rFonts w:ascii="Times New Roman" w:hAnsi="Times New Roman" w:cs="Times New Roman"/>
          <w:bCs/>
        </w:rPr>
        <w:t>In the process</w:t>
      </w:r>
      <w:r w:rsidR="00C30249" w:rsidRPr="005459E6">
        <w:rPr>
          <w:rFonts w:ascii="Times New Roman" w:hAnsi="Times New Roman" w:cs="Times New Roman"/>
          <w:bCs/>
        </w:rPr>
        <w:t>,</w:t>
      </w:r>
      <w:r w:rsidR="008C2DE8" w:rsidRPr="005459E6">
        <w:rPr>
          <w:rFonts w:ascii="Times New Roman" w:hAnsi="Times New Roman" w:cs="Times New Roman"/>
          <w:b/>
        </w:rPr>
        <w:t xml:space="preserve"> </w:t>
      </w:r>
      <w:r w:rsidR="008C2DE8" w:rsidRPr="005459E6">
        <w:rPr>
          <w:rFonts w:ascii="Times New Roman" w:hAnsi="Times New Roman" w:cs="Times New Roman"/>
        </w:rPr>
        <w:t xml:space="preserve">it looks for Correlation interdependence of variable quantities and Regression for predictive modeling. </w:t>
      </w:r>
    </w:p>
    <w:p w14:paraId="4292E492" w14:textId="77777777" w:rsidR="003C0C38" w:rsidRPr="005459E6" w:rsidRDefault="003C0C38" w:rsidP="00042CB0">
      <w:pPr>
        <w:spacing w:line="360" w:lineRule="auto"/>
        <w:jc w:val="both"/>
        <w:rPr>
          <w:rFonts w:ascii="Times New Roman" w:hAnsi="Times New Roman" w:cs="Times New Roman"/>
        </w:rPr>
      </w:pPr>
    </w:p>
    <w:p w14:paraId="185781B2" w14:textId="77777777"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45F87614" wp14:editId="67D6A472">
            <wp:extent cx="5147310" cy="3522428"/>
            <wp:effectExtent l="0" t="0" r="0" b="1905"/>
            <wp:docPr id="195" name="Picture 195" descr="Landscape of Data Science in Research"/>
            <wp:cNvGraphicFramePr/>
            <a:graphic xmlns:a="http://schemas.openxmlformats.org/drawingml/2006/main">
              <a:graphicData uri="http://schemas.openxmlformats.org/drawingml/2006/picture">
                <pic:pic xmlns:pic="http://schemas.openxmlformats.org/drawingml/2006/picture">
                  <pic:nvPicPr>
                    <pic:cNvPr id="5" name="Picture 5" descr="Landscape of Data Science in Research"/>
                    <pic:cNvPicPr>
                      <a:picLocks noChangeAspect="1"/>
                    </pic:cNvPicPr>
                  </pic:nvPicPr>
                  <pic:blipFill rotWithShape="1">
                    <a:blip r:embed="rId69" cstate="print">
                      <a:extLst>
                        <a:ext uri="{28A0092B-C50C-407E-A947-70E740481C1C}">
                          <a14:useLocalDpi xmlns:a14="http://schemas.microsoft.com/office/drawing/2010/main" val="0"/>
                        </a:ext>
                      </a:extLst>
                    </a:blip>
                    <a:srcRect l="9474" t="11641" r="7172" b="7084"/>
                    <a:stretch/>
                  </pic:blipFill>
                  <pic:spPr bwMode="auto">
                    <a:xfrm>
                      <a:off x="0" y="0"/>
                      <a:ext cx="5158353" cy="352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17362B" w14:textId="656CAF1D" w:rsidR="003C0C38" w:rsidRPr="005459E6" w:rsidRDefault="00135FB1" w:rsidP="00042CB0">
      <w:pPr>
        <w:pStyle w:val="Sommario1"/>
        <w:rPr>
          <w:rFonts w:ascii="Times New Roman" w:hAnsi="Times New Roman" w:cs="Times New Roman"/>
        </w:rPr>
      </w:pPr>
      <w:bookmarkStart w:id="352" w:name="_Toc96343313"/>
      <w:bookmarkStart w:id="353" w:name="_Toc99915989"/>
      <w:bookmarkStart w:id="354" w:name="_Toc104968806"/>
      <w:r w:rsidRPr="005459E6">
        <w:rPr>
          <w:rFonts w:ascii="Times New Roman" w:hAnsi="Times New Roman" w:cs="Times New Roman"/>
        </w:rPr>
        <w:t>Figure</w:t>
      </w:r>
      <w:r w:rsidR="003C0C38" w:rsidRPr="005459E6">
        <w:rPr>
          <w:rFonts w:ascii="Times New Roman" w:hAnsi="Times New Roman" w:cs="Times New Roman"/>
        </w:rPr>
        <w:t xml:space="preserve"> </w:t>
      </w:r>
      <w:r w:rsidR="001721AC" w:rsidRPr="005459E6">
        <w:rPr>
          <w:rFonts w:ascii="Times New Roman" w:hAnsi="Times New Roman" w:cs="Times New Roman"/>
        </w:rPr>
        <w:fldChar w:fldCharType="begin"/>
      </w:r>
      <w:r w:rsidR="001721AC" w:rsidRPr="005459E6">
        <w:rPr>
          <w:rFonts w:ascii="Times New Roman" w:hAnsi="Times New Roman" w:cs="Times New Roman"/>
        </w:rPr>
        <w:instrText xml:space="preserve"> SEQ Figure \* ARABIC </w:instrText>
      </w:r>
      <w:r w:rsidR="001721AC" w:rsidRPr="005459E6">
        <w:rPr>
          <w:rFonts w:ascii="Times New Roman" w:hAnsi="Times New Roman" w:cs="Times New Roman"/>
        </w:rPr>
        <w:fldChar w:fldCharType="separate"/>
      </w:r>
      <w:r w:rsidR="006C645B">
        <w:rPr>
          <w:rFonts w:ascii="Times New Roman" w:hAnsi="Times New Roman" w:cs="Times New Roman"/>
          <w:noProof/>
        </w:rPr>
        <w:t>20</w:t>
      </w:r>
      <w:r w:rsidR="001721AC" w:rsidRPr="005459E6">
        <w:rPr>
          <w:rFonts w:ascii="Times New Roman" w:hAnsi="Times New Roman" w:cs="Times New Roman"/>
          <w:noProof/>
        </w:rPr>
        <w:fldChar w:fldCharType="end"/>
      </w:r>
      <w:r w:rsidR="003C0C38" w:rsidRPr="005459E6">
        <w:rPr>
          <w:rFonts w:ascii="Times New Roman" w:hAnsi="Times New Roman" w:cs="Times New Roman"/>
        </w:rPr>
        <w:t xml:space="preserve">: Landscape of Data Science in </w:t>
      </w:r>
      <w:r w:rsidR="00A52418" w:rsidRPr="005459E6">
        <w:rPr>
          <w:rFonts w:ascii="Times New Roman" w:hAnsi="Times New Roman" w:cs="Times New Roman"/>
        </w:rPr>
        <w:t>academic r</w:t>
      </w:r>
      <w:r w:rsidR="003C0C38" w:rsidRPr="005459E6">
        <w:rPr>
          <w:rFonts w:ascii="Times New Roman" w:hAnsi="Times New Roman" w:cs="Times New Roman"/>
        </w:rPr>
        <w:t>esearch</w:t>
      </w:r>
      <w:bookmarkEnd w:id="352"/>
      <w:bookmarkEnd w:id="353"/>
      <w:bookmarkEnd w:id="354"/>
    </w:p>
    <w:p w14:paraId="45860BC7" w14:textId="77777777" w:rsidR="003C0C38" w:rsidRPr="005459E6" w:rsidRDefault="003C0C38" w:rsidP="00042CB0">
      <w:pPr>
        <w:spacing w:line="360" w:lineRule="auto"/>
        <w:jc w:val="both"/>
        <w:rPr>
          <w:rFonts w:ascii="Times New Roman" w:hAnsi="Times New Roman" w:cs="Times New Roman"/>
        </w:rPr>
      </w:pPr>
    </w:p>
    <w:p w14:paraId="427EAA62" w14:textId="322FD089" w:rsidR="003C0C38" w:rsidRPr="005459E6" w:rsidRDefault="008C2DE8" w:rsidP="00042CB0">
      <w:pPr>
        <w:spacing w:line="360" w:lineRule="auto"/>
        <w:jc w:val="both"/>
        <w:rPr>
          <w:rFonts w:ascii="Times New Roman" w:hAnsi="Times New Roman" w:cs="Times New Roman"/>
        </w:rPr>
      </w:pPr>
      <w:r w:rsidRPr="005459E6">
        <w:rPr>
          <w:rFonts w:ascii="Times New Roman" w:hAnsi="Times New Roman" w:cs="Times New Roman"/>
        </w:rPr>
        <w:t xml:space="preserve">The </w:t>
      </w:r>
      <w:r w:rsidR="003C0C38" w:rsidRPr="005459E6">
        <w:rPr>
          <w:rFonts w:ascii="Times New Roman" w:hAnsi="Times New Roman" w:cs="Times New Roman"/>
        </w:rPr>
        <w:t>power of prediction granted by data science can make an individual proactive towards their state of health, and the same can be used in a preventive and personalized way to attain well-being.</w:t>
      </w:r>
    </w:p>
    <w:p w14:paraId="7E40BE97" w14:textId="77777777" w:rsidR="000B6143"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Based on the collected and quantified data on STRESS (Electroencephalography) &amp; ENERGY (Sleep and Circadian Rhythm) experience</w:t>
      </w:r>
      <w:r w:rsidR="001D1AD4" w:rsidRPr="005459E6">
        <w:rPr>
          <w:rFonts w:ascii="Times New Roman" w:hAnsi="Times New Roman" w:cs="Times New Roman"/>
        </w:rPr>
        <w:t>d</w:t>
      </w:r>
      <w:r w:rsidRPr="005459E6">
        <w:rPr>
          <w:rFonts w:ascii="Times New Roman" w:hAnsi="Times New Roman" w:cs="Times New Roman"/>
        </w:rPr>
        <w:t xml:space="preserve"> by </w:t>
      </w:r>
      <w:r w:rsidR="004970FE" w:rsidRPr="005459E6">
        <w:rPr>
          <w:rFonts w:ascii="Times New Roman" w:hAnsi="Times New Roman" w:cs="Times New Roman"/>
        </w:rPr>
        <w:t xml:space="preserve">the </w:t>
      </w:r>
      <w:r w:rsidRPr="005459E6">
        <w:rPr>
          <w:rFonts w:ascii="Times New Roman" w:hAnsi="Times New Roman" w:cs="Times New Roman"/>
        </w:rPr>
        <w:t xml:space="preserve">individual, a predictive model was created using Multiple linear regression and Decision Tree modeling. </w:t>
      </w:r>
      <w:r w:rsidR="000B6143" w:rsidRPr="005459E6">
        <w:rPr>
          <w:rFonts w:ascii="Times New Roman" w:hAnsi="Times New Roman" w:cs="Times New Roman"/>
        </w:rPr>
        <w:t xml:space="preserve"> </w:t>
      </w:r>
    </w:p>
    <w:p w14:paraId="5B0EE1BA" w14:textId="77777777" w:rsidR="00427127" w:rsidRPr="005459E6" w:rsidRDefault="00427127" w:rsidP="00042CB0">
      <w:pPr>
        <w:spacing w:line="360" w:lineRule="auto"/>
        <w:jc w:val="both"/>
        <w:rPr>
          <w:rFonts w:ascii="Times New Roman" w:hAnsi="Times New Roman" w:cs="Times New Roman"/>
          <w:b/>
          <w:bCs/>
        </w:rPr>
      </w:pPr>
    </w:p>
    <w:p w14:paraId="1C64013D" w14:textId="77777777" w:rsidR="003C0C38" w:rsidRPr="005459E6" w:rsidRDefault="003C0C38" w:rsidP="00042CB0">
      <w:pPr>
        <w:pStyle w:val="Titolo3"/>
        <w:spacing w:line="360" w:lineRule="auto"/>
        <w:jc w:val="both"/>
        <w:rPr>
          <w:rFonts w:ascii="Times New Roman" w:hAnsi="Times New Roman" w:cs="Times New Roman"/>
          <w:color w:val="auto"/>
          <w:sz w:val="22"/>
          <w:szCs w:val="22"/>
        </w:rPr>
      </w:pPr>
      <w:bookmarkStart w:id="355" w:name="_Toc83834250"/>
      <w:bookmarkStart w:id="356" w:name="_Toc85542461"/>
      <w:bookmarkStart w:id="357" w:name="_Toc87349542"/>
      <w:bookmarkStart w:id="358" w:name="_Toc87349655"/>
      <w:bookmarkStart w:id="359" w:name="_Toc87349762"/>
      <w:bookmarkStart w:id="360" w:name="_Toc107248325"/>
      <w:r w:rsidRPr="005459E6">
        <w:rPr>
          <w:rFonts w:ascii="Times New Roman" w:hAnsi="Times New Roman" w:cs="Times New Roman"/>
          <w:color w:val="auto"/>
          <w:sz w:val="22"/>
          <w:szCs w:val="22"/>
        </w:rPr>
        <w:t>Data Staging</w:t>
      </w:r>
      <w:bookmarkEnd w:id="355"/>
      <w:bookmarkEnd w:id="356"/>
      <w:bookmarkEnd w:id="357"/>
      <w:bookmarkEnd w:id="358"/>
      <w:bookmarkEnd w:id="359"/>
      <w:r w:rsidRPr="005459E6">
        <w:rPr>
          <w:rFonts w:ascii="Times New Roman" w:hAnsi="Times New Roman" w:cs="Times New Roman"/>
          <w:color w:val="auto"/>
          <w:sz w:val="22"/>
          <w:szCs w:val="22"/>
        </w:rPr>
        <w:t xml:space="preserve"> &amp; </w:t>
      </w:r>
      <w:bookmarkStart w:id="361" w:name="_Toc83834251"/>
      <w:bookmarkStart w:id="362" w:name="_Toc85542462"/>
      <w:bookmarkStart w:id="363" w:name="_Toc87349543"/>
      <w:bookmarkStart w:id="364" w:name="_Toc87349656"/>
      <w:bookmarkStart w:id="365" w:name="_Toc87349763"/>
      <w:r w:rsidRPr="005459E6">
        <w:rPr>
          <w:rFonts w:ascii="Times New Roman" w:hAnsi="Times New Roman" w:cs="Times New Roman"/>
          <w:color w:val="auto"/>
          <w:sz w:val="22"/>
          <w:szCs w:val="22"/>
        </w:rPr>
        <w:t>Feature Extraction</w:t>
      </w:r>
      <w:bookmarkEnd w:id="360"/>
      <w:bookmarkEnd w:id="361"/>
      <w:bookmarkEnd w:id="362"/>
      <w:bookmarkEnd w:id="363"/>
      <w:bookmarkEnd w:id="364"/>
      <w:bookmarkEnd w:id="365"/>
    </w:p>
    <w:p w14:paraId="23B253DF" w14:textId="2686939C" w:rsidR="004370BF" w:rsidRPr="005459E6" w:rsidRDefault="00140811" w:rsidP="004370BF">
      <w:pPr>
        <w:spacing w:line="360" w:lineRule="auto"/>
        <w:jc w:val="both"/>
        <w:rPr>
          <w:rFonts w:ascii="Times New Roman" w:hAnsi="Times New Roman" w:cs="Times New Roman"/>
        </w:rPr>
      </w:pPr>
      <w:r w:rsidRPr="005459E6">
        <w:rPr>
          <w:rFonts w:ascii="Times New Roman" w:hAnsi="Times New Roman" w:cs="Times New Roman"/>
        </w:rPr>
        <w:t xml:space="preserve">Because this data is gathered from several source systems via a distributed network, it comes in a variety of data kinds and forms. Before being transferred to the destination systems, the source data is processed and cleaned using algorithms and functions, which takes extra time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{"citationItems":[{"id":"ITEM-1","itemData":{"DOI":"10.7753/IJCATR0408.1001","author":[{"dropping-particle":"","family":"Gatimu","given":"Reagan Muriithi","non-dropping-particle":"","parse-names":false,"suffix":""},{"dropping-particle":"","family":"Cheruiyot","given":"Wilson","non-dropping-particle":"","parse-names":false,"suffix":""},{"dropping-particle":"","family":"Kimwele","given":"Michael","non-dropping-particle":"","parse-names":false,"suffix":""}],"id":"ITEM-1","issue":"August","issued":{"date-parts":[["2015"]]},"title":"Enhancing Data Staging as a Mechanism for Fast Data Access","type":"article-journal"},"uris":["http://www.mendeley.com/documents/?uuid=bf2616de-d4e1-42ee-922c-169daf13e767"]}],"mendeley":{"formattedCitation":"(Gatimu et al., 2015)","plainTextFormattedCitation":"(Gatimu et al., 2015)","previouslyFormattedCitation":"(Gatimu et al., 2015)"},"properties":{"noteIndex":0},"schema":"https://github.com/citation-style-language/schema/raw/master/csl-citation.json"}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(Gatimu et al., 2015)</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7986F3F6" w14:textId="0B485B72" w:rsidR="003C0C38" w:rsidRPr="005459E6" w:rsidRDefault="004370BF" w:rsidP="004370BF">
      <w:pPr>
        <w:spacing w:line="360" w:lineRule="auto"/>
        <w:jc w:val="both"/>
        <w:rPr>
          <w:rFonts w:ascii="Times New Roman" w:hAnsi="Times New Roman" w:cs="Times New Roman"/>
        </w:rPr>
      </w:pPr>
      <w:r w:rsidRPr="005459E6">
        <w:rPr>
          <w:rFonts w:ascii="Times New Roman" w:hAnsi="Times New Roman" w:cs="Times New Roman"/>
        </w:rPr>
        <w:t>The step of preprocessing data in any Machine Learning process involves changing, or encoding, it to make the parsing process easier for the machine.</w:t>
      </w:r>
      <w:r w:rsidR="00140811" w:rsidRPr="005459E6">
        <w:rPr>
          <w:rFonts w:ascii="Times New Roman" w:hAnsi="Times New Roman" w:cs="Times New Roman"/>
        </w:rPr>
        <w:t xml:space="preserve"> In other words, the algorithm </w:t>
      </w:r>
      <w:r w:rsidR="00AB7ED4" w:rsidRPr="005459E6">
        <w:rPr>
          <w:rFonts w:ascii="Times New Roman" w:hAnsi="Times New Roman" w:cs="Times New Roman"/>
        </w:rPr>
        <w:t>can</w:t>
      </w:r>
      <w:r w:rsidR="00483096" w:rsidRPr="005459E6">
        <w:rPr>
          <w:rFonts w:ascii="Times New Roman" w:hAnsi="Times New Roman" w:cs="Times New Roman"/>
        </w:rPr>
        <w:t xml:space="preserve"> effectively</w:t>
      </w:r>
      <w:r w:rsidR="00140811" w:rsidRPr="005459E6">
        <w:rPr>
          <w:rFonts w:ascii="Times New Roman" w:hAnsi="Times New Roman" w:cs="Times New Roman"/>
        </w:rPr>
        <w:t xml:space="preserve"> interpret the data's features, and the final training set is the result of data pre-processing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{"citationItems":[{"id":"ITEM-1","itemData":{"DOI":"10.1080/02331931003692557","ISSN":"1306-4428","abstract":"Abstract— Many factors affect the success of Machine Learning (ML) on a given task. The representation and quality of the instance data is first and foremost. If there is much irrelevant and redundant information present or noisy and unreliable data , then knowledge discovery during the ...","author":[{"dropping-particle":"","family":"Kotsiantis","given":"S B","non-dropping-particle":"","parse-names":false,"suffix":""},{"dropping-particle":"","family":"Kanellopoulos","given":"D","non-dropping-particle":"","parse-names":false,"suffix":""}],"container-title":"International Journal of …","id":"ITEM-1","issue":"2","issued":{"date-parts":[["2006"]]},"page":"1-7","title":"Data preprocessing for supervised leaning","type":"article-journal","volume":"1"},"uris":["http://www.mendeley.com/documents/?uuid=885767da-6ebe-4a35-adb7-668c206a1ae0"]}],"mendeley":{"formattedCitation":"(Kotsiantis &amp; Kanellopoulos, 2006)","plainTextFormattedCitation":"(Kotsiantis &amp; Kanellopoulos, 2006)","previouslyFormattedCitation":"(Kotsiantis &amp; Kanellopoulos, 2006)"},"properties":{"noteIndex":0},"schema":"https://github.com/citation-style-language/schema/raw/master/csl-citation.json"}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(Kotsiantis &amp; Kanellopoulos, 2006)</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5BE821CB" w14:textId="77777777" w:rsidR="00140811" w:rsidRPr="005459E6" w:rsidRDefault="00140811" w:rsidP="00042CB0">
      <w:pPr>
        <w:spacing w:line="360" w:lineRule="auto"/>
        <w:jc w:val="both"/>
        <w:rPr>
          <w:rFonts w:ascii="Times New Roman" w:hAnsi="Times New Roman" w:cs="Times New Roman"/>
        </w:rPr>
      </w:pPr>
    </w:p>
    <w:p w14:paraId="494A1AD4" w14:textId="77777777"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306F98AF" wp14:editId="67040E1B">
            <wp:extent cx="6266815" cy="2538342"/>
            <wp:effectExtent l="0" t="0" r="635" b="0"/>
            <wp:docPr id="196" name="Picture 196"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p&#10;&#10;Description automatically generated with medium confidence"/>
                    <pic:cNvPicPr>
                      <a:picLocks noChangeAspect="1" noChangeArrowheads="1"/>
                    </pic:cNvPicPr>
                  </pic:nvPicPr>
                  <pic:blipFill rotWithShape="1">
                    <a:blip r:embed="rId70">
                      <a:extLst>
                        <a:ext uri="{28A0092B-C50C-407E-A947-70E740481C1C}">
                          <a14:useLocalDpi xmlns:a14="http://schemas.microsoft.com/office/drawing/2010/main" val="0"/>
                        </a:ext>
                      </a:extLst>
                    </a:blip>
                    <a:srcRect t="11549"/>
                    <a:stretch/>
                  </pic:blipFill>
                  <pic:spPr bwMode="auto">
                    <a:xfrm>
                      <a:off x="0" y="0"/>
                      <a:ext cx="6287449" cy="2546700"/>
                    </a:xfrm>
                    <a:prstGeom prst="rect">
                      <a:avLst/>
                    </a:prstGeom>
                    <a:noFill/>
                    <a:ln>
                      <a:noFill/>
                    </a:ln>
                    <a:extLst>
                      <a:ext uri="{53640926-AAD7-44D8-BBD7-CCE9431645EC}">
                        <a14:shadowObscured xmlns:a14="http://schemas.microsoft.com/office/drawing/2010/main"/>
                      </a:ext>
                    </a:extLst>
                  </pic:spPr>
                </pic:pic>
              </a:graphicData>
            </a:graphic>
          </wp:inline>
        </w:drawing>
      </w:r>
    </w:p>
    <w:p w14:paraId="5DAF59D1" w14:textId="09FE90B8" w:rsidR="00230BE4" w:rsidRPr="005459E6" w:rsidRDefault="00A52418" w:rsidP="00042CB0">
      <w:pPr>
        <w:pStyle w:val="Didascalia"/>
        <w:spacing w:line="360" w:lineRule="auto"/>
        <w:jc w:val="both"/>
        <w:rPr>
          <w:rFonts w:ascii="Times New Roman" w:hAnsi="Times New Roman" w:cs="Times New Roman"/>
          <w:i w:val="0"/>
          <w:iCs w:val="0"/>
          <w:color w:val="auto"/>
        </w:rPr>
      </w:pPr>
      <w:bookmarkStart w:id="366" w:name="_Toc96343314"/>
      <w:bookmarkStart w:id="367" w:name="_Toc99915990"/>
      <w:bookmarkStart w:id="368" w:name="_Toc104968807"/>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21</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ML Modelling pipeline</w:t>
      </w:r>
      <w:bookmarkEnd w:id="366"/>
      <w:bookmarkEnd w:id="367"/>
      <w:bookmarkEnd w:id="368"/>
    </w:p>
    <w:p w14:paraId="0DEC7564" w14:textId="77777777" w:rsidR="00A52418" w:rsidRPr="005459E6" w:rsidRDefault="00A52418" w:rsidP="00042CB0">
      <w:pPr>
        <w:spacing w:line="360" w:lineRule="auto"/>
        <w:jc w:val="both"/>
        <w:rPr>
          <w:rFonts w:ascii="Times New Roman" w:hAnsi="Times New Roman" w:cs="Times New Roman"/>
          <w:lang w:val="en-IN"/>
        </w:rPr>
      </w:pPr>
    </w:p>
    <w:p w14:paraId="5A5ADBE7" w14:textId="544CBE74" w:rsidR="00140811"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 xml:space="preserve">Dimensionality reduction is a key topic in machine learning and pattern recognition, and several algorithms have been presented (Refer </w:t>
      </w:r>
      <w:r w:rsidR="00B4233C" w:rsidRPr="005459E6">
        <w:rPr>
          <w:rFonts w:ascii="Times New Roman" w:hAnsi="Times New Roman" w:cs="Times New Roman"/>
        </w:rPr>
        <w:t xml:space="preserve">to </w:t>
      </w:r>
      <w:r w:rsidRPr="005459E6">
        <w:rPr>
          <w:rFonts w:ascii="Times New Roman" w:hAnsi="Times New Roman" w:cs="Times New Roman"/>
          <w:b/>
          <w:bCs/>
        </w:rPr>
        <w:t>Figure 2</w:t>
      </w:r>
      <w:r w:rsidR="00F2602C" w:rsidRPr="005459E6">
        <w:rPr>
          <w:rFonts w:ascii="Times New Roman" w:hAnsi="Times New Roman" w:cs="Times New Roman"/>
          <w:b/>
          <w:bCs/>
        </w:rPr>
        <w:t>1</w:t>
      </w:r>
      <w:r w:rsidRPr="005459E6">
        <w:rPr>
          <w:rFonts w:ascii="Times New Roman" w:hAnsi="Times New Roman" w:cs="Times New Roman"/>
        </w:rPr>
        <w:t>).</w:t>
      </w:r>
    </w:p>
    <w:p w14:paraId="7B71DA20" w14:textId="3167B3FA" w:rsidR="003C0C38"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 xml:space="preserve">As a preprocessing step for machine learning, dimensionality reduction is useful in reducing unnecessary and superfluous data, enhancing learning accuracy, and improving result comprehensibility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DOI":"10.1109/SAI.2014.6918213","author":[{"dropping-particle":"","family":"Khalid","given":"Samina","non-dropping-particle":"","parse-names":false,"suffix":""},{"dropping-particle":"","family":"Nasreen","given":"Shamila","non-dropping-particle":"","parse-names":false,"suffix":""},{"dropping-particle":"","family":"Mary","given":"Queen","non-dropping-particle":"","parse-names":false,"suffix":""}],"id":"ITEM-1","issue":"October","issued":{"date-parts":[["2014"]]},"title":"A Survey of Feature Selection and Feature Extraction Techniques in Machine Learning","type":"article-journal"},"uris":["http://www.mendeley.com/documents/?uuid=4c11da65-2f57-445e-a0db-44c03c3c67c3"]}],"mendeley":{"formattedCitation":"(Khalid et al., 2014)","plainTextFormattedCitation":"(Khalid et al., 2014)","previouslyFormattedCitation":"(Khalid et al., 2014)"},"properties":{"noteIndex":0},"schema":"https://github.com/citation-style-language/schema/raw/master/csl-citation.json"}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(Khalid et al., 2014)</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3183A926" w14:textId="68D27CE3" w:rsidR="003C0C38" w:rsidRPr="005459E6" w:rsidRDefault="003C0C38" w:rsidP="00042CB0">
      <w:pPr>
        <w:spacing w:line="360" w:lineRule="auto"/>
        <w:jc w:val="both"/>
        <w:rPr>
          <w:rFonts w:ascii="Times New Roman" w:hAnsi="Times New Roman" w:cs="Times New Roman"/>
        </w:rPr>
      </w:pPr>
    </w:p>
    <w:p w14:paraId="6E0E0C2B" w14:textId="2BF5C98E" w:rsidR="00140811" w:rsidRPr="005459E6" w:rsidRDefault="00140811" w:rsidP="00042CB0">
      <w:pPr>
        <w:spacing w:line="360" w:lineRule="auto"/>
        <w:jc w:val="both"/>
        <w:rPr>
          <w:rFonts w:ascii="Times New Roman" w:hAnsi="Times New Roman" w:cs="Times New Roman"/>
        </w:rPr>
      </w:pPr>
    </w:p>
    <w:p w14:paraId="0F4210D9" w14:textId="77777777" w:rsidR="00140811" w:rsidRPr="005459E6" w:rsidRDefault="00140811" w:rsidP="00042CB0">
      <w:pPr>
        <w:spacing w:line="360" w:lineRule="auto"/>
        <w:jc w:val="both"/>
        <w:rPr>
          <w:rFonts w:ascii="Times New Roman" w:hAnsi="Times New Roman" w:cs="Times New Roman"/>
        </w:rPr>
      </w:pPr>
    </w:p>
    <w:p w14:paraId="22FCDF30" w14:textId="77777777" w:rsidR="003C0C38" w:rsidRPr="005459E6" w:rsidRDefault="003C0C38" w:rsidP="00042CB0">
      <w:pPr>
        <w:pStyle w:val="Titolo3"/>
        <w:spacing w:line="360" w:lineRule="auto"/>
        <w:jc w:val="both"/>
        <w:rPr>
          <w:rFonts w:ascii="Times New Roman" w:hAnsi="Times New Roman" w:cs="Times New Roman"/>
          <w:color w:val="auto"/>
          <w:sz w:val="22"/>
          <w:szCs w:val="22"/>
        </w:rPr>
      </w:pPr>
      <w:bookmarkStart w:id="369" w:name="_Toc83834252"/>
      <w:bookmarkStart w:id="370" w:name="_Toc85542463"/>
      <w:bookmarkStart w:id="371" w:name="_Toc87349544"/>
      <w:bookmarkStart w:id="372" w:name="_Toc87349657"/>
      <w:bookmarkStart w:id="373" w:name="_Toc87349764"/>
      <w:bookmarkStart w:id="374" w:name="_Toc107248326"/>
      <w:r w:rsidRPr="005459E6">
        <w:rPr>
          <w:rFonts w:ascii="Times New Roman" w:hAnsi="Times New Roman" w:cs="Times New Roman"/>
          <w:color w:val="auto"/>
          <w:sz w:val="22"/>
          <w:szCs w:val="22"/>
        </w:rPr>
        <w:t>Hyperparameter optimization</w:t>
      </w:r>
      <w:bookmarkEnd w:id="369"/>
      <w:bookmarkEnd w:id="370"/>
      <w:bookmarkEnd w:id="371"/>
      <w:bookmarkEnd w:id="372"/>
      <w:bookmarkEnd w:id="373"/>
      <w:bookmarkEnd w:id="374"/>
    </w:p>
    <w:p w14:paraId="41015270" w14:textId="2DB19E15" w:rsidR="00140811"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Hyperparameters are crucial for machine learning algorithms because they directly regulate the behavior of training algorithms and have a major impact on model performance. For some application domains, several strategies have been developed and effectively utili</w:t>
      </w:r>
      <w:r w:rsidR="001D1AD4" w:rsidRPr="005459E6">
        <w:rPr>
          <w:rFonts w:ascii="Times New Roman" w:hAnsi="Times New Roman" w:cs="Times New Roman"/>
        </w:rPr>
        <w:t>z</w:t>
      </w:r>
      <w:r w:rsidRPr="005459E6">
        <w:rPr>
          <w:rFonts w:ascii="Times New Roman" w:hAnsi="Times New Roman" w:cs="Times New Roman"/>
        </w:rPr>
        <w:t xml:space="preserve">ed. However, this work necessitates specialist expertise and experience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{"citationItems":[{"id":"ITEM-1","itemData":{"DOI":"10.11989/JEST.1674-862X.80904120","ISSN":"1674862X","abstract":"Hyperparameters are important for machine learning algorithms since they directly control the behaviors of training algorithms and have a significant effect on the performance of machine learning models. Several techniques have been developed and successfully applied for certain application domains. However, this work demands professional knowledge and expert experience. And sometimes it has to resort to the brute-force search. Therefore, if an efficient hyperparameter optimization algorithm can be developed to optimize any given machine learning method, it will greatly improve the efficiency of machine learning. In this paper, we consider building the relationship between the performance of the machine learning models and their hyperparameters by Gaussian processes. In this way, the hyperparameter tuning problem can be abstracted as an optimization problem and Bayesian optimization is used to solve the problem. Bayesian optimization is based on the Bayesian theorem. It sets a prior over the optimization function and gathers the information from the previous sample to update the posterior of the optimization function. A utility function selects the next sample point to maximize the optimization function. Several experiments were conducted on standard test datasets. Experiment results show that the proposed method can find the best hyperparameters for the widely used machine learning models, such as the random forest algorithm and the neural networks, even multi-grained cascade forest under the consideration of time cost.","author":[{"dropping-particle":"","family":"Wu","given":"Jia","non-dropping-particle":"","parse-names":false,"suffix":""},{"dropping-particle":"","family":"Chen","given":"Xiu Yun","non-dropping-particle":"","parse-names":false,"suffix":""},{"dropping-particle":"","family":"Zhang","given":"Hao","non-dropping-particle":"","parse-names":false,"suffix":""},{"dropping-particle":"","family":"Xiong","given":"Li Dong","non-dropping-particle":"","parse-names":false,"suffix":""},{"dropping-particle":"","family":"Lei","given":"Hang","non-dropping-particle":"","parse-names":false,"suffix":""},{"dropping-particle":"","family":"Deng","given":"Si Hao","non-dropping-particle":"","parse-names":false,"suffix":""}],"container-title":"Journal of Electronic Science and Technology","id":"ITEM-1","issue":"1","issued":{"date-parts":[["2019"]]},"page":"26-40","publisher":"Elsevier B.V.","title":"Hyperparameter optimization for machine learning models based on Bayesian optimization","type":"article-journal","volume":"17"},"uris":["http://www.mendeley.com/documents/?uuid=4acac80a-5716-4b22-b44f-bbf67119ed7b"]}],"mendeley":{"formattedCitation":"(Wu et al., 2019)","plainTextFormattedCitation":"(Wu et al., 2019)","previouslyFormattedCitation":"(Wu et al., 2019)"},"properties":{"noteIndex":0},"schema":"https://github.com/citation-style-language/schema/raw/master/csl-citation.json"}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(Wu et al., 2019)</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3F3E92F5" w14:textId="492AE6C4" w:rsidR="00140811"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 xml:space="preserve">Automated hyperparameter optimization approaches have been commonplace with the introduction of automated machine learning. However, development in autonomous analyses that provide information beyond performance-optimizing hyper-parameter settings has not kept pace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{"citationItems":[{"id":"ITEM-1","itemData":{"ISSN":"16130073","abstract":"With the advent of automated machine learning, automated hyperparameter optimization methods are by now routinely used. How- ever, this progress is not yet matched by equal progress on automatic analyses that yield information beyond performance-optimizing hyper- parameter settings. Various post-hoc analysis techniques exist to analyze hyperparameter importance, but to the best of our knowledge, so far these have only been applied at a very small scale. To filll this gap, we conduct a large scale experiment to discover general trends across 100 datasets. The results in case studies with random forests and Adaboost show that the same hyperparameters typically remain most important across datasets. Overall, these results, obtained fully automatically, pro- vide a quantitative basis to focus efforts in both manual algorithm design and in automated hyperparameter optimization.","author":[{"dropping-particle":"","family":"Rijn","given":"Jan N.","non-dropping-particle":"Van","parse-names":false,"suffix":""},{"dropping-particle":"","family":"Hutter","given":"Frank","non-dropping-particle":"","parse-names":false,"suffix":""}],"container-title":"CEUR Workshop Proceedings","id":"ITEM-1","issued":{"date-parts":[["2017"]]},"title":"An empirical study of hyperparameter importance across datasets","type":"article-journal","volume":"1998"},"uris":["http://www.mendeley.com/documents/?uuid=9083c673-2879-4400-ab1f-7a91f98d6f13"]}],"mendeley":{"formattedCitation":"(Van Rijn &amp; Hutter, 2017)","plainTextFormattedCitation":"(Van Rijn &amp; Hutter, 2017)","previouslyFormattedCitation":"(Van Rijn &amp; Hutter, 2017)"},"properties":{"noteIndex":0},"schema":"https://github.com/citation-style-language/schema/raw/master/csl-citation.json"}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(Van Rijn &amp; Hutter, 2017)</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4C632381" w14:textId="60BAAC75" w:rsidR="003C0C38" w:rsidRPr="005459E6" w:rsidRDefault="00B377B1" w:rsidP="00042CB0">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00361E4E" w:rsidRPr="005459E6">
        <w:rPr>
          <w:rFonts w:ascii="Times New Roman" w:hAnsi="Times New Roman" w:cs="Times New Roman"/>
        </w:rPr>
        <w:instrText>ADDIN CSL_CITATION {"citationItems":[{"id":"ITEM-1","itemData":{"DOI":"10.1016/j.neucom.2020.07.061","ISSN":"18728286","abstract":"Machine learning algorithms have been used widely in various applications and areas. To fit a machine learning model into different problems, its hyper-parameters must be tuned. Selecting the best hyper-parameter configuration for machine learning models has a direct impact on the model's performance. It often requires deep knowledge of machine learning algorithms and appropriate hyper-parameter optimization techniques. Although several automatic optimization techniques exist, they have different strengths and drawbacks when applied to different types of problems. In this paper, optimizing the hyper-parameters of common machine learning models is studied. We introduce several state-of-the-art optimization techniques and discuss how to apply them to machine learning algorithms. Many available libraries and frameworks developed for hyper-parameter optimization problems are provided, and some open challenges of hyper-parameter optimization research are also discussed in this paper. Moreover, experiments are conducted on benchmark datasets to compare the performance of different optimization methods and provide practical examples of hyper-parameter optimization. This survey paper will help industrial users, data analysts, and researchers to better develop machine learning models by identifying the proper hyper-parameter configurations effectively.","author":[{"dropping-particle":"","family":"Yang","given":"Li","non-dropping-particle":"","parse-names":false,"suffix":""},{"dropping-particle":"","family":"Shami","given":"Abdallah","non-dropping-particle":"","parse-names":false,"suffix":""}],"container-title":"Neurocomputing","id":"ITEM-1","issued":{"date-parts":[["2020"]]},"page":"295-316","title":"On hyperparameter optimization of machine learning algorithms: Theory and practice","type":"article-journal","volume":"415"},"uris":["http://www.mendeley.com/documents/?uuid=112a5d8a-6dc8-4619-a00e-8d080ff54365"]}],"mendeley":{"formattedCitation":"(L. Yang &amp; Shami, 2020)","manualFormatting":"Yang &amp; Shami (2020)","plainTextFormattedCitation":"(L. Yang &amp; Shami, 2020)","previouslyFormattedCitation":"(L. Yang &amp; Shami,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Yang &amp; Shami </w:t>
      </w:r>
      <w:r w:rsidR="000B6143" w:rsidRPr="005459E6">
        <w:rPr>
          <w:rFonts w:ascii="Times New Roman" w:hAnsi="Times New Roman" w:cs="Times New Roman"/>
          <w:noProof/>
        </w:rPr>
        <w:t>(</w:t>
      </w:r>
      <w:r w:rsidRPr="005459E6">
        <w:rPr>
          <w:rFonts w:ascii="Times New Roman" w:hAnsi="Times New Roman" w:cs="Times New Roman"/>
          <w:noProof/>
        </w:rPr>
        <w:t>2020)</w:t>
      </w:r>
      <w:r w:rsidRPr="005459E6">
        <w:rPr>
          <w:rFonts w:ascii="Times New Roman" w:hAnsi="Times New Roman" w:cs="Times New Roman"/>
        </w:rPr>
        <w:fldChar w:fldCharType="end"/>
      </w:r>
      <w:r w:rsidRPr="005459E6">
        <w:rPr>
          <w:rFonts w:ascii="Times New Roman" w:hAnsi="Times New Roman" w:cs="Times New Roman"/>
        </w:rPr>
        <w:t xml:space="preserve"> </w:t>
      </w:r>
      <w:r w:rsidR="00140811" w:rsidRPr="005459E6">
        <w:rPr>
          <w:rFonts w:ascii="Times New Roman" w:hAnsi="Times New Roman" w:cs="Times New Roman"/>
        </w:rPr>
        <w:t xml:space="preserve">claim that hyper-parameters of a machine learning model must be modified to fit different tasks. </w:t>
      </w:r>
      <w:r w:rsidR="00AE312D" w:rsidRPr="005459E6">
        <w:rPr>
          <w:rFonts w:ascii="Times New Roman" w:hAnsi="Times New Roman" w:cs="Times New Roman"/>
        </w:rPr>
        <w:t>The p</w:t>
      </w:r>
      <w:r w:rsidR="005202C6" w:rsidRPr="005459E6">
        <w:rPr>
          <w:rFonts w:ascii="Times New Roman" w:hAnsi="Times New Roman" w:cs="Times New Roman"/>
        </w:rPr>
        <w:t xml:space="preserve">erformance of machine learning models is directly influenced by the hyper-parameter configuration. </w:t>
      </w:r>
      <w:r w:rsidR="00140811" w:rsidRPr="005459E6">
        <w:rPr>
          <w:rFonts w:ascii="Times New Roman" w:hAnsi="Times New Roman" w:cs="Times New Roman"/>
        </w:rPr>
        <w:t xml:space="preserve">It often requires in-depth knowledge of machine learning algorithms and </w:t>
      </w:r>
      <w:r w:rsidR="001D1AD4" w:rsidRPr="005459E6">
        <w:rPr>
          <w:rFonts w:ascii="Times New Roman" w:hAnsi="Times New Roman" w:cs="Times New Roman"/>
        </w:rPr>
        <w:t xml:space="preserve">the </w:t>
      </w:r>
      <w:r w:rsidR="00140811" w:rsidRPr="005459E6">
        <w:rPr>
          <w:rFonts w:ascii="Times New Roman" w:hAnsi="Times New Roman" w:cs="Times New Roman"/>
        </w:rPr>
        <w:t>application of effective hyper-parameter optimization techniques.</w:t>
      </w:r>
    </w:p>
    <w:p w14:paraId="26A2A0CC" w14:textId="77777777" w:rsidR="00140811" w:rsidRPr="005459E6" w:rsidRDefault="00140811" w:rsidP="00042CB0">
      <w:pPr>
        <w:spacing w:line="360" w:lineRule="auto"/>
        <w:jc w:val="both"/>
        <w:rPr>
          <w:rFonts w:ascii="Times New Roman" w:hAnsi="Times New Roman" w:cs="Times New Roman"/>
        </w:rPr>
      </w:pPr>
    </w:p>
    <w:p w14:paraId="1255E46E" w14:textId="77777777" w:rsidR="003C0C38" w:rsidRPr="005459E6" w:rsidRDefault="003C0C38" w:rsidP="00042CB0">
      <w:pPr>
        <w:pStyle w:val="Titolo3"/>
        <w:spacing w:line="360" w:lineRule="auto"/>
        <w:jc w:val="both"/>
        <w:rPr>
          <w:rFonts w:ascii="Times New Roman" w:hAnsi="Times New Roman" w:cs="Times New Roman"/>
          <w:color w:val="auto"/>
          <w:sz w:val="22"/>
          <w:szCs w:val="22"/>
        </w:rPr>
      </w:pPr>
      <w:bookmarkStart w:id="375" w:name="_Toc83834253"/>
      <w:bookmarkStart w:id="376" w:name="_Toc85542464"/>
      <w:bookmarkStart w:id="377" w:name="_Toc87349545"/>
      <w:bookmarkStart w:id="378" w:name="_Toc87349658"/>
      <w:bookmarkStart w:id="379" w:name="_Toc87349765"/>
      <w:bookmarkStart w:id="380" w:name="_Toc107248327"/>
      <w:r w:rsidRPr="005459E6">
        <w:rPr>
          <w:rFonts w:ascii="Times New Roman" w:hAnsi="Times New Roman" w:cs="Times New Roman"/>
          <w:color w:val="auto"/>
          <w:sz w:val="22"/>
          <w:szCs w:val="22"/>
        </w:rPr>
        <w:t>Feature engineering</w:t>
      </w:r>
      <w:bookmarkEnd w:id="375"/>
      <w:bookmarkEnd w:id="376"/>
      <w:bookmarkEnd w:id="377"/>
      <w:bookmarkEnd w:id="378"/>
      <w:bookmarkEnd w:id="379"/>
      <w:bookmarkEnd w:id="380"/>
    </w:p>
    <w:p w14:paraId="6B4B0D7C" w14:textId="0E8D39AB" w:rsidR="00140811"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 xml:space="preserve">Feature engineering is an important phase in the predictive modeling process. It entails the change of given feature space, usually with the aid of mathematical functions, </w:t>
      </w:r>
      <w:r w:rsidR="00DC727A" w:rsidRPr="005459E6">
        <w:rPr>
          <w:rFonts w:ascii="Times New Roman" w:hAnsi="Times New Roman" w:cs="Times New Roman"/>
        </w:rPr>
        <w:t>intending to lower</w:t>
      </w:r>
      <w:r w:rsidRPr="005459E6">
        <w:rPr>
          <w:rFonts w:ascii="Times New Roman" w:hAnsi="Times New Roman" w:cs="Times New Roman"/>
        </w:rPr>
        <w:t xml:space="preserve"> modeling error for a specified aim. Effective feature engineering, on the other hand, lacks a well-defined foundation. It entails topic knowledge, on-the-job training, and, most importantly, a long period of trial and error.</w:t>
      </w:r>
    </w:p>
    <w:p w14:paraId="589A04AB" w14:textId="1379972F" w:rsidR="003C0C38" w:rsidRPr="005459E6" w:rsidRDefault="00140811" w:rsidP="00042CB0">
      <w:pPr>
        <w:spacing w:line="360" w:lineRule="auto"/>
        <w:jc w:val="both"/>
        <w:rPr>
          <w:rFonts w:ascii="Times New Roman" w:hAnsi="Times New Roman" w:cs="Times New Roman"/>
        </w:rPr>
      </w:pPr>
      <w:r w:rsidRPr="005459E6">
        <w:rPr>
          <w:rFonts w:ascii="Times New Roman" w:hAnsi="Times New Roman" w:cs="Times New Roman"/>
        </w:rPr>
        <w:t xml:space="preserve">The amount of human attention required to manage this process has a major impact on the cost of model production </w:t>
      </w:r>
      <w:r w:rsidR="00B377B1" w:rsidRPr="005459E6">
        <w:rPr>
          <w:rFonts w:ascii="Times New Roman" w:hAnsi="Times New Roman" w:cs="Times New Roman"/>
        </w:rPr>
        <w:fldChar w:fldCharType="begin" w:fldLock="1"/>
      </w:r>
      <w:r w:rsidR="00B377B1" w:rsidRPr="005459E6">
        <w:rPr>
          <w:rFonts w:ascii="Times New Roman" w:hAnsi="Times New Roman" w:cs="Times New Roman"/>
        </w:rPr>
        <w:instrText>ADDIN CSL_CITATION {"citationItems":[{"id":"ITEM-1","itemData":{"ISSN":"23318422","abstract":"Feature engineering is a crucial step in the process of predictive modeling. It involves the transformation of given feature space, typically using mathematical functions, with the objective of reducing the modeling error for a given target. However, there is no well-defined basis for performing effective feature engineering. It involves domain knowledge, intuition, and most of all, a lengthy process of trial and error. The human attention involved in overseeing this process significantly influences the cost of model generation. We present a new framework to automate feature engineering. It is based on performance driven exploration of a transformation graph, which systematically and compactly enumerates the space of given options. A highly efficient exploration strategy is derived through reinforcement learning on past examples.","author":[{"dropping-particle":"","family":"Khurana","given":"Udayan","non-dropping-particle":"","parse-names":false,"suffix":""},{"dropping-particle":"","family":"Samulowitz","given":"Horst","non-dropping-particle":"","parse-names":false,"suffix":""},{"dropping-particle":"","family":"Turaga","given":"Deepak","non-dropping-particle":"","parse-names":false,"suffix":""}],"container-title":"arXiv","id":"ITEM-1","issued":{"date-parts":[["2017"]]},"page":"3407-3414","title":"Feature Engineering for Predictive Modeling using Reinforcement Learning","type":"article-journal"},"uris":["http://www.mendeley.com/documents/?uuid=aa9481a6-c85a-45a9-af1f-dd4aa03ab3b0"]}],"mendeley":{"formattedCitation":"(Khurana et al., 2017)","plainTextFormattedCitation":"(Khurana et al., 2017)","previouslyFormattedCitation":"(Khurana et al., 2017)"},"properties":{"noteIndex":0},"schema":"https://github.com/citation-style-language/schema/raw/master/csl-citation.json"}</w:instrText>
      </w:r>
      <w:r w:rsidR="00B377B1" w:rsidRPr="005459E6">
        <w:rPr>
          <w:rFonts w:ascii="Times New Roman" w:hAnsi="Times New Roman" w:cs="Times New Roman"/>
        </w:rPr>
        <w:fldChar w:fldCharType="separate"/>
      </w:r>
      <w:r w:rsidR="00B377B1" w:rsidRPr="005459E6">
        <w:rPr>
          <w:rFonts w:ascii="Times New Roman" w:hAnsi="Times New Roman" w:cs="Times New Roman"/>
          <w:noProof/>
        </w:rPr>
        <w:t>(Khurana et al., 2017)</w:t>
      </w:r>
      <w:r w:rsidR="00B377B1" w:rsidRPr="005459E6">
        <w:rPr>
          <w:rFonts w:ascii="Times New Roman" w:hAnsi="Times New Roman" w:cs="Times New Roman"/>
        </w:rPr>
        <w:fldChar w:fldCharType="end"/>
      </w:r>
      <w:r w:rsidR="00B377B1" w:rsidRPr="005459E6">
        <w:rPr>
          <w:rFonts w:ascii="Times New Roman" w:hAnsi="Times New Roman" w:cs="Times New Roman"/>
        </w:rPr>
        <w:t>.</w:t>
      </w:r>
    </w:p>
    <w:p w14:paraId="27B1F561" w14:textId="77777777" w:rsidR="003C0C38" w:rsidRPr="005459E6" w:rsidRDefault="003C0C38" w:rsidP="00042CB0">
      <w:pPr>
        <w:spacing w:line="360" w:lineRule="auto"/>
        <w:jc w:val="both"/>
        <w:rPr>
          <w:rFonts w:ascii="Times New Roman" w:hAnsi="Times New Roman" w:cs="Times New Roman"/>
        </w:rPr>
      </w:pPr>
    </w:p>
    <w:p w14:paraId="711F5B3C" w14:textId="77777777" w:rsidR="003C0C38" w:rsidRPr="005459E6" w:rsidRDefault="003C0C38" w:rsidP="00042CB0">
      <w:pPr>
        <w:spacing w:line="360" w:lineRule="auto"/>
        <w:jc w:val="both"/>
        <w:rPr>
          <w:rFonts w:ascii="Times New Roman" w:hAnsi="Times New Roman" w:cs="Times New Roman"/>
        </w:rPr>
      </w:pPr>
    </w:p>
    <w:p w14:paraId="5AFBF432" w14:textId="77777777" w:rsidR="003C0C38" w:rsidRPr="005459E6" w:rsidRDefault="003C0C38" w:rsidP="00042CB0">
      <w:pPr>
        <w:spacing w:line="360" w:lineRule="auto"/>
        <w:jc w:val="both"/>
        <w:rPr>
          <w:rFonts w:ascii="Times New Roman" w:hAnsi="Times New Roman" w:cs="Times New Roman"/>
        </w:rPr>
      </w:pPr>
    </w:p>
    <w:p w14:paraId="0ED4157B" w14:textId="77777777" w:rsidR="003C0C38" w:rsidRPr="005459E6" w:rsidRDefault="003C0C38" w:rsidP="00042CB0">
      <w:pPr>
        <w:spacing w:line="360" w:lineRule="auto"/>
        <w:jc w:val="both"/>
        <w:rPr>
          <w:rFonts w:ascii="Times New Roman" w:hAnsi="Times New Roman" w:cs="Times New Roman"/>
        </w:rPr>
      </w:pPr>
    </w:p>
    <w:p w14:paraId="7948D810" w14:textId="77777777" w:rsidR="003C0C38" w:rsidRPr="005459E6" w:rsidRDefault="003C0C38" w:rsidP="00042CB0">
      <w:pPr>
        <w:spacing w:line="360" w:lineRule="auto"/>
        <w:jc w:val="both"/>
        <w:rPr>
          <w:rFonts w:ascii="Times New Roman" w:hAnsi="Times New Roman" w:cs="Times New Roman"/>
        </w:rPr>
      </w:pPr>
    </w:p>
    <w:p w14:paraId="7A95C97B" w14:textId="77777777" w:rsidR="003C0C38" w:rsidRPr="005459E6" w:rsidRDefault="003C0C38" w:rsidP="00042CB0">
      <w:pPr>
        <w:spacing w:line="360" w:lineRule="auto"/>
        <w:jc w:val="both"/>
        <w:rPr>
          <w:rFonts w:ascii="Times New Roman" w:hAnsi="Times New Roman" w:cs="Times New Roman"/>
        </w:rPr>
      </w:pPr>
    </w:p>
    <w:p w14:paraId="5F5F74A2" w14:textId="77777777" w:rsidR="003C0C38" w:rsidRPr="005459E6" w:rsidRDefault="003C0C38" w:rsidP="00042CB0">
      <w:pPr>
        <w:spacing w:line="360" w:lineRule="auto"/>
        <w:jc w:val="both"/>
        <w:rPr>
          <w:rFonts w:ascii="Times New Roman" w:hAnsi="Times New Roman" w:cs="Times New Roman"/>
        </w:rPr>
      </w:pPr>
    </w:p>
    <w:p w14:paraId="6C0A5BEA" w14:textId="77777777" w:rsidR="003C0C38" w:rsidRPr="005459E6" w:rsidRDefault="003C0C38" w:rsidP="00042CB0">
      <w:pPr>
        <w:spacing w:line="360" w:lineRule="auto"/>
        <w:jc w:val="both"/>
        <w:rPr>
          <w:rFonts w:ascii="Times New Roman" w:hAnsi="Times New Roman" w:cs="Times New Roman"/>
        </w:rPr>
      </w:pPr>
    </w:p>
    <w:p w14:paraId="647523E1" w14:textId="77777777" w:rsidR="003C0C38" w:rsidRPr="005459E6" w:rsidRDefault="003C0C38" w:rsidP="00042CB0">
      <w:pPr>
        <w:pStyle w:val="Titolo2"/>
        <w:spacing w:line="360" w:lineRule="auto"/>
        <w:jc w:val="both"/>
        <w:rPr>
          <w:rFonts w:ascii="Times New Roman" w:hAnsi="Times New Roman" w:cs="Times New Roman"/>
          <w:color w:val="auto"/>
          <w:sz w:val="22"/>
          <w:szCs w:val="22"/>
        </w:rPr>
      </w:pPr>
      <w:bookmarkStart w:id="381" w:name="_Toc73129048"/>
      <w:bookmarkStart w:id="382" w:name="_Toc85542465"/>
      <w:bookmarkStart w:id="383" w:name="_Toc87349546"/>
      <w:bookmarkStart w:id="384" w:name="_Toc87349659"/>
      <w:bookmarkStart w:id="385" w:name="_Toc87349766"/>
      <w:bookmarkStart w:id="386" w:name="_Toc107248328"/>
      <w:r w:rsidRPr="005459E6">
        <w:rPr>
          <w:rFonts w:ascii="Times New Roman" w:hAnsi="Times New Roman" w:cs="Times New Roman"/>
          <w:color w:val="auto"/>
          <w:sz w:val="22"/>
          <w:szCs w:val="22"/>
        </w:rPr>
        <w:t>Data Models</w:t>
      </w:r>
      <w:bookmarkEnd w:id="381"/>
      <w:bookmarkEnd w:id="382"/>
      <w:bookmarkEnd w:id="383"/>
      <w:bookmarkEnd w:id="384"/>
      <w:bookmarkEnd w:id="385"/>
      <w:bookmarkEnd w:id="386"/>
    </w:p>
    <w:p w14:paraId="7CEE62F3" w14:textId="555FC824" w:rsidR="003C0C38" w:rsidRPr="005459E6" w:rsidRDefault="003C0C38" w:rsidP="00042CB0">
      <w:pPr>
        <w:spacing w:line="360" w:lineRule="auto"/>
        <w:jc w:val="both"/>
        <w:rPr>
          <w:rFonts w:ascii="Times New Roman" w:hAnsi="Times New Roman" w:cs="Times New Roman"/>
        </w:rPr>
      </w:pPr>
      <w:r w:rsidRPr="005459E6">
        <w:rPr>
          <w:rFonts w:ascii="Times New Roman" w:hAnsi="Times New Roman" w:cs="Times New Roman"/>
        </w:rPr>
        <w:t xml:space="preserve">An experimental setup that deploys data science for predictive analysis.  </w:t>
      </w:r>
    </w:p>
    <w:p w14:paraId="568E021D" w14:textId="77777777" w:rsidR="00C715AB" w:rsidRPr="005459E6" w:rsidRDefault="00C715AB" w:rsidP="00042CB0">
      <w:pPr>
        <w:spacing w:line="360" w:lineRule="auto"/>
        <w:jc w:val="both"/>
        <w:rPr>
          <w:rFonts w:ascii="Times New Roman" w:hAnsi="Times New Roman" w:cs="Times New Roman"/>
        </w:rPr>
      </w:pPr>
    </w:p>
    <w:p w14:paraId="6056F9EA" w14:textId="77777777" w:rsidR="003C0C38" w:rsidRPr="005459E6" w:rsidRDefault="003C0C38"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Pr="005459E6">
        <w:rPr>
          <w:rFonts w:ascii="Times New Roman" w:hAnsi="Times New Roman" w:cs="Times New Roman"/>
          <w:i/>
          <w:iCs/>
        </w:rPr>
        <w:tab/>
        <w:t>Multiple Linear regression &amp;</w:t>
      </w:r>
    </w:p>
    <w:p w14:paraId="03BE66BF" w14:textId="63D556BE" w:rsidR="003C0C38" w:rsidRPr="005459E6" w:rsidRDefault="003C0C38" w:rsidP="00042CB0">
      <w:pPr>
        <w:spacing w:line="360" w:lineRule="auto"/>
        <w:jc w:val="both"/>
        <w:rPr>
          <w:rFonts w:ascii="Times New Roman" w:hAnsi="Times New Roman" w:cs="Times New Roman"/>
          <w:i/>
          <w:iCs/>
        </w:rPr>
      </w:pPr>
      <w:r w:rsidRPr="005459E6">
        <w:rPr>
          <w:rFonts w:ascii="Times New Roman" w:hAnsi="Times New Roman" w:cs="Times New Roman"/>
          <w:i/>
          <w:iCs/>
        </w:rPr>
        <w:t></w:t>
      </w:r>
      <w:r w:rsidRPr="005459E6">
        <w:rPr>
          <w:rFonts w:ascii="Times New Roman" w:hAnsi="Times New Roman" w:cs="Times New Roman"/>
          <w:i/>
          <w:iCs/>
        </w:rPr>
        <w:tab/>
        <w:t>Decision Tree algorithm</w:t>
      </w:r>
    </w:p>
    <w:p w14:paraId="3A784D9B" w14:textId="77777777" w:rsidR="003C0C38" w:rsidRPr="005459E6" w:rsidRDefault="003C0C38" w:rsidP="00042CB0">
      <w:pPr>
        <w:spacing w:line="360" w:lineRule="auto"/>
        <w:jc w:val="both"/>
        <w:rPr>
          <w:rFonts w:ascii="Times New Roman" w:hAnsi="Times New Roman" w:cs="Times New Roman"/>
        </w:rPr>
      </w:pPr>
    </w:p>
    <w:p w14:paraId="26A2DB60" w14:textId="4804A597" w:rsidR="001A6520" w:rsidRPr="005459E6" w:rsidRDefault="00F27D2D" w:rsidP="001A6520">
      <w:pPr>
        <w:spacing w:line="360" w:lineRule="auto"/>
        <w:jc w:val="both"/>
        <w:rPr>
          <w:rFonts w:ascii="Times New Roman" w:hAnsi="Times New Roman" w:cs="Times New Roman"/>
        </w:rPr>
      </w:pPr>
      <w:r w:rsidRPr="005459E6">
        <w:rPr>
          <w:rFonts w:ascii="Times New Roman" w:hAnsi="Times New Roman" w:cs="Times New Roman"/>
        </w:rPr>
        <w:t xml:space="preserve">There are different types of linear regression analysis, but multiple linear regressions are the most common. One continuous dependent variable is analyzed along with two or more independent variables in this kind of predictive analysis. The independent elements are combined linearly to forecast the dependent variable. </w:t>
      </w:r>
      <w:r w:rsidR="001A6520" w:rsidRPr="005459E6">
        <w:rPr>
          <w:rFonts w:ascii="Times New Roman" w:hAnsi="Times New Roman" w:cs="Times New Roman"/>
        </w:rPr>
        <w:t xml:space="preserve">The statistical value of R-Squared is used to assess the ability of a regression model to predict the dependent variable. On the other hand, the unstandardized beta (B) indicates the increase or decrease of the independent variables </w:t>
      </w:r>
      <w:r w:rsidR="001B44B5" w:rsidRPr="005459E6">
        <w:rPr>
          <w:rFonts w:ascii="Times New Roman" w:hAnsi="Times New Roman" w:cs="Times New Roman"/>
        </w:rPr>
        <w:t>concerning</w:t>
      </w:r>
      <w:r w:rsidR="001A6520" w:rsidRPr="005459E6">
        <w:rPr>
          <w:rFonts w:ascii="Times New Roman" w:hAnsi="Times New Roman" w:cs="Times New Roman"/>
        </w:rPr>
        <w:t xml:space="preserve"> the dependent variables.</w:t>
      </w:r>
    </w:p>
    <w:p w14:paraId="024E471D" w14:textId="77777777" w:rsidR="00C62F80" w:rsidRPr="005459E6" w:rsidRDefault="00C62F80" w:rsidP="00042CB0">
      <w:pPr>
        <w:spacing w:line="360" w:lineRule="auto"/>
        <w:jc w:val="both"/>
        <w:rPr>
          <w:rFonts w:ascii="Times New Roman" w:hAnsi="Times New Roman" w:cs="Times New Roman"/>
        </w:rPr>
      </w:pPr>
    </w:p>
    <w:p w14:paraId="68BE43CE" w14:textId="77777777" w:rsidR="003C0C38" w:rsidRPr="005459E6" w:rsidRDefault="003C0C38" w:rsidP="00042CB0">
      <w:pPr>
        <w:spacing w:line="360" w:lineRule="auto"/>
        <w:jc w:val="both"/>
        <w:rPr>
          <w:rFonts w:ascii="Times New Roman" w:hAnsi="Times New Roman" w:cs="Times New Roman"/>
          <w:b/>
          <w:bCs/>
        </w:rPr>
      </w:pPr>
      <w:r w:rsidRPr="005459E6">
        <w:rPr>
          <w:rFonts w:ascii="Times New Roman" w:hAnsi="Times New Roman" w:cs="Times New Roman"/>
          <w:b/>
          <w:bCs/>
        </w:rPr>
        <w:t>Creating ML Model:</w:t>
      </w:r>
    </w:p>
    <w:p w14:paraId="663C185D"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 xml:space="preserve">1: Collect Both Categoric and Measurement data </w:t>
      </w:r>
    </w:p>
    <w:p w14:paraId="2A7FA285"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 xml:space="preserve">2: Stage it for the Target value </w:t>
      </w:r>
    </w:p>
    <w:p w14:paraId="7D8A9005"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3: Feature Extraction / Algorithms Selection</w:t>
      </w:r>
    </w:p>
    <w:p w14:paraId="47C40980"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4: Make Predictions (Regression/Classification)</w:t>
      </w:r>
    </w:p>
    <w:p w14:paraId="46AD4CBD"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5: Holdout score (80% - 20%) &amp; Performance Measures (such as MAE/Recall)</w:t>
      </w:r>
    </w:p>
    <w:p w14:paraId="0165D551"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 xml:space="preserve">6: Model Evaluation (Accuracy, Reliability &amp; Data path) and fit the data </w:t>
      </w:r>
    </w:p>
    <w:p w14:paraId="3AB5320F" w14:textId="77777777" w:rsidR="003C0C38" w:rsidRPr="005459E6" w:rsidRDefault="003C0C38" w:rsidP="00042CB0">
      <w:pPr>
        <w:spacing w:line="360" w:lineRule="auto"/>
        <w:ind w:left="720"/>
        <w:jc w:val="both"/>
        <w:rPr>
          <w:rFonts w:ascii="Times New Roman" w:hAnsi="Times New Roman" w:cs="Times New Roman"/>
          <w:i/>
          <w:iCs/>
        </w:rPr>
      </w:pPr>
      <w:r w:rsidRPr="005459E6">
        <w:rPr>
          <w:rFonts w:ascii="Times New Roman" w:hAnsi="Times New Roman" w:cs="Times New Roman"/>
          <w:i/>
          <w:iCs/>
        </w:rPr>
        <w:t>7: Algorithm Selection &amp; Data Evaluation for Batch predictions.</w:t>
      </w:r>
    </w:p>
    <w:p w14:paraId="544E34AD" w14:textId="77777777" w:rsidR="003C0C38" w:rsidRPr="005459E6" w:rsidRDefault="003C0C38" w:rsidP="00042CB0">
      <w:pPr>
        <w:spacing w:line="360" w:lineRule="auto"/>
        <w:jc w:val="both"/>
        <w:rPr>
          <w:rFonts w:ascii="Times New Roman" w:hAnsi="Times New Roman" w:cs="Times New Roman"/>
        </w:rPr>
      </w:pPr>
    </w:p>
    <w:p w14:paraId="5747C43C" w14:textId="7209D8A6" w:rsidR="003C0C38" w:rsidRPr="005459E6" w:rsidRDefault="004970FE" w:rsidP="00042CB0">
      <w:pPr>
        <w:spacing w:line="360" w:lineRule="auto"/>
        <w:jc w:val="both"/>
        <w:rPr>
          <w:rFonts w:ascii="Times New Roman" w:hAnsi="Times New Roman" w:cs="Times New Roman"/>
          <w:iCs/>
        </w:rPr>
      </w:pPr>
      <w:r w:rsidRPr="005459E6">
        <w:rPr>
          <w:rFonts w:ascii="Times New Roman" w:hAnsi="Times New Roman" w:cs="Times New Roman"/>
          <w:iCs/>
        </w:rPr>
        <w:t>Machine Learning consists</w:t>
      </w:r>
      <w:r w:rsidR="003C0C38" w:rsidRPr="005459E6">
        <w:rPr>
          <w:rFonts w:ascii="Times New Roman" w:hAnsi="Times New Roman" w:cs="Times New Roman"/>
          <w:iCs/>
        </w:rPr>
        <w:t xml:space="preserve"> of Supervised and Unsupervised modeling to generate the outcomes </w:t>
      </w:r>
      <w:r w:rsidR="003C0C38" w:rsidRPr="005459E6">
        <w:rPr>
          <w:rFonts w:ascii="Times New Roman" w:hAnsi="Times New Roman" w:cs="Times New Roman"/>
          <w:iCs/>
        </w:rPr>
        <w:fldChar w:fldCharType="begin" w:fldLock="1"/>
      </w:r>
      <w:r w:rsidR="003C0C38" w:rsidRPr="005459E6">
        <w:rPr>
          <w:rFonts w:ascii="Times New Roman" w:hAnsi="Times New Roman" w:cs="Times New Roman"/>
          <w:iCs/>
        </w:rPr>
        <w:instrText>ADDIN CSL_CITATION {"citationItems":[{"id":"ITEM-1","itemData":{"DOI":"10.1007/s13748-016-0094-0","ISSN":"21926360","abstract":"Despite more than two decades of continuous development learning from imbalanced data is still a focus of intense research. Starting as a problem of skewed distributions of binary tasks, this topic evolved way beyond this conception. With the expansion of machine learning and data mining, combined with the arrival of big data era, we have gained a deeper insight into the nature of imbalanced learning, while at the same time facing new emerging challenges. Data-level and algorithm-level methods are constantly being improved and hybrid approaches gain increasing popularity. Recent trends focus on analyzing not only the disproportion between classes, but also other difficulties embedded in the nature of data. New real-life problems motivate researchers to focus on computationally efficient, adaptive and real-time methods. This paper aims at discussing open issues and challenges that need to be addressed to further develop the field of imbalanced learning. Seven vital areas of research in this topic are identified, covering the full spectrum of learning from imbalanced data: classification, regression, clustering, data streams, big data analytics and applications, e.g., in social media and computer vision. This paper provides a discussion and suggestions concerning lines of future research for each of them.","author":[{"dropping-particle":"","family":"Krawczyk","given":"Bartosz","non-dropping-particle":"","parse-names":false,"suffix":""}],"container-title":"Progress in Artificial Intelligence","id":"ITEM-1","issue":"4","issued":{"date-parts":[["2016"]]},"page":"221-232","publisher":"Springer Berlin Heidelberg","title":"Learning from imbalanced data: open challenges and future directions","type":"article-journal","volume":"5"},"uris":["http://www.mendeley.com/documents/?uuid=048370f3-67af-4941-a56c-01e526f42428"]},{"id":"ITEM-2","itemData":{"abstract":"Calculating model accuracy is a critical part of any machine learning project, yet many data science tools make it difficult or impossible to assess the true accuracy of a model. Often tools only validate the model selection itself, not what happens around the selection. Or worse, they don't support tried and true techniques like cross-validation. This whitepaper discusses the four mandatory components for the correct validation of machine learning models, and how correct model validation works inside RapidMiner Studio. Performance Improvements in RapidMiner Studio 2 rapidminer.com Did you ever look forward to a watching a new movie, invite all your friends over to watch it with you, and then it turned out to be awful? Or did you ever buy a new vacuum cleaner based on some good reviews on Amazon only to find it breaks after a few uses? This is a situation where things look promising at first but then quickly collapse. Like a pair of cheap sneakers. Or Anakin Skywalker. All data scientists have been in a situation where you think a machine learning model will do a great job of predicting something, but once it's in production, it doesn't perform as well as expected. In the best case, this is only an annoying waste of your time. But in the worst case, a model performing unexpectedly can cost millions of dollars – or potentially even human lives! So was the predictive model wrong in those cases? Possibly. But often it is not the model which is wrong, but how the model was validated. A wrong validation leads to over-optimistic expectations of what will happen in production. Since the consequences are often dire, I'm going to discuss how to prevent mistakes in model validation and the necessary components of a correct validation. To kick off the discussion, let's get grounded in some of the basic concepts of validating machine learning models: predictive modeling, training error, test error and cross validation.","author":[{"dropping-particle":"","family":"Mierswa","given":"Ingo","non-dropping-particle":"","parse-names":false,"suffix":""}],"id":"ITEM-2","issued":{"date-parts":[["2017"]]},"page":"26","title":"How to Correctly Validate Machine Learning Models","type":"article-journal"},"uris":["http://www.mendeley.com/documents/?uuid=a50fc058-e68c-4e0f-9c36-4d2d7f0f01b9"]},{"id":"ITEM-3","itemData":{"DOI":"10.4108/eai.23-3-2018.161436","ISSN":"2032-927X","abstract":"With the proliferation of relatively cheap Internet of Things (IoT) devices, smart environments have been highlighted as an example of how the IoT can make our lives easier. Each of these ‘things’ produces data which can work in unison to react to its users. Machine learning makes use of this data to make inferences about our habits and activities, such as our buying preferences or likely commute destinations. However, this level of human inclusion within the IoT relies on indirect inferences from the usage of these devices or services. Activity recognition is already a widely researched area and could provide a more direct way of including humans within this system. This research explores the feasibility of using a cost effective, unobtrusive, single modality ground-based sensor matrix to track subtle pressure changes to predict user activity, in an effort to assess its ability to act as an intermediary interface between humans and digital systems such as the IoT.","author":[{"dropping-particle":"","family":"Rameka","given":"A.N.A.","non-dropping-particle":"","parse-names":false,"suffix":""},{"dropping-particle":"","family":"Connor","given":"A.M.","non-dropping-particle":"","parse-names":false,"suffix":""},{"dropping-particle":"","family":"Kruse","given":"J.","non-dropping-particle":"","parse-names":false,"suffix":""}],"container-title":"ICST Transactions on Ambient Systems","id":"ITEM-3","issue":"18","issued":{"date-parts":[["2019"]]},"page":"161436","title":"Activity recognition evaluation via machine learning","type":"article-journal","volume":"6"},"uris":["http://www.mendeley.com/documents/?uuid=10bb8920-e91a-4787-a854-1a848fb8db6c"]}],"mendeley":{"formattedCitation":"(Krawczyk, 2016; Mierswa, 2017; Rameka et al., 2019)","plainTextFormattedCitation":"(Krawczyk, 2016; Mierswa, 2017; Rameka et al., 2019)","previouslyFormattedCitation":"(Krawczyk, 2016; Mierswa, 2017; Rameka et al., 2019)"},"properties":{"noteIndex":0},"schema":"https://github.com/citation-style-language/schema/raw/master/csl-citation.json"}</w:instrText>
      </w:r>
      <w:r w:rsidR="003C0C38" w:rsidRPr="005459E6">
        <w:rPr>
          <w:rFonts w:ascii="Times New Roman" w:hAnsi="Times New Roman" w:cs="Times New Roman"/>
          <w:iCs/>
        </w:rPr>
        <w:fldChar w:fldCharType="separate"/>
      </w:r>
      <w:r w:rsidR="003C0C38" w:rsidRPr="005459E6">
        <w:rPr>
          <w:rFonts w:ascii="Times New Roman" w:hAnsi="Times New Roman" w:cs="Times New Roman"/>
          <w:iCs/>
          <w:noProof/>
        </w:rPr>
        <w:t>(Krawczyk, 2016; Mierswa, 2017; Rameka et al., 2019)</w:t>
      </w:r>
      <w:r w:rsidR="003C0C38" w:rsidRPr="005459E6">
        <w:rPr>
          <w:rFonts w:ascii="Times New Roman" w:hAnsi="Times New Roman" w:cs="Times New Roman"/>
          <w:iCs/>
        </w:rPr>
        <w:fldChar w:fldCharType="end"/>
      </w:r>
      <w:r w:rsidR="003C0C38" w:rsidRPr="005459E6">
        <w:rPr>
          <w:rFonts w:ascii="Times New Roman" w:hAnsi="Times New Roman" w:cs="Times New Roman"/>
          <w:iCs/>
        </w:rPr>
        <w:t>.</w:t>
      </w:r>
    </w:p>
    <w:p w14:paraId="5BA3E654" w14:textId="77777777" w:rsidR="003C0C38" w:rsidRPr="005459E6" w:rsidRDefault="003C0C38" w:rsidP="00042CB0">
      <w:pPr>
        <w:spacing w:line="360" w:lineRule="auto"/>
        <w:jc w:val="both"/>
        <w:rPr>
          <w:rFonts w:ascii="Times New Roman" w:hAnsi="Times New Roman" w:cs="Times New Roman"/>
          <w:b/>
          <w:bCs/>
        </w:rPr>
      </w:pPr>
    </w:p>
    <w:p w14:paraId="168E5E08" w14:textId="4697C391" w:rsidR="004C0A88" w:rsidRPr="005459E6" w:rsidRDefault="003C0C38" w:rsidP="00042CB0">
      <w:pPr>
        <w:pStyle w:val="Titolo3"/>
        <w:spacing w:line="360" w:lineRule="auto"/>
        <w:jc w:val="both"/>
        <w:rPr>
          <w:rFonts w:ascii="Times New Roman" w:hAnsi="Times New Roman" w:cs="Times New Roman"/>
          <w:color w:val="auto"/>
          <w:sz w:val="22"/>
          <w:szCs w:val="22"/>
        </w:rPr>
      </w:pPr>
      <w:bookmarkStart w:id="387" w:name="_Toc73129052"/>
      <w:bookmarkStart w:id="388" w:name="_Toc85542466"/>
      <w:bookmarkStart w:id="389" w:name="_Toc87349547"/>
      <w:bookmarkStart w:id="390" w:name="_Toc87349660"/>
      <w:bookmarkStart w:id="391" w:name="_Toc87349767"/>
      <w:bookmarkStart w:id="392" w:name="_Toc107248329"/>
      <w:r w:rsidRPr="005459E6">
        <w:rPr>
          <w:rFonts w:ascii="Times New Roman" w:hAnsi="Times New Roman" w:cs="Times New Roman"/>
          <w:color w:val="auto"/>
          <w:sz w:val="22"/>
          <w:szCs w:val="22"/>
        </w:rPr>
        <w:t>Supervised Modelling</w:t>
      </w:r>
      <w:bookmarkStart w:id="393" w:name="_Toc73129054"/>
      <w:bookmarkEnd w:id="387"/>
      <w:bookmarkEnd w:id="388"/>
      <w:bookmarkEnd w:id="389"/>
      <w:bookmarkEnd w:id="390"/>
      <w:bookmarkEnd w:id="391"/>
      <w:bookmarkEnd w:id="392"/>
    </w:p>
    <w:p w14:paraId="0D134F99" w14:textId="77777777" w:rsidR="003C06DA" w:rsidRPr="005459E6" w:rsidRDefault="003C06DA" w:rsidP="00042CB0">
      <w:pPr>
        <w:pStyle w:val="Titolo4"/>
        <w:spacing w:line="360" w:lineRule="auto"/>
        <w:jc w:val="both"/>
        <w:rPr>
          <w:rFonts w:ascii="Times New Roman" w:hAnsi="Times New Roman" w:cs="Times New Roman"/>
          <w:color w:val="auto"/>
        </w:rPr>
      </w:pPr>
      <w:bookmarkStart w:id="394" w:name="_Toc73129050"/>
      <w:r w:rsidRPr="005459E6">
        <w:rPr>
          <w:rFonts w:ascii="Times New Roman" w:hAnsi="Times New Roman" w:cs="Times New Roman"/>
          <w:color w:val="auto"/>
        </w:rPr>
        <w:t>Sunburst Chart</w:t>
      </w:r>
      <w:bookmarkEnd w:id="394"/>
    </w:p>
    <w:p w14:paraId="075F7D7B" w14:textId="0A3F5CED" w:rsidR="00DA60CD" w:rsidRPr="005459E6" w:rsidRDefault="00DA60CD" w:rsidP="00042CB0">
      <w:pPr>
        <w:spacing w:line="360" w:lineRule="auto"/>
        <w:jc w:val="both"/>
        <w:rPr>
          <w:rFonts w:ascii="Times New Roman" w:hAnsi="Times New Roman" w:cs="Times New Roman"/>
        </w:rPr>
      </w:pPr>
      <w:r w:rsidRPr="005459E6">
        <w:rPr>
          <w:rFonts w:ascii="Times New Roman" w:hAnsi="Times New Roman" w:cs="Times New Roman"/>
        </w:rPr>
        <w:t>A Sunburst diagram is used interactively for exploratory purpose</w:t>
      </w:r>
      <w:r w:rsidR="00CF5C5B" w:rsidRPr="005459E6">
        <w:rPr>
          <w:rFonts w:ascii="Times New Roman" w:hAnsi="Times New Roman" w:cs="Times New Roman"/>
        </w:rPr>
        <w:t>s</w:t>
      </w:r>
      <w:r w:rsidRPr="005459E6">
        <w:rPr>
          <w:rFonts w:ascii="Times New Roman" w:hAnsi="Times New Roman" w:cs="Times New Roman"/>
        </w:rPr>
        <w:t xml:space="preserve"> in data</w:t>
      </w:r>
      <w:r w:rsidR="00CF5C5B" w:rsidRPr="005459E6">
        <w:rPr>
          <w:rFonts w:ascii="Times New Roman" w:hAnsi="Times New Roman" w:cs="Times New Roman"/>
        </w:rPr>
        <w:t>-</w:t>
      </w:r>
      <w:r w:rsidRPr="005459E6">
        <w:rPr>
          <w:rFonts w:ascii="Times New Roman" w:hAnsi="Times New Roman" w:cs="Times New Roman"/>
        </w:rPr>
        <w:t xml:space="preserve">driven research.  As explained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{"citationItems":[{"id":"ITEM-1","itemData":{"DOI":"10.1145/2909132.2933287","ISBN":"9781450341318","abstract":"While modern information visualization (IV) has been around for several decades, the inventions of IV seem to be peripheral to the everyday work in companies that would seem to be the most likely to use these inventions. In this case study, Google uses very few IV tools, relying mostly on more traditional ways of looking at data and data relationships. What has brought about this state of affairs? An analysis shows that the basic causes of low adoption are (a) difficulty of data wrangling and sharing the work products of analysis, (b) the need to share a common visual language literacy across different parts of the organization, (c) problems in using IV tools to communicate and present complex data analyses. At the same time, IV technology is found to be more useful in the investigation phase of research, rather than for communication and presentation reasons.","author":[{"dropping-particle":"","family":"Russell","given":"Daniel M.","non-dropping-particle":"","parse-names":false,"suffix":""}],"container-title":"Proceedings of the Workshop on Advanced Visual Interfaces AVI","id":"ITEM-1","issue":"June 2016","issued":{"date-parts":[["2016"]]},"page":"7-12","title":"Simple is good: Observations of visualization use amongst the big data digerati","type":"article-journal","volume":"07-10-June"},"uris":["http://www.mendeley.com/documents/?uuid=e74df481-f8dd-444d-8880-830214a5d553"]}],"mendeley":{"formattedCitation":"(Russell, 2016)","manualFormatting":"Russell (2016)","plainTextFormattedCitation":"(Russell, 2016)","previouslyFormattedCitation":"(Russell,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Russell (2016)</w:t>
      </w:r>
      <w:r w:rsidRPr="005459E6">
        <w:rPr>
          <w:rFonts w:ascii="Times New Roman" w:hAnsi="Times New Roman" w:cs="Times New Roman"/>
        </w:rPr>
        <w:fldChar w:fldCharType="end"/>
      </w:r>
      <w:r w:rsidRPr="005459E6">
        <w:rPr>
          <w:rFonts w:ascii="Times New Roman" w:hAnsi="Times New Roman" w:cs="Times New Roman"/>
        </w:rPr>
        <w:t>, its different arcs open up subfractions of data that display a common ancestry. A Sunburst is useful both as an investigation tool and a presentation tool.</w:t>
      </w:r>
    </w:p>
    <w:p w14:paraId="61D368F3" w14:textId="77777777" w:rsidR="003C06DA" w:rsidRPr="005459E6" w:rsidRDefault="003C06DA" w:rsidP="00042CB0">
      <w:pPr>
        <w:pStyle w:val="Titolo3"/>
        <w:spacing w:line="360" w:lineRule="auto"/>
        <w:jc w:val="both"/>
        <w:rPr>
          <w:rFonts w:ascii="Times New Roman" w:hAnsi="Times New Roman" w:cs="Times New Roman"/>
          <w:color w:val="auto"/>
          <w:sz w:val="22"/>
          <w:szCs w:val="22"/>
        </w:rPr>
      </w:pPr>
    </w:p>
    <w:p w14:paraId="066E109E" w14:textId="77777777"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5FDF8900" wp14:editId="1D97B0F0">
            <wp:extent cx="1739942" cy="1735666"/>
            <wp:effectExtent l="0" t="0" r="0" b="0"/>
            <wp:docPr id="21" name="Picture 2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unburst 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70857" cy="1766505"/>
                    </a:xfrm>
                    <a:prstGeom prst="rect">
                      <a:avLst/>
                    </a:prstGeom>
                  </pic:spPr>
                </pic:pic>
              </a:graphicData>
            </a:graphic>
          </wp:inline>
        </w:drawing>
      </w:r>
      <w:r w:rsidRPr="005459E6">
        <w:rPr>
          <w:rFonts w:ascii="Times New Roman" w:hAnsi="Times New Roman" w:cs="Times New Roman"/>
          <w:noProof/>
        </w:rPr>
        <w:drawing>
          <wp:inline distT="0" distB="0" distL="0" distR="0" wp14:anchorId="5F6BA095" wp14:editId="3EFC5337">
            <wp:extent cx="1614159" cy="1710267"/>
            <wp:effectExtent l="0" t="0" r="5715" b="444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unburst char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37545" cy="1735045"/>
                    </a:xfrm>
                    <a:prstGeom prst="rect">
                      <a:avLst/>
                    </a:prstGeom>
                  </pic:spPr>
                </pic:pic>
              </a:graphicData>
            </a:graphic>
          </wp:inline>
        </w:drawing>
      </w:r>
      <w:r w:rsidRPr="005459E6">
        <w:rPr>
          <w:rFonts w:ascii="Times New Roman" w:hAnsi="Times New Roman" w:cs="Times New Roman"/>
          <w:noProof/>
        </w:rPr>
        <w:drawing>
          <wp:inline distT="0" distB="0" distL="0" distR="0" wp14:anchorId="71112BB6" wp14:editId="3AC6D0F1">
            <wp:extent cx="2497666" cy="1843053"/>
            <wp:effectExtent l="0" t="0" r="0" b="5080"/>
            <wp:docPr id="19" name="Picture 1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unburst chart&#10;&#10;Description automatically generated"/>
                    <pic:cNvPicPr/>
                  </pic:nvPicPr>
                  <pic:blipFill rotWithShape="1">
                    <a:blip r:embed="rId73" cstate="print">
                      <a:extLst>
                        <a:ext uri="{28A0092B-C50C-407E-A947-70E740481C1C}">
                          <a14:useLocalDpi xmlns:a14="http://schemas.microsoft.com/office/drawing/2010/main" val="0"/>
                        </a:ext>
                      </a:extLst>
                    </a:blip>
                    <a:srcRect l="4486"/>
                    <a:stretch/>
                  </pic:blipFill>
                  <pic:spPr bwMode="auto">
                    <a:xfrm>
                      <a:off x="0" y="0"/>
                      <a:ext cx="2523264" cy="1861942"/>
                    </a:xfrm>
                    <a:prstGeom prst="rect">
                      <a:avLst/>
                    </a:prstGeom>
                    <a:ln>
                      <a:noFill/>
                    </a:ln>
                    <a:extLst>
                      <a:ext uri="{53640926-AAD7-44D8-BBD7-CCE9431645EC}">
                        <a14:shadowObscured xmlns:a14="http://schemas.microsoft.com/office/drawing/2010/main"/>
                      </a:ext>
                    </a:extLst>
                  </pic:spPr>
                </pic:pic>
              </a:graphicData>
            </a:graphic>
          </wp:inline>
        </w:drawing>
      </w:r>
    </w:p>
    <w:p w14:paraId="1A1107DF" w14:textId="12A6574E" w:rsidR="003C06DA" w:rsidRPr="005459E6" w:rsidRDefault="003C06DA" w:rsidP="00042CB0">
      <w:pPr>
        <w:pStyle w:val="Sommario1"/>
        <w:keepNext/>
        <w:rPr>
          <w:rFonts w:ascii="Times New Roman" w:hAnsi="Times New Roman" w:cs="Times New Roman"/>
        </w:rPr>
      </w:pPr>
    </w:p>
    <w:p w14:paraId="124FBFDD" w14:textId="44F9FD19" w:rsidR="00A52418" w:rsidRPr="005459E6" w:rsidRDefault="00A52418" w:rsidP="00042CB0">
      <w:pPr>
        <w:pStyle w:val="Didascalia"/>
        <w:spacing w:line="360" w:lineRule="auto"/>
        <w:jc w:val="both"/>
        <w:rPr>
          <w:rFonts w:ascii="Times New Roman" w:hAnsi="Times New Roman" w:cs="Times New Roman"/>
          <w:i w:val="0"/>
          <w:iCs w:val="0"/>
          <w:color w:val="auto"/>
          <w:sz w:val="22"/>
          <w:szCs w:val="22"/>
        </w:rPr>
      </w:pPr>
      <w:bookmarkStart w:id="395" w:name="_Toc96343316"/>
      <w:bookmarkStart w:id="396" w:name="_Toc99915991"/>
      <w:bookmarkStart w:id="397" w:name="_Toc104968808"/>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22</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Sunburst Chart with three dimensions</w:t>
      </w:r>
      <w:bookmarkEnd w:id="395"/>
      <w:bookmarkEnd w:id="396"/>
      <w:bookmarkEnd w:id="397"/>
    </w:p>
    <w:p w14:paraId="244CC893" w14:textId="59791218" w:rsidR="00A52418"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rPr>
        <w:t>Data charts are widely used in technical scien</w:t>
      </w:r>
      <w:r w:rsidR="004970FE" w:rsidRPr="005459E6">
        <w:rPr>
          <w:rFonts w:ascii="Times New Roman" w:hAnsi="Times New Roman" w:cs="Times New Roman"/>
        </w:rPr>
        <w:t>ce</w:t>
      </w:r>
      <w:r w:rsidRPr="005459E6">
        <w:rPr>
          <w:rFonts w:ascii="Times New Roman" w:hAnsi="Times New Roman" w:cs="Times New Roman"/>
        </w:rPr>
        <w:t xml:space="preserve"> and are capable of providing an intuitive understanding of their underlying data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{"citationItems":[{"id":"ITEM-1","itemData":{"DOI":"10.3390/s20164370","ISSN":"1424-8220","abstract":"Data charts are widely used in our daily lives, being present in regular media, such as newspapers, magazines, web pages, books, and many others. In general, a well-constructed data chart leads to an intuitive understanding of its underlying data. In the same way, when data charts have wrong design choices, a redesign of these representations might be needed. However, in most cases, these charts are shown as a static image, which means that the original data are not usually available. Therefore, automatic methods could be applied to extract the underlying data from the chart images to allow these changes. The task of recognizing charts and extracting data from them is complex, largely due to the variety of chart types and their visual characteristics. Other features in real-world images that can make this task difficult are photo distortions, noise, alignment, etc. Two computer vision techniques that can assist this task and have been little explored in this context are perspective detection and correction. These methods transform a distorted and noisy chart in a clear chart, with its type ready for data extraction or other uses. This paper proposes a classification, detection, and perspective correction process that is suitable for real-world usage, when considering the data used for training a state-of-the-art model for the extraction of a chart in real-world photography. The results showed that, with slight changes, chart recognition methods are now ready for real-world charts, when taking time and accuracy into consideration.","author":[{"dropping-particle":"","family":"Araújo","given":"Tiago","non-dropping-particle":"","parse-names":false,"suffix":""},{"dropping-particle":"","family":"Chagas","given":"Paulo","non-dropping-particle":"","parse-names":false,"suffix":""},{"dropping-particle":"","family":"Alves","given":"João","non-dropping-particle":"","parse-names":false,"suffix":""},{"dropping-particle":"","family":"Santos","given":"Carlos","non-dropping-particle":"","parse-names":false,"suffix":""},{"dropping-particle":"","family":"Sousa Santos","given":"Beatriz","non-dropping-particle":"","parse-names":false,"suffix":""},{"dropping-particle":"","family":"Serique Meiguins","given":"Bianchi","non-dropping-particle":"","parse-names":false,"suffix":""}],"container-title":"Sensors","id":"ITEM-1","issue":"16","issued":{"date-parts":[["2020"]]},"title":"A Real-World Approach on the Problem of Chart Recognition Using Classification, Detection and Perspective Correction","type":"article-journal","volume":"20"},"uris":["http://www.mendeley.com/documents/?uuid=c9c14fd2-6b43-4efe-ad44-98684ea43771"]}],"mendeley":{"formattedCitation":"(Araújo et al., 2020)","plainTextFormattedCitation":"(Araújo et al., 2020)","previouslyFormattedCitation":"(Araújo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(Araújo et al., 2020)</w:t>
      </w:r>
      <w:r w:rsidRPr="005459E6">
        <w:rPr>
          <w:rFonts w:ascii="Times New Roman" w:hAnsi="Times New Roman" w:cs="Times New Roman"/>
        </w:rPr>
        <w:fldChar w:fldCharType="end"/>
      </w:r>
      <w:r w:rsidRPr="005459E6">
        <w:rPr>
          <w:rFonts w:ascii="Times New Roman" w:hAnsi="Times New Roman" w:cs="Times New Roman"/>
        </w:rPr>
        <w:t xml:space="preserve">. It provides three (3) unique dimensions representing </w:t>
      </w:r>
      <w:r w:rsidR="004970FE" w:rsidRPr="005459E6">
        <w:rPr>
          <w:rFonts w:ascii="Times New Roman" w:hAnsi="Times New Roman" w:cs="Times New Roman"/>
        </w:rPr>
        <w:t xml:space="preserve">the </w:t>
      </w:r>
      <w:r w:rsidRPr="005459E6">
        <w:rPr>
          <w:rFonts w:ascii="Times New Roman" w:hAnsi="Times New Roman" w:cs="Times New Roman"/>
        </w:rPr>
        <w:t>Confidence, Accuracy</w:t>
      </w:r>
      <w:r w:rsidR="00CF5C5B" w:rsidRPr="005459E6">
        <w:rPr>
          <w:rFonts w:ascii="Times New Roman" w:hAnsi="Times New Roman" w:cs="Times New Roman"/>
        </w:rPr>
        <w:t>,</w:t>
      </w:r>
      <w:r w:rsidRPr="005459E6">
        <w:rPr>
          <w:rFonts w:ascii="Times New Roman" w:hAnsi="Times New Roman" w:cs="Times New Roman"/>
        </w:rPr>
        <w:t xml:space="preserve"> and Data path of a Machine Learning based model</w:t>
      </w:r>
      <w:r w:rsidR="00C715AB" w:rsidRPr="005459E6">
        <w:rPr>
          <w:rFonts w:ascii="Times New Roman" w:hAnsi="Times New Roman" w:cs="Times New Roman"/>
        </w:rPr>
        <w:t xml:space="preserve"> (Refer </w:t>
      </w:r>
      <w:r w:rsidR="004970FE" w:rsidRPr="005459E6">
        <w:rPr>
          <w:rFonts w:ascii="Times New Roman" w:hAnsi="Times New Roman" w:cs="Times New Roman"/>
        </w:rPr>
        <w:t xml:space="preserve">to </w:t>
      </w:r>
      <w:r w:rsidR="00C715AB" w:rsidRPr="005459E6">
        <w:rPr>
          <w:rFonts w:ascii="Times New Roman" w:hAnsi="Times New Roman" w:cs="Times New Roman"/>
          <w:b/>
          <w:bCs/>
        </w:rPr>
        <w:t>Figure 2</w:t>
      </w:r>
      <w:r w:rsidR="000374B4" w:rsidRPr="005459E6">
        <w:rPr>
          <w:rFonts w:ascii="Times New Roman" w:hAnsi="Times New Roman" w:cs="Times New Roman"/>
          <w:b/>
          <w:bCs/>
        </w:rPr>
        <w:t>2</w:t>
      </w:r>
      <w:r w:rsidR="00C715AB" w:rsidRPr="005459E6">
        <w:rPr>
          <w:rFonts w:ascii="Times New Roman" w:hAnsi="Times New Roman" w:cs="Times New Roman"/>
        </w:rPr>
        <w:t>)</w:t>
      </w:r>
      <w:r w:rsidRPr="005459E6">
        <w:rPr>
          <w:rFonts w:ascii="Times New Roman" w:hAnsi="Times New Roman" w:cs="Times New Roman"/>
        </w:rPr>
        <w:t>.</w:t>
      </w:r>
    </w:p>
    <w:p w14:paraId="18431CA5" w14:textId="77777777" w:rsidR="009F270B" w:rsidRPr="005459E6" w:rsidRDefault="009F270B" w:rsidP="00042CB0">
      <w:pPr>
        <w:spacing w:line="360" w:lineRule="auto"/>
        <w:jc w:val="both"/>
        <w:rPr>
          <w:rFonts w:ascii="Times New Roman" w:hAnsi="Times New Roman" w:cs="Times New Roman"/>
        </w:rPr>
      </w:pPr>
    </w:p>
    <w:p w14:paraId="42DDA071" w14:textId="19F125AA" w:rsidR="003C06DA" w:rsidRPr="005459E6" w:rsidRDefault="004970FE" w:rsidP="00042CB0">
      <w:pPr>
        <w:spacing w:line="360" w:lineRule="auto"/>
        <w:jc w:val="both"/>
        <w:rPr>
          <w:rFonts w:ascii="Times New Roman" w:hAnsi="Times New Roman" w:cs="Times New Roman"/>
          <w:b/>
          <w:bCs/>
        </w:rPr>
      </w:pPr>
      <w:r w:rsidRPr="005459E6">
        <w:rPr>
          <w:rFonts w:ascii="Times New Roman" w:hAnsi="Times New Roman" w:cs="Times New Roman"/>
          <w:b/>
          <w:bCs/>
        </w:rPr>
        <w:t>Three (</w:t>
      </w:r>
      <w:r w:rsidR="003C06DA" w:rsidRPr="005459E6">
        <w:rPr>
          <w:rFonts w:ascii="Times New Roman" w:hAnsi="Times New Roman" w:cs="Times New Roman"/>
          <w:b/>
          <w:bCs/>
        </w:rPr>
        <w:t>3</w:t>
      </w:r>
      <w:r w:rsidRPr="005459E6">
        <w:rPr>
          <w:rFonts w:ascii="Times New Roman" w:hAnsi="Times New Roman" w:cs="Times New Roman"/>
          <w:b/>
          <w:bCs/>
        </w:rPr>
        <w:t>)</w:t>
      </w:r>
      <w:r w:rsidR="003C06DA" w:rsidRPr="005459E6">
        <w:rPr>
          <w:rFonts w:ascii="Times New Roman" w:hAnsi="Times New Roman" w:cs="Times New Roman"/>
          <w:b/>
          <w:bCs/>
        </w:rPr>
        <w:t xml:space="preserve"> dimension</w:t>
      </w:r>
      <w:r w:rsidRPr="005459E6">
        <w:rPr>
          <w:rFonts w:ascii="Times New Roman" w:hAnsi="Times New Roman" w:cs="Times New Roman"/>
          <w:b/>
          <w:bCs/>
        </w:rPr>
        <w:t>s</w:t>
      </w:r>
      <w:r w:rsidR="003C06DA" w:rsidRPr="005459E6">
        <w:rPr>
          <w:rFonts w:ascii="Times New Roman" w:hAnsi="Times New Roman" w:cs="Times New Roman"/>
          <w:b/>
          <w:bCs/>
        </w:rPr>
        <w:t xml:space="preserve"> of </w:t>
      </w:r>
      <w:r w:rsidR="001D1AD4" w:rsidRPr="005459E6">
        <w:rPr>
          <w:rFonts w:ascii="Times New Roman" w:hAnsi="Times New Roman" w:cs="Times New Roman"/>
          <w:b/>
          <w:bCs/>
        </w:rPr>
        <w:t xml:space="preserve">the </w:t>
      </w:r>
      <w:r w:rsidR="003C06DA" w:rsidRPr="005459E6">
        <w:rPr>
          <w:rFonts w:ascii="Times New Roman" w:hAnsi="Times New Roman" w:cs="Times New Roman"/>
          <w:b/>
          <w:bCs/>
        </w:rPr>
        <w:t>Machine Learning model:</w:t>
      </w:r>
    </w:p>
    <w:p w14:paraId="4B60F554" w14:textId="1A5A2088" w:rsidR="003C06DA" w:rsidRPr="005459E6" w:rsidRDefault="003C06DA" w:rsidP="00042CB0">
      <w:pPr>
        <w:numPr>
          <w:ilvl w:val="0"/>
          <w:numId w:val="18"/>
        </w:numPr>
        <w:spacing w:line="360" w:lineRule="auto"/>
        <w:jc w:val="both"/>
        <w:rPr>
          <w:rFonts w:ascii="Times New Roman" w:hAnsi="Times New Roman" w:cs="Times New Roman"/>
        </w:rPr>
      </w:pPr>
      <w:r w:rsidRPr="005459E6">
        <w:rPr>
          <w:rFonts w:ascii="Times New Roman" w:hAnsi="Times New Roman" w:cs="Times New Roman"/>
        </w:rPr>
        <w:t xml:space="preserve">'Error dimensions' reflect the accuracy of </w:t>
      </w:r>
      <w:r w:rsidR="004970FE" w:rsidRPr="005459E6">
        <w:rPr>
          <w:rFonts w:ascii="Times New Roman" w:hAnsi="Times New Roman" w:cs="Times New Roman"/>
        </w:rPr>
        <w:t xml:space="preserve">a </w:t>
      </w:r>
      <w:r w:rsidRPr="005459E6">
        <w:rPr>
          <w:rFonts w:ascii="Times New Roman" w:hAnsi="Times New Roman" w:cs="Times New Roman"/>
        </w:rPr>
        <w:t>model while predicting stress with 'Testing data.'</w:t>
      </w:r>
    </w:p>
    <w:p w14:paraId="61B06F08" w14:textId="14616A37" w:rsidR="003C06DA" w:rsidRPr="005459E6" w:rsidRDefault="003C06DA" w:rsidP="00042CB0">
      <w:pPr>
        <w:numPr>
          <w:ilvl w:val="0"/>
          <w:numId w:val="18"/>
        </w:numPr>
        <w:spacing w:line="360" w:lineRule="auto"/>
        <w:jc w:val="both"/>
        <w:rPr>
          <w:rFonts w:ascii="Times New Roman" w:hAnsi="Times New Roman" w:cs="Times New Roman"/>
        </w:rPr>
      </w:pPr>
      <w:r w:rsidRPr="005459E6">
        <w:rPr>
          <w:rFonts w:ascii="Times New Roman" w:hAnsi="Times New Roman" w:cs="Times New Roman"/>
        </w:rPr>
        <w:t xml:space="preserve">'Prediction dimension' also shows confidence that indicates that the probability of input to fall in different classes </w:t>
      </w:r>
      <w:r w:rsidR="004970FE" w:rsidRPr="005459E6">
        <w:rPr>
          <w:rFonts w:ascii="Times New Roman" w:hAnsi="Times New Roman" w:cs="Times New Roman"/>
        </w:rPr>
        <w:t xml:space="preserve">is </w:t>
      </w:r>
      <w:r w:rsidRPr="005459E6">
        <w:rPr>
          <w:rFonts w:ascii="Times New Roman" w:hAnsi="Times New Roman" w:cs="Times New Roman"/>
        </w:rPr>
        <w:t xml:space="preserve">based on </w:t>
      </w:r>
      <w:r w:rsidR="004670A2" w:rsidRPr="005459E6">
        <w:rPr>
          <w:rFonts w:ascii="Times New Roman" w:hAnsi="Times New Roman" w:cs="Times New Roman"/>
        </w:rPr>
        <w:t>several</w:t>
      </w:r>
      <w:r w:rsidRPr="005459E6">
        <w:rPr>
          <w:rFonts w:ascii="Times New Roman" w:hAnsi="Times New Roman" w:cs="Times New Roman"/>
        </w:rPr>
        <w:t xml:space="preserve"> instances in 'Training data'.</w:t>
      </w:r>
    </w:p>
    <w:p w14:paraId="48A065BD" w14:textId="77777777" w:rsidR="003C06DA" w:rsidRPr="005459E6" w:rsidRDefault="003C06DA" w:rsidP="00042CB0">
      <w:pPr>
        <w:numPr>
          <w:ilvl w:val="0"/>
          <w:numId w:val="18"/>
        </w:numPr>
        <w:spacing w:line="360" w:lineRule="auto"/>
        <w:jc w:val="both"/>
        <w:rPr>
          <w:rFonts w:ascii="Times New Roman" w:hAnsi="Times New Roman" w:cs="Times New Roman"/>
        </w:rPr>
      </w:pPr>
      <w:r w:rsidRPr="005459E6">
        <w:rPr>
          <w:rFonts w:ascii="Times New Roman" w:hAnsi="Times New Roman" w:cs="Times New Roman"/>
        </w:rPr>
        <w:t>'Split field dimension' shows the consideration data path (measures) required to predict stress.</w:t>
      </w:r>
    </w:p>
    <w:p w14:paraId="130BC57F" w14:textId="3C866C48" w:rsidR="00586EFF" w:rsidRPr="005459E6" w:rsidRDefault="006F5A79" w:rsidP="00042CB0">
      <w:pPr>
        <w:spacing w:line="360" w:lineRule="auto"/>
        <w:jc w:val="both"/>
        <w:rPr>
          <w:rFonts w:ascii="Times New Roman" w:hAnsi="Times New Roman" w:cs="Times New Roman"/>
        </w:rPr>
      </w:pPr>
      <w:r w:rsidRPr="005459E6">
        <w:rPr>
          <w:rFonts w:ascii="Times New Roman" w:hAnsi="Times New Roman" w:cs="Times New Roman"/>
        </w:rPr>
        <w:t xml:space="preserve"> </w:t>
      </w:r>
    </w:p>
    <w:p w14:paraId="4C6BE9B6" w14:textId="77777777" w:rsidR="003C06DA" w:rsidRPr="005459E6" w:rsidRDefault="003C06DA" w:rsidP="00042CB0">
      <w:pPr>
        <w:spacing w:line="360" w:lineRule="auto"/>
        <w:jc w:val="both"/>
        <w:rPr>
          <w:rFonts w:ascii="Times New Roman" w:hAnsi="Times New Roman" w:cs="Times New Roman"/>
        </w:rPr>
      </w:pPr>
    </w:p>
    <w:p w14:paraId="62F1D417" w14:textId="77777777" w:rsidR="003C06DA" w:rsidRPr="005459E6" w:rsidRDefault="003C06DA" w:rsidP="00042CB0">
      <w:pPr>
        <w:spacing w:line="360" w:lineRule="auto"/>
        <w:jc w:val="both"/>
        <w:rPr>
          <w:rFonts w:ascii="Times New Roman" w:hAnsi="Times New Roman" w:cs="Times New Roman"/>
        </w:rPr>
      </w:pPr>
    </w:p>
    <w:p w14:paraId="7262628D" w14:textId="77777777" w:rsidR="003C06DA" w:rsidRPr="005459E6" w:rsidRDefault="003C06DA" w:rsidP="00042CB0">
      <w:pPr>
        <w:spacing w:line="360" w:lineRule="auto"/>
        <w:jc w:val="both"/>
        <w:rPr>
          <w:rFonts w:ascii="Times New Roman" w:hAnsi="Times New Roman" w:cs="Times New Roman"/>
        </w:rPr>
      </w:pPr>
    </w:p>
    <w:p w14:paraId="436BA027" w14:textId="77777777" w:rsidR="003C06DA" w:rsidRPr="005459E6" w:rsidRDefault="003C06DA" w:rsidP="00042CB0">
      <w:pPr>
        <w:pStyle w:val="Titolo4"/>
        <w:spacing w:line="360" w:lineRule="auto"/>
        <w:jc w:val="both"/>
        <w:rPr>
          <w:rFonts w:ascii="Times New Roman" w:hAnsi="Times New Roman" w:cs="Times New Roman"/>
          <w:color w:val="auto"/>
        </w:rPr>
      </w:pPr>
      <w:bookmarkStart w:id="398" w:name="_Toc73129051"/>
      <w:r w:rsidRPr="005459E6">
        <w:rPr>
          <w:rFonts w:ascii="Times New Roman" w:hAnsi="Times New Roman" w:cs="Times New Roman"/>
          <w:color w:val="auto"/>
        </w:rPr>
        <w:t>Partial Dependence Plot (PDP)</w:t>
      </w:r>
      <w:bookmarkEnd w:id="398"/>
    </w:p>
    <w:p w14:paraId="12EBC56C" w14:textId="77777777"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rPr>
        <w:t xml:space="preserve">Although complex machine learning models are better than the traditional interpretable models, they could be difficult to understand and trust these complex models due to the lack of intuition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{"citationItems":[{"id":"ITEM-1","itemData":{"DOI":"10.1186/s12911-019-0874-0","ISSN":"14726947","PMID":"31357998","abstract":"Background: Although complex machine learning models are commonly outperforming the traditional simple interpretable models, clinicians find it hard to understand and trust these complex models due to the lack of intuition and explanation of their predictions. The aim of this study to demonstrate the utility of various model-agnostic explanation techniques of machine learning models with a case study for analyzing the outcomes of the machine learning random forest model for predicting the individuals at risk of developing hypertension based on cardiorespiratory fitness data. Methods: The dataset used in this study contains information of 23,095 patients who underwent clinician-referred exercise treadmill stress testing at Henry Ford Health Systems between 1991 and 2009 and had a complete 10-year follow-up. Five global interpretability techniques (Feature Importance, Partial Dependence Plot, Individual Conditional Expectation, Feature Interaction, Global Surrogate Models) and two local interpretability techniques (Local Surrogate Models, Shapley Value) have been applied to present the role of the interpretability techniques on assisting the clinical staff to get better understanding and more trust of the outcomes of the machine learning-based predictions. Results: Several experiments have been conducted and reported. The results show that different interpretability techniques can shed light on different insights on the model behavior where global interpretations can enable clinicians to understand the entire conditional distribution modeled by the trained response function. In contrast, local interpretations promote the understanding of small parts of the conditional distribution for specific instances. Conclusions: Various interpretability techniques can vary in their explanations for the behavior of the machine learning model. The global interpretability techniques have the advantage that it can generalize over the entire population while local interpretability techniques focus on giving explanations at the level of instances. Both methods can be equally valid depending on the application need. Both methods are effective methods for assisting clinicians on the medical decision process, however, the clinicians will always remain to hold the final say on accepting or rejecting the outcome of the machine learning models and their explanations based on their domain expertise.","author":[{"dropping-particle":"","family":"Elshawi","given":"Radwa","non-dropping-particle":"","parse-names":false,"suffix":""},{"dropping-particle":"","family":"Al-Mallah","given":"Mouaz H.","non-dropping-particle":"","parse-names":false,"suffix":""},{"dropping-particle":"","family":"Sakr","given":"Sherif","non-dropping-particle":"","parse-names":false,"suffix":""}],"container-title":"BMC Medical Informatics and Decision Making","id":"ITEM-1","issue":"1","issued":{"date-parts":[["2019"]]},"publisher":"BMC Medical Informatics and Decision Making","title":"On the interpretability of machine learning-based model for predicting hypertension","type":"article-journal","volume":"19"},"uris":["http://www.mendeley.com/documents/?uuid=dabcac91-457f-4fb0-aba4-9167c5103420"]}],"mendeley":{"formattedCitation":"(Elshawi et al., 2019)","plainTextFormattedCitation":"(Elshawi et al., 2019)","previouslyFormattedCitation":"(Elshawi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(Elshawi et al., 2019)</w:t>
      </w:r>
      <w:r w:rsidRPr="005459E6">
        <w:rPr>
          <w:rFonts w:ascii="Times New Roman" w:hAnsi="Times New Roman" w:cs="Times New Roman"/>
        </w:rPr>
        <w:fldChar w:fldCharType="end"/>
      </w:r>
      <w:r w:rsidRPr="005459E6">
        <w:rPr>
          <w:rFonts w:ascii="Times New Roman" w:hAnsi="Times New Roman" w:cs="Times New Roman"/>
        </w:rPr>
        <w:t>.</w:t>
      </w:r>
    </w:p>
    <w:p w14:paraId="7A017E1F" w14:textId="77777777"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784A6FB6" wp14:editId="5AAC81DE">
            <wp:extent cx="3257062" cy="3200400"/>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rotWithShape="1">
                    <a:blip r:embed="rId74">
                      <a:extLst>
                        <a:ext uri="{28A0092B-C50C-407E-A947-70E740481C1C}">
                          <a14:useLocalDpi xmlns:a14="http://schemas.microsoft.com/office/drawing/2010/main" val="0"/>
                        </a:ext>
                      </a:extLst>
                    </a:blip>
                    <a:srcRect l="7408" t="7851" r="7838" b="8869"/>
                    <a:stretch/>
                  </pic:blipFill>
                  <pic:spPr bwMode="auto">
                    <a:xfrm>
                      <a:off x="0" y="0"/>
                      <a:ext cx="3261676" cy="3204934"/>
                    </a:xfrm>
                    <a:prstGeom prst="rect">
                      <a:avLst/>
                    </a:prstGeom>
                    <a:ln>
                      <a:noFill/>
                    </a:ln>
                    <a:extLst>
                      <a:ext uri="{53640926-AAD7-44D8-BBD7-CCE9431645EC}">
                        <a14:shadowObscured xmlns:a14="http://schemas.microsoft.com/office/drawing/2010/main"/>
                      </a:ext>
                    </a:extLst>
                  </pic:spPr>
                </pic:pic>
              </a:graphicData>
            </a:graphic>
          </wp:inline>
        </w:drawing>
      </w:r>
    </w:p>
    <w:p w14:paraId="2B72CE8B" w14:textId="4FEC7A51" w:rsidR="00A52418" w:rsidRPr="005459E6" w:rsidRDefault="00A52418" w:rsidP="00042CB0">
      <w:pPr>
        <w:pStyle w:val="Didascalia"/>
        <w:spacing w:line="360" w:lineRule="auto"/>
        <w:jc w:val="both"/>
        <w:rPr>
          <w:rFonts w:ascii="Times New Roman" w:hAnsi="Times New Roman" w:cs="Times New Roman"/>
          <w:i w:val="0"/>
          <w:iCs w:val="0"/>
          <w:color w:val="auto"/>
          <w:sz w:val="22"/>
          <w:szCs w:val="22"/>
        </w:rPr>
      </w:pPr>
      <w:bookmarkStart w:id="399" w:name="_Toc96343317"/>
      <w:bookmarkStart w:id="400" w:name="_Toc99915992"/>
      <w:bookmarkStart w:id="401" w:name="_Toc104968809"/>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23</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Partial Dependence Plot (Interest Vs. Relaxation)</w:t>
      </w:r>
      <w:bookmarkEnd w:id="399"/>
      <w:bookmarkEnd w:id="400"/>
      <w:bookmarkEnd w:id="401"/>
    </w:p>
    <w:p w14:paraId="26A9670D" w14:textId="77777777" w:rsidR="00A52418" w:rsidRPr="005459E6" w:rsidRDefault="00A52418" w:rsidP="00042CB0">
      <w:pPr>
        <w:spacing w:line="360" w:lineRule="auto"/>
        <w:jc w:val="both"/>
        <w:rPr>
          <w:rFonts w:ascii="Times New Roman" w:hAnsi="Times New Roman" w:cs="Times New Roman"/>
        </w:rPr>
      </w:pPr>
    </w:p>
    <w:p w14:paraId="766B43A5" w14:textId="19653C9F"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rPr>
        <w:t xml:space="preserve">Partial Dependence Plots (PDP) are model agnostic, meaning that regardless of the underlying model, they can show how changing one or two features affects the model’s output. They reflect the marginal contribution of different features </w:t>
      </w:r>
      <w:r w:rsidR="00CF5C5B" w:rsidRPr="005459E6">
        <w:rPr>
          <w:rFonts w:ascii="Times New Roman" w:hAnsi="Times New Roman" w:cs="Times New Roman"/>
        </w:rPr>
        <w:t>to</w:t>
      </w:r>
      <w:r w:rsidRPr="005459E6">
        <w:rPr>
          <w:rFonts w:ascii="Times New Roman" w:hAnsi="Times New Roman" w:cs="Times New Roman"/>
        </w:rPr>
        <w:t xml:space="preserve"> the output. They are used to display either the contribution of a single feature or two features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{"citationItems":[{"id":"ITEM-1","itemData":{"ISSN":"2331-8422","abstract":"The interpretation of feature importance in machine learning models is challenging when features are dependent. Permutation feature importance (PFI) ignores such dependencies, which can cause misleading interpretations due to extrapolation. A possible remedy is more advanced conditional PFI approaches that enable the assessment of feature importance conditional on all other features. Due to this shift in perspective and in order to enable correct interpretations, it is therefore important that the conditioning is transparent and humanly comprehensible. In this paper, we propose a new sampling mechanism for the conditional distribution based on permutations in conditional subgroups. As these subgroups are constructed using decision trees (transformation trees), the conditioning becomes inherently interpretable. This not only provides a simple and effective estimator of conditional PFI, but also local PFI estimates within the subgroups. In addition, we apply the conditional subgroups approach to partial dependence plots (PDP), a popular method for describing feature effects that can also suffer from extrapolation when features are dependent and interactions are present in the model. We show that PFI and PDP based on conditional subgroups often outperform methods such as conditional PFI based on knockoffs, or accumulated local effect plots. Furthermore, our approach allows for a more fine-grained interpretation of feature effects and importance within the conditional subgroups.","author":[{"dropping-particle":"","family":"Molnar","given":"Christoph","non-dropping-particle":"","parse-names":false,"suffix":""},{"dropping-particle":"","family":"König","given":"Gunnar","non-dropping-particle":"","parse-names":false,"suffix":""},{"dropping-particle":"","family":"Bischl","given":"Bernd","non-dropping-particle":"","parse-names":false,"suffix":""},{"dropping-particle":"","family":"Casalicchio","given":"Giuseppe","non-dropping-particle":"","parse-names":false,"suffix":""}],"id":"ITEM-1","issued":{"date-parts":[["2020"]]},"title":"Model-agnostic Feature Importance and Effects with Dependent Features -- A Conditional Subgroup Approach","type":"article-journal"},"uris":["http://www.mendeley.com/documents/?uuid=6d86ab25-e683-448f-a66e-a61d90bc9357"]}],"mendeley":{"formattedCitation":"(Molnar et al., 2020)","plainTextFormattedCitation":"(Molnar et al., 2020)","previouslyFormattedCitation":"(Molnar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(Molnar et al., 2020)</w:t>
      </w:r>
      <w:r w:rsidRPr="005459E6">
        <w:rPr>
          <w:rFonts w:ascii="Times New Roman" w:hAnsi="Times New Roman" w:cs="Times New Roman"/>
        </w:rPr>
        <w:fldChar w:fldCharType="end"/>
      </w:r>
      <w:r w:rsidRPr="005459E6">
        <w:rPr>
          <w:rFonts w:ascii="Times New Roman" w:hAnsi="Times New Roman" w:cs="Times New Roman"/>
        </w:rPr>
        <w:t xml:space="preserve">. </w:t>
      </w:r>
    </w:p>
    <w:p w14:paraId="3A6D5A77" w14:textId="5BD362E5"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rPr>
        <w:t xml:space="preserve">Partial Dependence Plow shows the marginal effect that two variables have on the predicted outcome of the ML model. It could represent </w:t>
      </w:r>
      <w:r w:rsidR="004970FE" w:rsidRPr="005459E6">
        <w:rPr>
          <w:rFonts w:ascii="Times New Roman" w:hAnsi="Times New Roman" w:cs="Times New Roman"/>
        </w:rPr>
        <w:t xml:space="preserve">a </w:t>
      </w:r>
      <w:r w:rsidRPr="005459E6">
        <w:rPr>
          <w:rFonts w:ascii="Times New Roman" w:hAnsi="Times New Roman" w:cs="Times New Roman"/>
        </w:rPr>
        <w:t>linear, monotonic, or Complex relationship between the features and the target value</w:t>
      </w:r>
      <w:r w:rsidR="00C715AB" w:rsidRPr="005459E6">
        <w:rPr>
          <w:rFonts w:ascii="Times New Roman" w:hAnsi="Times New Roman" w:cs="Times New Roman"/>
        </w:rPr>
        <w:t xml:space="preserve"> (Refer </w:t>
      </w:r>
      <w:r w:rsidR="00CF5C5B" w:rsidRPr="005459E6">
        <w:rPr>
          <w:rFonts w:ascii="Times New Roman" w:hAnsi="Times New Roman" w:cs="Times New Roman"/>
        </w:rPr>
        <w:t xml:space="preserve">to </w:t>
      </w:r>
      <w:r w:rsidR="00C715AB" w:rsidRPr="005459E6">
        <w:rPr>
          <w:rFonts w:ascii="Times New Roman" w:hAnsi="Times New Roman" w:cs="Times New Roman"/>
          <w:b/>
          <w:bCs/>
        </w:rPr>
        <w:t>Figure 2</w:t>
      </w:r>
      <w:r w:rsidR="000374B4" w:rsidRPr="005459E6">
        <w:rPr>
          <w:rFonts w:ascii="Times New Roman" w:hAnsi="Times New Roman" w:cs="Times New Roman"/>
          <w:b/>
          <w:bCs/>
        </w:rPr>
        <w:t>3</w:t>
      </w:r>
      <w:r w:rsidR="00C715AB" w:rsidRPr="005459E6">
        <w:rPr>
          <w:rFonts w:ascii="Times New Roman" w:hAnsi="Times New Roman" w:cs="Times New Roman"/>
        </w:rPr>
        <w:t>)</w:t>
      </w:r>
      <w:r w:rsidRPr="005459E6">
        <w:rPr>
          <w:rFonts w:ascii="Times New Roman" w:hAnsi="Times New Roman" w:cs="Times New Roman"/>
        </w:rPr>
        <w:t>.</w:t>
      </w:r>
    </w:p>
    <w:p w14:paraId="59ACFC8D" w14:textId="029C3AB0" w:rsidR="003C06DA" w:rsidRPr="005459E6" w:rsidRDefault="003C06DA" w:rsidP="00042CB0">
      <w:pPr>
        <w:spacing w:line="360" w:lineRule="auto"/>
        <w:jc w:val="both"/>
        <w:rPr>
          <w:rFonts w:ascii="Times New Roman" w:hAnsi="Times New Roman" w:cs="Times New Roman"/>
        </w:rPr>
      </w:pPr>
      <w:r w:rsidRPr="005459E6">
        <w:rPr>
          <w:rFonts w:ascii="Times New Roman" w:hAnsi="Times New Roman" w:cs="Times New Roman"/>
        </w:rPr>
        <w:t>The partial depend</w:t>
      </w:r>
      <w:r w:rsidR="004970FE" w:rsidRPr="005459E6">
        <w:rPr>
          <w:rFonts w:ascii="Times New Roman" w:hAnsi="Times New Roman" w:cs="Times New Roman"/>
        </w:rPr>
        <w:t>e</w:t>
      </w:r>
      <w:r w:rsidRPr="005459E6">
        <w:rPr>
          <w:rFonts w:ascii="Times New Roman" w:hAnsi="Times New Roman" w:cs="Times New Roman"/>
        </w:rPr>
        <w:t>nce plot (PDP) can be used to make predictions for the set of values.</w:t>
      </w:r>
      <w:r w:rsidR="00826717" w:rsidRPr="005459E6">
        <w:rPr>
          <w:rFonts w:ascii="Times New Roman" w:hAnsi="Times New Roman" w:cs="Times New Roman"/>
        </w:rPr>
        <w:t xml:space="preserve"> </w:t>
      </w:r>
      <w:r w:rsidRPr="005459E6">
        <w:rPr>
          <w:rFonts w:ascii="Times New Roman" w:hAnsi="Times New Roman" w:cs="Times New Roman"/>
        </w:rPr>
        <w:t>Based on the same</w:t>
      </w:r>
      <w:r w:rsidR="004970FE" w:rsidRPr="005459E6">
        <w:rPr>
          <w:rFonts w:ascii="Times New Roman" w:hAnsi="Times New Roman" w:cs="Times New Roman"/>
        </w:rPr>
        <w:t>,</w:t>
      </w:r>
      <w:r w:rsidRPr="005459E6">
        <w:rPr>
          <w:rFonts w:ascii="Times New Roman" w:hAnsi="Times New Roman" w:cs="Times New Roman"/>
        </w:rPr>
        <w:t xml:space="preserve"> the batch predictions </w:t>
      </w:r>
      <w:r w:rsidR="007615A1" w:rsidRPr="005459E6">
        <w:rPr>
          <w:rFonts w:ascii="Times New Roman" w:hAnsi="Times New Roman" w:cs="Times New Roman"/>
        </w:rPr>
        <w:t xml:space="preserve">can be seen in </w:t>
      </w:r>
      <w:r w:rsidR="007615A1" w:rsidRPr="005459E6">
        <w:rPr>
          <w:rFonts w:ascii="Times New Roman" w:hAnsi="Times New Roman" w:cs="Times New Roman"/>
          <w:b/>
          <w:bCs/>
        </w:rPr>
        <w:t xml:space="preserve">APPENDIX </w:t>
      </w:r>
      <w:r w:rsidR="00826717" w:rsidRPr="005459E6">
        <w:rPr>
          <w:rFonts w:ascii="Times New Roman" w:hAnsi="Times New Roman" w:cs="Times New Roman"/>
          <w:b/>
          <w:bCs/>
        </w:rPr>
        <w:t>D</w:t>
      </w:r>
      <w:r w:rsidR="007615A1" w:rsidRPr="005459E6">
        <w:rPr>
          <w:rFonts w:ascii="Times New Roman" w:hAnsi="Times New Roman" w:cs="Times New Roman"/>
        </w:rPr>
        <w:t>.</w:t>
      </w:r>
    </w:p>
    <w:p w14:paraId="257C2F55" w14:textId="77777777" w:rsidR="00D521B9" w:rsidRPr="005459E6" w:rsidRDefault="00D521B9" w:rsidP="00042CB0">
      <w:pPr>
        <w:spacing w:line="360" w:lineRule="auto"/>
        <w:jc w:val="both"/>
        <w:rPr>
          <w:rFonts w:ascii="Times New Roman" w:hAnsi="Times New Roman" w:cs="Times New Roman"/>
        </w:rPr>
      </w:pPr>
    </w:p>
    <w:p w14:paraId="70623C7E" w14:textId="77777777" w:rsidR="008F6E0E" w:rsidRPr="005459E6" w:rsidRDefault="008F6E0E" w:rsidP="00042CB0">
      <w:pPr>
        <w:pStyle w:val="Titolo2"/>
        <w:spacing w:line="360" w:lineRule="auto"/>
        <w:jc w:val="both"/>
        <w:rPr>
          <w:rFonts w:ascii="Times New Roman" w:hAnsi="Times New Roman" w:cs="Times New Roman"/>
          <w:color w:val="auto"/>
          <w:sz w:val="22"/>
          <w:szCs w:val="22"/>
        </w:rPr>
      </w:pPr>
      <w:bookmarkStart w:id="402" w:name="_Toc85542469"/>
      <w:bookmarkStart w:id="403" w:name="_Toc87349549"/>
      <w:bookmarkStart w:id="404" w:name="_Toc87349662"/>
      <w:bookmarkStart w:id="405" w:name="_Toc87349769"/>
    </w:p>
    <w:p w14:paraId="03B7ACA2" w14:textId="77777777" w:rsidR="008F6E0E" w:rsidRPr="005459E6" w:rsidRDefault="008F6E0E" w:rsidP="00042CB0">
      <w:pPr>
        <w:pStyle w:val="Titolo2"/>
        <w:spacing w:line="360" w:lineRule="auto"/>
        <w:jc w:val="both"/>
        <w:rPr>
          <w:rFonts w:ascii="Times New Roman" w:hAnsi="Times New Roman" w:cs="Times New Roman"/>
          <w:color w:val="auto"/>
          <w:sz w:val="22"/>
          <w:szCs w:val="22"/>
        </w:rPr>
      </w:pPr>
      <w:bookmarkStart w:id="406" w:name="_Toc107248330"/>
      <w:r w:rsidRPr="005459E6">
        <w:rPr>
          <w:rFonts w:ascii="Times New Roman" w:hAnsi="Times New Roman" w:cs="Times New Roman"/>
          <w:color w:val="auto"/>
          <w:sz w:val="22"/>
          <w:szCs w:val="22"/>
        </w:rPr>
        <w:t>Reliability</w:t>
      </w:r>
      <w:bookmarkEnd w:id="402"/>
      <w:bookmarkEnd w:id="403"/>
      <w:bookmarkEnd w:id="404"/>
      <w:bookmarkEnd w:id="405"/>
      <w:bookmarkEnd w:id="406"/>
    </w:p>
    <w:p w14:paraId="4B132600" w14:textId="5AEA0406"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 xml:space="preserve">Reliability and validity are essential elements for the evaluation of measurement instruments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{"citationItems":[{"id":"ITEM-1","itemData":{"DOI":"10.26458/1746","ISSN":"2393-1795","abstract":"Reliability and validity are two most important and fundamental features in the evaluation of any measurement instrument or toll for a good research. The purpose of this research is to discuss the validity and reliability of measurement instruments that are used in research. Validity concerns what an instrument measures, and how well it does so. Reliability concerns the faith that one can have in the data obtained from use of an instrument, that is, the degree to which any measuring tool controls for random error. An attempt has been taken here to review the reliability and validity, and threat to them in some details.","author":[{"dropping-particle":"","family":"Mohajan","given":"Haradhan Kumar","non-dropping-particle":"","parse-names":false,"suffix":""}],"container-title":"Annals of Spiru Haret University. Economic Series","id":"ITEM-1","issue":"4","issued":{"date-parts":[["2017"]]},"page":"59-82","title":"Two Criteria for Good Measurements in Research: Validity and Reliability","type":"article-journal","volume":"17"},"uris":["http://www.mendeley.com/documents/?uuid=cda1181a-ee49-47e4-b636-dc747f532a5a"]}],"mendeley":{"formattedCitation":"(Mohajan, 2017)","plainTextFormattedCitation":"(Mohajan, 2017)","previouslyFormattedCitation":"(Mohajan,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(Mohajan, 2017)</w:t>
      </w:r>
      <w:r w:rsidRPr="005459E6">
        <w:rPr>
          <w:rFonts w:ascii="Times New Roman" w:hAnsi="Times New Roman" w:cs="Times New Roman"/>
        </w:rPr>
        <w:fldChar w:fldCharType="end"/>
      </w:r>
      <w:r w:rsidRPr="005459E6">
        <w:rPr>
          <w:rFonts w:ascii="Times New Roman" w:hAnsi="Times New Roman" w:cs="Times New Roman"/>
        </w:rPr>
        <w:t xml:space="preserve">. </w:t>
      </w:r>
      <w:r w:rsidR="00A20F6F" w:rsidRPr="005459E6">
        <w:rPr>
          <w:rFonts w:ascii="Times New Roman" w:hAnsi="Times New Roman" w:cs="Times New Roman"/>
        </w:rPr>
        <w:t xml:space="preserve"> </w:t>
      </w:r>
      <w:r w:rsidRPr="005459E6">
        <w:rPr>
          <w:rFonts w:ascii="Times New Roman" w:hAnsi="Times New Roman" w:cs="Times New Roman"/>
        </w:rPr>
        <w:t xml:space="preserve">The relevance of assessing model reliability is highlighted by the current application of Machine Learning in healthcare. Given the purpose and use of Machine Learning in healthcare, comprehensive verification is required to support rational decision-making. Reliability is a measure of consistency that focuses on the re-production of results when research is done under the same set of conditions. Considering the sensitive nature of psychosomatic health, the current adoption of </w:t>
      </w:r>
      <w:r w:rsidR="00DC727A" w:rsidRPr="005459E6">
        <w:rPr>
          <w:rFonts w:ascii="Times New Roman" w:hAnsi="Times New Roman" w:cs="Times New Roman"/>
        </w:rPr>
        <w:t xml:space="preserve">the </w:t>
      </w:r>
      <w:r w:rsidRPr="005459E6">
        <w:rPr>
          <w:rFonts w:ascii="Times New Roman" w:hAnsi="Times New Roman" w:cs="Times New Roman"/>
        </w:rPr>
        <w:t>ML model demand</w:t>
      </w:r>
      <w:r w:rsidR="00CF5C5B" w:rsidRPr="005459E6">
        <w:rPr>
          <w:rFonts w:ascii="Times New Roman" w:hAnsi="Times New Roman" w:cs="Times New Roman"/>
        </w:rPr>
        <w:t>s</w:t>
      </w:r>
      <w:r w:rsidRPr="005459E6">
        <w:rPr>
          <w:rFonts w:ascii="Times New Roman" w:hAnsi="Times New Roman" w:cs="Times New Roman"/>
        </w:rPr>
        <w:t xml:space="preserve"> verification to support its applications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{"citationItems":[{"id":"ITEM-1","itemData":{"DOI":"10.1002/rcs","abstract":"In the present paper hydrodynamically and thermally fully developed laminar flow of viscous, incompressible, conducting, Newtonian fluid through two horizontal parallel plates is investigated under the influence of transversely applied uniform magnetic field The effect of viscous dissipation, Joule heating and constant heat flux boundary conditions on the heat transfer and temperature distribution is taken into account, whereas axial heat conduction is neglected The thermal boundary conditions are considered for three cases; ( i) when the upper and the lower plates are kept at different constant heat fluxes (ii) when the upper and the lower plates are at the same constant heat flux and (iii) the upper plate is at constant heat flux and the lower plate is insulated Analytical solutions for the velocity field and the temperature distribution are obtained for all the three cases The results of the study are evaluated numerically and discussed through graphs and tables for different numerical values of the parameters entered into the problem The results of Francisca and Tso are deduced as particular cases of the present study (author)","author":[{"dropping-particle":"","family":"Rodr","given":"Evelio","non-dropping-particle":"","parse-names":false,"suffix":""},{"dropping-particle":"","family":"Kypson","given":"Alan P","non-dropping-particle":"","parse-names":false,"suffix":""},{"dropping-particle":"","family":"Moten","given":"Simon C","non-dropping-particle":"","parse-names":false,"suffix":""},{"dropping-particle":"","family":"Nifong","given":"L Wiley","non-dropping-particle":"","parse-names":false,"suffix":""},{"dropping-particle":"","family":"Jr","given":"W Randolph Chitwood","non-dropping-particle":"","parse-names":false,"suffix":""}],"container-title":"International Journal","id":"ITEM-1","issue":"April","issued":{"date-parts":[["2006"]]},"page":"211-215","title":"A novel modification of the Turing test for artificial intelligence and robotics in healthcare Hutan","type":"article-journal"},"uris":["http://www.mendeley.com/documents/?uuid=48e7ad51-4c31-4434-94e3-e9b5f2ced8af"]}],"mendeley":{"formattedCitation":"(Rodr et al., 2006)","manualFormatting":"Rodr et al., 2006)","plainTextFormattedCitation":"(Rodr et al., 2006)","previouslyFormattedCitation":"(Rodr et al., 2006)"},"properties":{"noteIndex":0},"schema":"https://github.com/citation-style-language/schema/raw/master/csl-citation.json"}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Rodr et al., 2006)</w:t>
      </w:r>
      <w:r w:rsidRPr="005459E6">
        <w:rPr>
          <w:rFonts w:ascii="Times New Roman" w:hAnsi="Times New Roman" w:cs="Times New Roman"/>
        </w:rPr>
        <w:fldChar w:fldCharType="end"/>
      </w:r>
      <w:r w:rsidRPr="005459E6">
        <w:rPr>
          <w:rFonts w:ascii="Times New Roman" w:hAnsi="Times New Roman" w:cs="Times New Roman"/>
        </w:rPr>
        <w:t xml:space="preserve">.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{"citationItems":[{"id":"ITEM-1","itemData":{"ISSN":"1352-2752","author":[{"dropping-particle":"","family":"Singh","given":"Ardhendu Shekhar","non-dropping-particle":"","parse-names":false,"suffix":""}],"container-title":"Qualitative Market Research: An International Journal","id":"ITEM-1","issued":{"date-parts":[["2014"]]},"publisher":"Emerald Group Publishing Limited","title":"Conducting case study research in non-profit organisations","type":"article-journal"},"uris":["http://www.mendeley.com/documents/?uuid=2fe47e5b-a35c-4af0-8271-d7e5cecab154"]}],"mendeley":{"formattedCitation":"(Singh, 2014)","manualFormatting":"Singh (2014)","plainTextFormattedCitation":"(Singh, 2014)","previouslyFormattedCitation":"(Singh,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Singh (2014)</w:t>
      </w:r>
      <w:r w:rsidRPr="005459E6">
        <w:rPr>
          <w:rFonts w:ascii="Times New Roman" w:hAnsi="Times New Roman" w:cs="Times New Roman"/>
        </w:rPr>
        <w:fldChar w:fldCharType="end"/>
      </w:r>
      <w:r w:rsidRPr="005459E6">
        <w:rPr>
          <w:rFonts w:ascii="Times New Roman" w:hAnsi="Times New Roman" w:cs="Times New Roman"/>
        </w:rPr>
        <w:t xml:space="preserve">, the adaption of such an approach in the ML model increases transparency and decreases researcher bias. Hence, both validity and reliability become a backbone to assure the integrity and quality of such research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{"citationItems":[{"id":"ITEM-1","itemData":{"ISSN":"1079-2082","author":[{"dropping-particle":"","family":"Kimberlin","given":"Carole L","non-dropping-particle":"","parse-names":false,"suffix":""},{"dropping-particle":"","family":"Winterstein","given":"Almut G","non-dropping-particle":"","parse-names":false,"suffix":""}],"container-title":"American journal of health-system pharmacy","id":"ITEM-1","issue":"23","issued":{"date-parts":[["2008"]]},"page":"2276-2284","publisher":"Oxford University Press","title":"Validity and reliability of measurement instruments used in research","type":"article-journal","volume":"65"},"uris":["http://www.mendeley.com/documents/?uuid=dd00d437-3b14-4e6f-9a60-cd3b16747981"]}],"mendeley":{"formattedCitation":"(Kimberlin &amp; Winterstein, 2008)","plainTextFormattedCitation":"(Kimberlin &amp; Winterstein, 2008)","previouslyFormattedCitation":"(Kimberlin &amp; Winterstein, 2008)"},"properties":{"noteIndex":0},"schema":"https://github.com/citation-style-language/schema/raw/master/csl-citation.json"}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(Kimberlin &amp; Winterstein, 2008)</w:t>
      </w:r>
      <w:r w:rsidRPr="005459E6">
        <w:rPr>
          <w:rFonts w:ascii="Times New Roman" w:hAnsi="Times New Roman" w:cs="Times New Roman"/>
        </w:rPr>
        <w:fldChar w:fldCharType="end"/>
      </w:r>
      <w:r w:rsidRPr="005459E6">
        <w:rPr>
          <w:rFonts w:ascii="Times New Roman" w:hAnsi="Times New Roman" w:cs="Times New Roman"/>
        </w:rPr>
        <w:t>.</w:t>
      </w:r>
    </w:p>
    <w:p w14:paraId="5B123FD3" w14:textId="524BF5C6" w:rsidR="00DA5D89" w:rsidRPr="005459E6" w:rsidRDefault="00DA5D89" w:rsidP="00042CB0">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{"citationItems":[{"id":"ITEM-1","itemData":{"ISSN":"0803946791","author":[{"dropping-particle":"","family":"Altheide","given":"David L","non-dropping-particle":"","parse-names":false,"suffix":""},{"dropping-particle":"","family":"Johnson","given":"John M","non-dropping-particle":"","parse-names":false,"suffix":""}],"id":"ITEM-1","issued":{"date-parts":[["1994"]]},"publisher":"Sage Publications, Inc","title":"Criteria for assessing interpretive validity in qualitative research.","type":"article-journal"},"uris":["http://www.mendeley.com/documents/?uuid=95f1e10e-e571-415c-9119-6752e5ab0b05"]}],"mendeley":{"formattedCitation":"(Altheide &amp; Johnson, 1994)","manualFormatting":"Altheide &amp; Johnson (1994)","plainTextFormattedCitation":"(Altheide &amp; Johnson, 1994)","previouslyFormattedCitation":"(Altheide &amp; Johnson, 1994)"},"properties":{"noteIndex":0},"schema":"https://github.com/citation-style-language/schema/raw/master/csl-citation.json"}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Altheide &amp; Johnson (1994)</w:t>
      </w:r>
      <w:r w:rsidRPr="005459E6">
        <w:rPr>
          <w:rFonts w:ascii="Times New Roman" w:hAnsi="Times New Roman" w:cs="Times New Roman"/>
        </w:rPr>
        <w:fldChar w:fldCharType="end"/>
      </w:r>
      <w:r w:rsidRPr="005459E6">
        <w:rPr>
          <w:rFonts w:ascii="Times New Roman" w:hAnsi="Times New Roman" w:cs="Times New Roman"/>
        </w:rPr>
        <w:t xml:space="preserve">, reliability is a measure of the stability of findings. It refers to a measurement that is in agreement with the results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{"citationItems":[{"id":"ITEM-1","itemData":{"author":[{"dropping-particle":"","family":"Blumberg","given":"B F","non-dropping-particle":"","parse-names":false,"suffix":""},{"dropping-particle":"","family":"Cooper","given":"D R","non-dropping-particle":"","parse-names":false,"suffix":""},{"dropping-particle":"","family":"Schindler","given":"P S","non-dropping-particle":"","parse-names":false,"suffix":""}],"container-title":"Business research methods","id":"ITEM-1","issued":{"date-parts":[["2005"]]},"page":"243-276","title":"Survey research","type":"article-journal"},"uris":["http://www.mendeley.com/documents/?uuid=97359fd0-4046-4198-8650-ed8d60554be4"]}],"mendeley":{"formattedCitation":"(Blumberg et al., 2005)","plainTextFormattedCitation":"(Blumberg et al., 2005)","previouslyFormattedCitation":"(Blumberg et al.,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(Blumberg et al., 2005)</w:t>
      </w:r>
      <w:r w:rsidRPr="005459E6">
        <w:rPr>
          <w:rFonts w:ascii="Times New Roman" w:hAnsi="Times New Roman" w:cs="Times New Roman"/>
        </w:rPr>
        <w:fldChar w:fldCharType="end"/>
      </w:r>
      <w:r w:rsidRPr="005459E6">
        <w:rPr>
          <w:rFonts w:ascii="Times New Roman" w:hAnsi="Times New Roman" w:cs="Times New Roman"/>
        </w:rPr>
        <w:t xml:space="preserve"> that are a measure of consistency, precision, repeatability, and trustworthiness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{"citationItems":[{"id":"ITEM-1","itemData":{"author":[{"dropping-particle":"","family":"Chakrabartty","given":"Satyendra Nath","non-dropping-particle":"","parse-names":false,"suffix":""}],"container-title":"IOSR Journal of Research &amp; Method in Education","id":"ITEM-1","issue":"1","issued":{"date-parts":[["2013"]]},"page":"1-8","title":"Best split-half and maximum reliability","type":"article-journal","volume":"3"},"uris":["http://www.mendeley.com/documents/?uuid=ea9b6e24-8db1-4949-b0b3-ea62c4d6d70f"]}],"mendeley":{"formattedCitation":"(Chakrabartty, 2013)","plainTextFormattedCitation":"(Chakrabartty, 2013)","previouslyFormattedCitation":"(Chakrabartty, 2013)"},"properties":{"noteIndex":0},"schema":"https://github.com/citation-style-language/schema/raw/master/csl-citation.json"}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(Chakrabartty, 2013)</w:t>
      </w:r>
      <w:r w:rsidRPr="005459E6">
        <w:rPr>
          <w:rFonts w:ascii="Times New Roman" w:hAnsi="Times New Roman" w:cs="Times New Roman"/>
        </w:rPr>
        <w:fldChar w:fldCharType="end"/>
      </w:r>
      <w:r w:rsidRPr="005459E6">
        <w:rPr>
          <w:rFonts w:ascii="Times New Roman" w:hAnsi="Times New Roman" w:cs="Times New Roman"/>
        </w:rPr>
        <w:t xml:space="preserve">. As identified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{"citationItems":[{"id":"ITEM-1","itemData":{"DOI":"10.4103/1117-1936.173959","ISSN":"1117-1936","PMID":"26776330","abstract":"The importance of measuring the accuracy and consistency of research instruments (especially questionnaires) known as validity and reliability, respectively, have been documented in several studies, but their measure is not commonly carried out among health and social science researchers in developing countries. This has been linked to the dearth of knowledge of these tests. This is a review article which comprehensively explores and describes the validity and reliability of a research instrument (with special reference to questionnaire). It further discusses various forms of validity and reliability tests with concise examples and finally explains various methods of analysing these tests with scientific principles guiding such analysis.","author":[{"dropping-particle":"","family":"Bolarinwa","given":"OladimejiAkeem","non-dropping-particle":"","parse-names":false,"suffix":""}],"container-title":"Nigerian Postgraduate Medical Journal","id":"ITEM-1","issue":"4","issued":{"date-parts":[["2015"]]},"page":"195","title":"Principles and methods of validity and reliability testing of questionnaires used in social and health science researches","type":"article-journal","volume":"22"},"uris":["http://www.mendeley.com/documents/?uuid=523c3971-a2f7-4d28-88ca-b9b3d7e81ed2"]}],"mendeley":{"formattedCitation":"(Bolarinwa, 2015)","manualFormatting":"Bolarinwa (2015)","plainTextFormattedCitation":"(Bolarinwa, 2015)","previouslyFormattedCitation":"(Bolarinwa,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Bolarinwa (2015)</w:t>
      </w:r>
      <w:r w:rsidRPr="005459E6">
        <w:rPr>
          <w:rFonts w:ascii="Times New Roman" w:hAnsi="Times New Roman" w:cs="Times New Roman"/>
        </w:rPr>
        <w:fldChar w:fldCharType="end"/>
      </w:r>
      <w:r w:rsidRPr="005459E6">
        <w:rPr>
          <w:rFonts w:ascii="Times New Roman" w:hAnsi="Times New Roman" w:cs="Times New Roman"/>
        </w:rPr>
        <w:t xml:space="preserve">, reliability indicates the extent of lack of error and ensures consistent measurement. </w:t>
      </w:r>
    </w:p>
    <w:p w14:paraId="6CD88151" w14:textId="77777777" w:rsidR="00176CDE" w:rsidRPr="005459E6" w:rsidRDefault="00176CDE" w:rsidP="00042CB0">
      <w:pPr>
        <w:spacing w:line="360" w:lineRule="auto"/>
        <w:jc w:val="both"/>
        <w:rPr>
          <w:rFonts w:ascii="Times New Roman" w:hAnsi="Times New Roman" w:cs="Times New Roman"/>
        </w:rPr>
      </w:pPr>
    </w:p>
    <w:p w14:paraId="111E2128" w14:textId="2F20C998" w:rsidR="00BF5ADA" w:rsidRPr="005459E6" w:rsidRDefault="00BF5ADA" w:rsidP="00042CB0">
      <w:pPr>
        <w:pStyle w:val="Titolo3"/>
        <w:spacing w:line="360" w:lineRule="auto"/>
        <w:jc w:val="both"/>
        <w:rPr>
          <w:rFonts w:ascii="Times New Roman" w:hAnsi="Times New Roman" w:cs="Times New Roman"/>
          <w:color w:val="auto"/>
          <w:sz w:val="22"/>
          <w:szCs w:val="22"/>
        </w:rPr>
      </w:pPr>
      <w:bookmarkStart w:id="407" w:name="_Toc107248331"/>
      <w:r w:rsidRPr="005459E6">
        <w:rPr>
          <w:rFonts w:ascii="Times New Roman" w:hAnsi="Times New Roman" w:cs="Times New Roman"/>
          <w:color w:val="auto"/>
          <w:sz w:val="22"/>
          <w:szCs w:val="22"/>
        </w:rPr>
        <w:t>Model</w:t>
      </w:r>
      <w:r w:rsidR="00176CDE" w:rsidRPr="005459E6">
        <w:rPr>
          <w:rFonts w:ascii="Times New Roman" w:hAnsi="Times New Roman" w:cs="Times New Roman"/>
          <w:color w:val="auto"/>
          <w:sz w:val="22"/>
          <w:szCs w:val="22"/>
        </w:rPr>
        <w:t xml:space="preserve"> Development</w:t>
      </w:r>
      <w:bookmarkEnd w:id="407"/>
    </w:p>
    <w:p w14:paraId="7E4FBA28" w14:textId="766BA380" w:rsidR="00BF5ADA" w:rsidRPr="005459E6" w:rsidRDefault="00BF5ADA" w:rsidP="00042CB0">
      <w:pPr>
        <w:spacing w:line="360" w:lineRule="auto"/>
        <w:jc w:val="both"/>
        <w:rPr>
          <w:rFonts w:ascii="Times New Roman" w:hAnsi="Times New Roman" w:cs="Times New Roman"/>
        </w:rPr>
      </w:pPr>
      <w:r w:rsidRPr="005459E6">
        <w:rPr>
          <w:rFonts w:ascii="Times New Roman" w:hAnsi="Times New Roman" w:cs="Times New Roman"/>
        </w:rPr>
        <w:t>During the model training automation process, the following procedures were used to ensure the dependability of the ML training process in the current study -</w:t>
      </w:r>
    </w:p>
    <w:p w14:paraId="53A5900F" w14:textId="77777777" w:rsidR="00BF5ADA" w:rsidRPr="005459E6" w:rsidRDefault="00BF5ADA" w:rsidP="00042CB0">
      <w:pPr>
        <w:spacing w:line="360" w:lineRule="auto"/>
        <w:ind w:left="720"/>
        <w:jc w:val="both"/>
        <w:rPr>
          <w:rFonts w:ascii="Times New Roman" w:hAnsi="Times New Roman" w:cs="Times New Roman"/>
        </w:rPr>
      </w:pPr>
      <w:r w:rsidRPr="005459E6">
        <w:rPr>
          <w:rFonts w:ascii="Times New Roman" w:hAnsi="Times New Roman" w:cs="Times New Roman"/>
        </w:rPr>
        <w:t xml:space="preserve">1. Automated data extraction </w:t>
      </w:r>
    </w:p>
    <w:p w14:paraId="11946F49" w14:textId="77777777" w:rsidR="00BF5ADA" w:rsidRPr="005459E6" w:rsidRDefault="00BF5ADA" w:rsidP="00042CB0">
      <w:pPr>
        <w:spacing w:line="360" w:lineRule="auto"/>
        <w:ind w:left="720"/>
        <w:jc w:val="both"/>
        <w:rPr>
          <w:rFonts w:ascii="Times New Roman" w:hAnsi="Times New Roman" w:cs="Times New Roman"/>
        </w:rPr>
      </w:pPr>
      <w:r w:rsidRPr="005459E6">
        <w:rPr>
          <w:rFonts w:ascii="Times New Roman" w:hAnsi="Times New Roman" w:cs="Times New Roman"/>
        </w:rPr>
        <w:t>2. Feature extraction</w:t>
      </w:r>
    </w:p>
    <w:p w14:paraId="067E0336" w14:textId="77777777" w:rsidR="00BF5ADA" w:rsidRPr="005459E6" w:rsidRDefault="00BF5ADA" w:rsidP="00042CB0">
      <w:pPr>
        <w:spacing w:line="360" w:lineRule="auto"/>
        <w:ind w:left="720"/>
        <w:jc w:val="both"/>
        <w:rPr>
          <w:rFonts w:ascii="Times New Roman" w:hAnsi="Times New Roman" w:cs="Times New Roman"/>
        </w:rPr>
      </w:pPr>
      <w:r w:rsidRPr="005459E6">
        <w:rPr>
          <w:rFonts w:ascii="Times New Roman" w:hAnsi="Times New Roman" w:cs="Times New Roman"/>
        </w:rPr>
        <w:t>3. Model training and testing</w:t>
      </w:r>
    </w:p>
    <w:p w14:paraId="2B4DF13B" w14:textId="77777777" w:rsidR="00BF5ADA" w:rsidRPr="005459E6" w:rsidRDefault="00BF5ADA" w:rsidP="00042CB0">
      <w:pPr>
        <w:spacing w:line="360" w:lineRule="auto"/>
        <w:ind w:left="720"/>
        <w:jc w:val="both"/>
        <w:rPr>
          <w:rFonts w:ascii="Times New Roman" w:hAnsi="Times New Roman" w:cs="Times New Roman"/>
        </w:rPr>
      </w:pPr>
      <w:r w:rsidRPr="005459E6">
        <w:rPr>
          <w:rFonts w:ascii="Times New Roman" w:hAnsi="Times New Roman" w:cs="Times New Roman"/>
        </w:rPr>
        <w:t xml:space="preserve">4. Model selection and </w:t>
      </w:r>
    </w:p>
    <w:p w14:paraId="682C2A44" w14:textId="77777777" w:rsidR="00BF5ADA" w:rsidRPr="005459E6" w:rsidRDefault="00BF5ADA" w:rsidP="00042CB0">
      <w:pPr>
        <w:spacing w:line="360" w:lineRule="auto"/>
        <w:ind w:left="720"/>
        <w:jc w:val="both"/>
        <w:rPr>
          <w:rFonts w:ascii="Times New Roman" w:hAnsi="Times New Roman" w:cs="Times New Roman"/>
        </w:rPr>
      </w:pPr>
      <w:r w:rsidRPr="005459E6">
        <w:rPr>
          <w:rFonts w:ascii="Times New Roman" w:hAnsi="Times New Roman" w:cs="Times New Roman"/>
        </w:rPr>
        <w:t xml:space="preserve">5. Model evaluation </w:t>
      </w:r>
    </w:p>
    <w:p w14:paraId="21F50437" w14:textId="204E06AD"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 xml:space="preserve">In ML, reliability depends on the procedure followed during model training. In the present study, quality checks were conducted during the pre-processing stage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{"citationItems":[{"id":"ITEM-1","itemData":{"DOI":"10.1038/s41398-019-0607-2","ISSN":"21583188","PMID":"31641106","abstract":"Machine learning methods hold promise for personalized care in psychiatry, demonstrating the potential to tailor treatment decisions and stratify patients into clinically meaningful taxonomies. Subsequently, publication counts applying machine learning methods have risen, with different data modalities, mathematically distinct models, and samples of varying size being used to train and test models with the promise of clinical translation. Consequently, and in part due to the preliminary nature of such works, many studies have reported largely varying degrees of accuracy, raising concerns over systematic overestimation and methodological inconsistencies. Furthermore, a lack of procedural evaluation guidelines for non-expert medical professionals and funding bodies leaves many in the field with no means to systematically evaluate the claims, maturity, and clinical readiness of a project. Given the potential of machine learning methods to transform patient care, albeit, contingent on the rigor of employed methods and their dissemination, we deem it necessary to provide a review of current methods, recommendations, and future directions for applied machine learning in psychiatry. In this review we will cover issues of best practice for model training and evaluation, sources of systematic error and overestimation, model explainability vs. trust, the clinical implementation of AI systems, and finally, future directions for our field.","author":[{"dropping-particle":"","family":"Cearns","given":"Micah","non-dropping-particle":"","parse-names":false,"suffix":""},{"dropping-particle":"","family":"Hahn","given":"Tim","non-dropping-particle":"","parse-names":false,"suffix":""},{"dropping-particle":"","family":"Baune","given":"Bernhard T.","non-dropping-particle":"","parse-names":false,"suffix":""}],"container-title":"Translational Psychiatry","id":"ITEM-1","issue":"1","issued":{"date-parts":[["2019"]]},"publisher":"Springer US","title":"Recommendations and future directions for supervised machine learning in psychiatry","type":"article-journal","volume":"9"},"uris":["http://www.mendeley.com/documents/?uuid=411bf4c1-92d7-4369-9333-b4b742d6de53"]}],"mendeley":{"formattedCitation":"(Cearns et al., 2019)","plainTextFormattedCitation":"(Cearns et al., 2019)","previouslyFormattedCitation":"(Cearns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(Cearns et al., 2019)</w:t>
      </w:r>
      <w:r w:rsidRPr="005459E6">
        <w:rPr>
          <w:rFonts w:ascii="Times New Roman" w:hAnsi="Times New Roman" w:cs="Times New Roman"/>
        </w:rPr>
        <w:fldChar w:fldCharType="end"/>
      </w:r>
      <w:r w:rsidRPr="005459E6">
        <w:rPr>
          <w:rFonts w:ascii="Times New Roman" w:hAnsi="Times New Roman" w:cs="Times New Roman"/>
        </w:rPr>
        <w:t xml:space="preserve"> to avoid </w:t>
      </w:r>
      <w:r w:rsidR="000A06A3" w:rsidRPr="005459E6">
        <w:rPr>
          <w:rFonts w:ascii="Times New Roman" w:hAnsi="Times New Roman" w:cs="Times New Roman"/>
        </w:rPr>
        <w:t>an</w:t>
      </w:r>
      <w:r w:rsidRPr="005459E6">
        <w:rPr>
          <w:rFonts w:ascii="Times New Roman" w:hAnsi="Times New Roman" w:cs="Times New Roman"/>
        </w:rPr>
        <w:t xml:space="preserve"> inefficient model. The reliability was achieved using automated data staging and feature extraction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{"citationItems":[{"id":"ITEM-1","itemData":{"DOI":"10.3389/fnhum.2018.00110","ISSN":"16625161","abstract":"Sleep staging, the process of assigning labels to epochs of sleep, depending on the stage of sleep they belong, is an arduous, time consuming and error prone process as the initial recordings are quite often polluted by noise from different sources. To properly analyze such data and extract clinical knowledge, noise componentsmust be removed or alleviated. In this paper a pre-processing and subsequent sleep staging pipeline for the sleep analysis of electroencephalographic signals is described. Two novel methods of functional connectivity estimation (Synchronization Likelihood/SL and Relative Wavelet Entropy/RWE) are comparatively investigated for automatic sleep staging through manually pre-processed electroencephalographic recordings. A multi-step process that renders signals suitable for further analysis is initially described. Then, two methods that rely on extracting synchronization features from electroencephalographic recordings to achieve computerized sleep staging are proposed, based on bivariate features which provide a functional overview of the brain network, contrary to most proposed methods that rely on extracting univariate time and frequency features. Annotation of sleep epochs is achieved through the presented feature extraction methods by training classifiers, which are in turn able to accurately classify new epochs. Analysis of data from sleep experiments on a randomized, controlled bed-rest study, which was organized by the European Space Agency and was conducted in the “ENVIHAB” facility of the Institute of Aerospace Medicine at the German Aerospace Center (DLR) in Cologne, Germany attains high accuracy rates, over 90% based on ground truth that resulted from manual sleep staging by two experienced sleep experts. Therefore, it can be concluded that the above feature extraction methods are suitable for semi-automatic sleep staging.","author":[{"dropping-particle":"","family":"Chriskos","given":"Panteleimon","non-dropping-particle":"","parse-names":false,"suffix":""},{"dropping-particle":"","family":"Frantzidis","given":"Christos A.","non-dropping-particle":"","parse-names":false,"suffix":""},{"dropping-particle":"","family":"Gkivogkli","given":"Polyxeni T.","non-dropping-particle":"","parse-names":false,"suffix":""},{"dropping-particle":"","family":"Bamidis","given":"Panagiotis D.","non-dropping-particle":"","parse-names":false,"suffix":""},{"dropping-particle":"","family":"Kourtidou-Papadeli","given":"Chrysoula","non-dropping-particle":"","parse-names":false,"suffix":""}],"container-title":"Frontiers in Human Neuroscience","id":"ITEM-1","issue":"March","issued":{"date-parts":[["2018"]]},"page":"1-13","title":"Achieving accurate automatic sleep staging on manually pre-processed EEG data through synchronization feature extraction and graph metrics","type":"article-journal","volume":"12"},"uris":["http://www.mendeley.com/documents/?uuid=7e8aa684-aab8-4fe0-9824-ec58d26f41b9"]},{"id":"ITEM-2","itemData":{"DOI":"10.1016/j.media.2020.101714","ISSN":"13618423","PMID":"33007638","abstract":"Deep learning (DL) methods have in recent years yielded impressive results in medical imaging, with the potential to function as clinical aid to radiologists. However, DL models in medical imaging are often trained on public research cohorts with images acquired with a single scanner or with strict protocol harmonization, which is not representative of a clinical setting. The aim of this study was to investigate how well a DL model performs in unseen clinical datasets–collected with different scanners, protocols and disease populations–and whether more heterogeneous training data improves generalization. In total, 3117 MRI scans of brains from multiple dementia research cohorts and memory clinics, that had been visually rated by a neuroradiologist according to Scheltens’ scale of medial temporal atrophy (MTA), were included in this study. By training multiple versions of a convolutional neural network on different subsets of this data to predict MTA ratings, we assessed the impact of including images from a wider distribution during training had on performance in external memory clinic data. Our results showed that our model generalized well to datasets acquired with similar protocols as the training data, but substantially worse in clinical cohorts with visibly different tissue contrasts in the images. This implies that future DL studies investigating performance in out-of-distribution (OOD) MRI data need to assess multiple external cohorts for reliable results. Further, by including data from a wider range of scanners and protocols the performance improved in OOD data, which suggests that more heterogeneous training data makes the model generalize better. To conclude, this is the most comprehensive study to date investigating the domain shift in deep learning on MRI data, and we advocate rigorous evaluation of DL models on clinical data prior to being certified for deployment.","author":[{"dropping-particle":"","family":"Mårtensson","given":"Gustav","non-dropping-particle":"","parse-names":false,"suffix":""},{"dropping-particle":"","family":"Ferreira","given":"Daniel","non-dropping-particle":"","parse-names":false,"suffix":""},{"dropping-particle":"","family":"Granberg","given":"Tobias","non-dropping-particle":"","parse-names":false,"suffix":""},{"dropping-particle":"","family":"Cavallin","given":"Lena","non-dropping-particle":"","parse-names":false,"suffix":""},{"dropping-particle":"","family":"Oppedal","given":"Ketil","non-dropping-particle":"","parse-names":false,"suffix":""},{"dropping-particle":"","family":"Padovani","given":"Alessandro","non-dropping-particle":"","parse-names":false,"suffix":""},{"dropping-particle":"","family":"Rektorova","given":"Irena","non-dropping-particle":"","parse-names":false,"suffix":""},{"dropping-particle":"","family":"Bonanni","given":"Laura","non-dropping-particle":"","parse-names":false,"suffix":""},{"dropping-particle":"","family":"Pardini","given":"Matteo","non-dropping-particle":"","parse-names":false,"suffix":""},{"dropping-particle":"","family":"Kramberger","given":"Milica G.","non-dropping-particle":"","parse-names":false,"suffix":""},{"dropping-particle":"","family":"Taylor","given":"John Paul","non-dropping-particle":"","parse-names":false,"suffix":""},{"dropping-particle":"","family":"Hort","given":"Jakub","non-dropping-particle":"","parse-names":false,"suffix":""},{"dropping-particle":"","family":"Snædal","given":"Jón","non-dropping-particle":"","parse-names":false,"suffix":""},{"dropping-particle":"","family":"Kulisevsky","given":"Jaime","non-dropping-particle":"","parse-names":false,"suffix":""},{"dropping-particle":"","family":"Blanc","given":"Frederic","non-dropping-particle":"","parse-names":false,"suffix":""},{"dropping-particle":"","family":"Antonini","given":"Angelo","non-dropping-particle":"","parse-names":false,"suffix":""},{"dropping-particle":"","family":"Mecocci","given":"Patrizia","non-dropping-particle":"","parse-names":false,"suffix":""},{"dropping-particle":"","family":"Vellas","given":"Bruno","non-dropping-particle":"","parse-names":false,"suffix":""},{"dropping-particle":"","family":"Tsolaki","given":"Magda","non-dropping-particle":"","parse-names":false,"suffix":""},{"dropping-particle":"","family":"Kłoszewska","given":"Iwona","non-dropping-particle":"","parse-names":false,"suffix":""},{"dropping-particle":"","family":"Soininen","given":"Hilkka","non-dropping-particle":"","parse-names":false,"suffix":""},{"dropping-particle":"","family":"Lovestone","given":"Simon","non-dropping-particle":"","parse-names":false,"suffix":""},{"dropping-particle":"","family":"Simmons","given":"Andrew","non-dropping-particle":"","parse-names":false,"suffix":""},{"dropping-particle":"","family":"Aarsland","given":"Dag","non-dropping-particle":"","parse-names":false,"suffix":""},{"dropping-particle":"","family":"Westman","given":"Eric","non-dropping-particle":"","parse-names":false,"suffix":""}],"container-title":"Medical Image Analysis","id":"ITEM-2","issued":{"date-parts":[["2020"]]},"title":"The reliability of a deep learning model in clinical out-of-distribution MRI data: A multicohort study","type":"article-journal","volume":"66"},"uris":["http://www.mendeley.com/documents/?uuid=c5cf3786-e94f-46c7-8712-f52e9156d544"]}],"mendeley":{"formattedCitation":"(Chriskos et al., 2018; Mårtensson et al., 2020)","plainTextFormattedCitation":"(Chriskos et al., 2018; Mårtensson et al., 2020)","previouslyFormattedCitation":"(Chriskos et al., 2018; Mårtensson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(Chriskos et al., 2018; Mårtensson et al., 2020)</w:t>
      </w:r>
      <w:r w:rsidRPr="005459E6">
        <w:rPr>
          <w:rFonts w:ascii="Times New Roman" w:hAnsi="Times New Roman" w:cs="Times New Roman"/>
        </w:rPr>
        <w:fldChar w:fldCharType="end"/>
      </w:r>
      <w:r w:rsidRPr="005459E6">
        <w:rPr>
          <w:rFonts w:ascii="Times New Roman" w:hAnsi="Times New Roman" w:cs="Times New Roman"/>
        </w:rPr>
        <w:t>. A significant focus on the data and automated model</w:t>
      </w:r>
      <w:r w:rsidR="00DC727A" w:rsidRPr="005459E6">
        <w:rPr>
          <w:rFonts w:ascii="Times New Roman" w:hAnsi="Times New Roman" w:cs="Times New Roman"/>
        </w:rPr>
        <w:t>-</w:t>
      </w:r>
      <w:r w:rsidRPr="005459E6">
        <w:rPr>
          <w:rFonts w:ascii="Times New Roman" w:hAnsi="Times New Roman" w:cs="Times New Roman"/>
        </w:rPr>
        <w:t>building process minimized the uncertainty of the ML model while improving the reliability of the process.</w:t>
      </w:r>
    </w:p>
    <w:p w14:paraId="18F6329B" w14:textId="0AD77A3B" w:rsidR="008F6E0E" w:rsidRPr="005459E6" w:rsidRDefault="008F6E0E" w:rsidP="00042CB0">
      <w:pPr>
        <w:pStyle w:val="Titolo2"/>
        <w:spacing w:line="360" w:lineRule="auto"/>
        <w:jc w:val="both"/>
        <w:rPr>
          <w:rFonts w:ascii="Times New Roman" w:hAnsi="Times New Roman" w:cs="Times New Roman"/>
          <w:color w:val="auto"/>
          <w:sz w:val="22"/>
          <w:szCs w:val="22"/>
        </w:rPr>
      </w:pPr>
      <w:bookmarkStart w:id="408" w:name="_Toc73129056"/>
      <w:bookmarkStart w:id="409" w:name="_Toc85542471"/>
      <w:bookmarkStart w:id="410" w:name="_Toc87349551"/>
      <w:bookmarkStart w:id="411" w:name="_Toc87349664"/>
      <w:bookmarkStart w:id="412" w:name="_Toc87349771"/>
      <w:bookmarkStart w:id="413" w:name="_Toc107248332"/>
      <w:r w:rsidRPr="005459E6">
        <w:rPr>
          <w:rFonts w:ascii="Times New Roman" w:hAnsi="Times New Roman" w:cs="Times New Roman"/>
          <w:color w:val="auto"/>
          <w:sz w:val="22"/>
          <w:szCs w:val="22"/>
        </w:rPr>
        <w:t>Validity</w:t>
      </w:r>
      <w:bookmarkEnd w:id="408"/>
      <w:bookmarkEnd w:id="409"/>
      <w:bookmarkEnd w:id="410"/>
      <w:bookmarkEnd w:id="411"/>
      <w:bookmarkEnd w:id="412"/>
      <w:bookmarkEnd w:id="413"/>
    </w:p>
    <w:p w14:paraId="38002DF7" w14:textId="77777777"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Validity refers to the accuracy with which a measure confirms that the results measure what they claim to measure. Model validation is a technique for evaluating a model's anticipated performance using data that was not included in the initial construction of the model.</w:t>
      </w:r>
    </w:p>
    <w:p w14:paraId="79F02568" w14:textId="77777777"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 xml:space="preserve">As stated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{"citationItems":[{"id":"ITEM-1","itemData":{"author":[{"dropping-particle":"","family":"Blumberg","given":"B F","non-dropping-particle":"","parse-names":false,"suffix":""},{"dropping-particle":"","family":"Cooper","given":"D R","non-dropping-particle":"","parse-names":false,"suffix":""},{"dropping-particle":"","family":"Schindler","given":"P S","non-dropping-particle":"","parse-names":false,"suffix":""}],"container-title":"Business research methods","id":"ITEM-1","issued":{"date-parts":[["2005"]]},"page":"243-276","title":"Survey research","type":"article-journal"},"uris":["http://www.mendeley.com/documents/?uuid=97359fd0-4046-4198-8650-ed8d60554be4"]}],"mendeley":{"formattedCitation":"(Blumberg et al., 2005)","manualFormatting":"Blumberg et al. (2005)","plainTextFormattedCitation":"(Blumberg et al., 2005)","previouslyFormattedCitation":"(Blumberg et al., 2005)"},"properties":{"noteIndex":0},"schema":"https://github.com/citation-style-language/schema/raw/master/csl-citation.json"}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Blumberg et al. (2005)</w:t>
      </w:r>
      <w:r w:rsidRPr="005459E6">
        <w:rPr>
          <w:rFonts w:ascii="Times New Roman" w:hAnsi="Times New Roman" w:cs="Times New Roman"/>
        </w:rPr>
        <w:fldChar w:fldCharType="end"/>
      </w:r>
      <w:r w:rsidRPr="005459E6">
        <w:rPr>
          <w:rFonts w:ascii="Times New Roman" w:hAnsi="Times New Roman" w:cs="Times New Roman"/>
        </w:rPr>
        <w:t>, validity is often defined as the extent to which an instrument measures what it is asserted to measure. It relates to the extent to which the survey measures the right elements that are intended to be measured. The dependability of the exam was further tested by looking at the consistency of outcomes across different sections of the exam. The method required the creation of machine learning models as well as a performance comparison between the test and training sets of data. The data reliability was discovered after training the dataset (with 80% of the data) and testing the model with the remaining training dataset (using 20 percent data).</w:t>
      </w:r>
    </w:p>
    <w:p w14:paraId="0CD80E54" w14:textId="46B536E7"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 xml:space="preserve">It was quantified using several metrics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{"citationItems":[{"id":"ITEM-1","itemData":{"DOI":"10.1038/s41524-019-0248-2","ISSN":"20573960","abstract":"Despite ML’s impressive performance in commercial applications, several unique challenges exist when applying ML in materials science applications. In such a context, the contributions of this work are twofold. First, we identify common pitfalls of existing ML techniques when learning from underrepresented/imbalanced material data. Specifically, we show that with imbalanced data, standard methods for assessing quality of ML models break down and lead to misleading conclusions. Furthermore, we find that the model’s own confidence score cannot be trusted and model introspection methods (using simpler models) do not help as they result in loss of predictive performance (reliability-explainability trade-off). Second, to overcome these challenges, we propose a general-purpose explainable and reliable machine-learning framework. Specifically, we propose a generic pipeline that employs an ensemble of simpler models to reliably predict material properties. We also propose a transfer learning technique and show that the performance loss due to models’ simplicity can be overcome by exploiting correlations among different material properties. A new evaluation metric and a trust score to better quantify the confidence in the predictions are also proposed. To improve the interpretability, we add a rationale generator component to our framework which provides both model-level and decision-level explanations. Finally, we demonstrate the versatility of our technique on two applications: (1) predicting properties of crystalline compounds and (2) identifying potentially stable solar cell materials. We also point to some outstanding issues yet to be resolved for a successful application of ML in material science.","author":[{"dropping-particle":"","family":"Kailkhura","given":"Bhavya","non-dropping-particle":"","parse-names":false,"suffix":""},{"dropping-particle":"","family":"Gallagher","given":"Brian","non-dropping-particle":"","parse-names":false,"suffix":""},{"dropping-particle":"","family":"Kim","given":"Sookyung","non-dropping-particle":"","parse-names":false,"suffix":""},{"dropping-particle":"","family":"Hiszpanski","given":"Anna","non-dropping-particle":"","parse-names":false,"suffix":""},{"dropping-particle":"","family":"Han","given":"T. Yong Jin","non-dropping-particle":"","parse-names":false,"suffix":""}],"container-title":"npj Computational Materials","id":"ITEM-1","issue":"1","issued":{"date-parts":[["2019"]]},"page":"1-9","publisher":"Springer US","title":"Reliable and explainable machine-learning methods for accelerated material discovery","type":"article-journal","volume":"5"},"uris":["http://www.mendeley.com/documents/?uuid=56bbdc08-2890-4d62-8301-cac3f3244585"]}],"mendeley":{"formattedCitation":"(Kailkhura et al., 2019)","plainTextFormattedCitation":"(Kailkhura et al., 2019)","previouslyFormattedCitation":"(Kailkhura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(Kailkhura et al., 2019)</w:t>
      </w:r>
      <w:r w:rsidRPr="005459E6">
        <w:rPr>
          <w:rFonts w:ascii="Times New Roman" w:hAnsi="Times New Roman" w:cs="Times New Roman"/>
        </w:rPr>
        <w:fldChar w:fldCharType="end"/>
      </w:r>
      <w:r w:rsidRPr="005459E6">
        <w:rPr>
          <w:rFonts w:ascii="Times New Roman" w:hAnsi="Times New Roman" w:cs="Times New Roman"/>
        </w:rPr>
        <w:t xml:space="preserve"> in a data-driven model</w:t>
      </w:r>
      <w:r w:rsidR="000A06A3" w:rsidRPr="005459E6">
        <w:rPr>
          <w:rFonts w:ascii="Times New Roman" w:hAnsi="Times New Roman" w:cs="Times New Roman"/>
        </w:rPr>
        <w:t>,</w:t>
      </w:r>
      <w:r w:rsidRPr="005459E6">
        <w:rPr>
          <w:rFonts w:ascii="Times New Roman" w:hAnsi="Times New Roman" w:cs="Times New Roman"/>
        </w:rPr>
        <w:t xml:space="preserve"> as reported by the following performance measures. The difference between observed values and the model's predicted values is summarized by Goodness-Of-Fit indices. A good match for a Machine Learning algorithm is when both the training data error and the test data error are modest. Based on the following characteristics in </w:t>
      </w:r>
      <w:r w:rsidRPr="005459E6">
        <w:rPr>
          <w:rFonts w:ascii="Times New Roman" w:hAnsi="Times New Roman" w:cs="Times New Roman"/>
          <w:b/>
          <w:bCs/>
        </w:rPr>
        <w:t xml:space="preserve">Figure </w:t>
      </w:r>
      <w:r w:rsidR="00F2602C" w:rsidRPr="005459E6">
        <w:rPr>
          <w:rFonts w:ascii="Times New Roman" w:hAnsi="Times New Roman" w:cs="Times New Roman"/>
          <w:b/>
          <w:bCs/>
        </w:rPr>
        <w:t>2</w:t>
      </w:r>
      <w:r w:rsidR="000374B4" w:rsidRPr="005459E6">
        <w:rPr>
          <w:rFonts w:ascii="Times New Roman" w:hAnsi="Times New Roman" w:cs="Times New Roman"/>
          <w:b/>
          <w:bCs/>
        </w:rPr>
        <w:t>4</w:t>
      </w:r>
      <w:r w:rsidRPr="005459E6">
        <w:rPr>
          <w:rFonts w:ascii="Times New Roman" w:hAnsi="Times New Roman" w:cs="Times New Roman"/>
        </w:rPr>
        <w:t>, the same is visible in the presented research.</w:t>
      </w:r>
    </w:p>
    <w:p w14:paraId="57AA769E" w14:textId="77777777" w:rsidR="008F6E0E" w:rsidRPr="005459E6" w:rsidRDefault="008F6E0E" w:rsidP="00042CB0">
      <w:pPr>
        <w:spacing w:line="360" w:lineRule="auto"/>
        <w:jc w:val="both"/>
        <w:rPr>
          <w:rFonts w:ascii="Times New Roman" w:hAnsi="Times New Roman" w:cs="Times New Roman"/>
        </w:rPr>
      </w:pPr>
    </w:p>
    <w:p w14:paraId="41957DE4" w14:textId="77777777"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noProof/>
        </w:rPr>
        <w:drawing>
          <wp:inline distT="0" distB="0" distL="0" distR="0" wp14:anchorId="69169367" wp14:editId="2221CBE8">
            <wp:extent cx="6096000" cy="2662002"/>
            <wp:effectExtent l="0" t="0" r="0" b="508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75">
                      <a:extLst>
                        <a:ext uri="{28A0092B-C50C-407E-A947-70E740481C1C}">
                          <a14:useLocalDpi xmlns:a14="http://schemas.microsoft.com/office/drawing/2010/main" val="0"/>
                        </a:ext>
                      </a:extLst>
                    </a:blip>
                    <a:srcRect l="18806" t="37503" r="19214" b="27046"/>
                    <a:stretch/>
                  </pic:blipFill>
                  <pic:spPr bwMode="auto">
                    <a:xfrm>
                      <a:off x="0" y="0"/>
                      <a:ext cx="6112406" cy="2669166"/>
                    </a:xfrm>
                    <a:prstGeom prst="rect">
                      <a:avLst/>
                    </a:prstGeom>
                    <a:ln>
                      <a:noFill/>
                    </a:ln>
                    <a:extLst>
                      <a:ext uri="{53640926-AAD7-44D8-BBD7-CCE9431645EC}">
                        <a14:shadowObscured xmlns:a14="http://schemas.microsoft.com/office/drawing/2010/main"/>
                      </a:ext>
                    </a:extLst>
                  </pic:spPr>
                </pic:pic>
              </a:graphicData>
            </a:graphic>
          </wp:inline>
        </w:drawing>
      </w:r>
    </w:p>
    <w:p w14:paraId="23780930" w14:textId="42F3BAF2" w:rsidR="00A52418" w:rsidRPr="005459E6" w:rsidRDefault="00A52418" w:rsidP="00042CB0">
      <w:pPr>
        <w:pStyle w:val="Sommario1"/>
        <w:keepNext/>
        <w:rPr>
          <w:rFonts w:ascii="Times New Roman" w:hAnsi="Times New Roman" w:cs="Times New Roman"/>
        </w:rPr>
      </w:pPr>
      <w:bookmarkStart w:id="414" w:name="_Toc85542472"/>
      <w:r w:rsidRPr="005459E6">
        <w:rPr>
          <w:rFonts w:ascii="Times New Roman" w:hAnsi="Times New Roman" w:cs="Times New Roman"/>
        </w:rPr>
        <w:t xml:space="preserve"> </w:t>
      </w:r>
    </w:p>
    <w:p w14:paraId="1F0B5C49" w14:textId="5F6246B1" w:rsidR="008F6E0E" w:rsidRPr="005459E6" w:rsidRDefault="00A52418" w:rsidP="00042CB0">
      <w:pPr>
        <w:pStyle w:val="Didascalia"/>
        <w:spacing w:line="360" w:lineRule="auto"/>
        <w:jc w:val="both"/>
        <w:rPr>
          <w:rFonts w:ascii="Times New Roman" w:hAnsi="Times New Roman" w:cs="Times New Roman"/>
          <w:i w:val="0"/>
          <w:iCs w:val="0"/>
          <w:color w:val="auto"/>
          <w:sz w:val="22"/>
          <w:szCs w:val="22"/>
        </w:rPr>
      </w:pPr>
      <w:bookmarkStart w:id="415" w:name="_Toc96343318"/>
      <w:bookmarkStart w:id="416" w:name="_Toc99915993"/>
      <w:bookmarkStart w:id="417" w:name="_Toc104968810"/>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24</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  Goodness-Of-Fit of Model</w:t>
      </w:r>
      <w:bookmarkEnd w:id="415"/>
      <w:bookmarkEnd w:id="416"/>
      <w:bookmarkEnd w:id="417"/>
    </w:p>
    <w:p w14:paraId="11E028CD" w14:textId="77777777" w:rsidR="008F6E0E" w:rsidRPr="005459E6" w:rsidRDefault="008F6E0E" w:rsidP="00042CB0">
      <w:pPr>
        <w:spacing w:line="360" w:lineRule="auto"/>
        <w:jc w:val="both"/>
        <w:rPr>
          <w:rFonts w:ascii="Times New Roman" w:hAnsi="Times New Roman" w:cs="Times New Roman"/>
        </w:rPr>
      </w:pPr>
    </w:p>
    <w:p w14:paraId="5F89F080" w14:textId="77777777" w:rsidR="008F6E0E" w:rsidRPr="005459E6" w:rsidRDefault="008F6E0E" w:rsidP="00042CB0">
      <w:pPr>
        <w:pStyle w:val="Titolo3"/>
        <w:spacing w:line="360" w:lineRule="auto"/>
        <w:jc w:val="both"/>
        <w:rPr>
          <w:rFonts w:ascii="Times New Roman" w:hAnsi="Times New Roman" w:cs="Times New Roman"/>
          <w:color w:val="auto"/>
          <w:sz w:val="22"/>
          <w:szCs w:val="22"/>
        </w:rPr>
      </w:pPr>
      <w:bookmarkStart w:id="418" w:name="_Toc87349552"/>
      <w:bookmarkStart w:id="419" w:name="_Toc87349665"/>
      <w:bookmarkStart w:id="420" w:name="_Toc87349772"/>
      <w:bookmarkStart w:id="421" w:name="_Toc107248333"/>
      <w:r w:rsidRPr="005459E6">
        <w:rPr>
          <w:rFonts w:ascii="Times New Roman" w:hAnsi="Times New Roman" w:cs="Times New Roman"/>
          <w:color w:val="auto"/>
          <w:sz w:val="22"/>
          <w:szCs w:val="22"/>
        </w:rPr>
        <w:t xml:space="preserve">Performance </w:t>
      </w:r>
      <w:bookmarkEnd w:id="414"/>
      <w:bookmarkEnd w:id="418"/>
      <w:bookmarkEnd w:id="419"/>
      <w:bookmarkEnd w:id="420"/>
      <w:r w:rsidRPr="005459E6">
        <w:rPr>
          <w:rFonts w:ascii="Times New Roman" w:hAnsi="Times New Roman" w:cs="Times New Roman"/>
          <w:color w:val="auto"/>
          <w:sz w:val="22"/>
          <w:szCs w:val="22"/>
        </w:rPr>
        <w:t>Matrix</w:t>
      </w:r>
      <w:bookmarkEnd w:id="421"/>
    </w:p>
    <w:p w14:paraId="49DC48E6" w14:textId="77777777" w:rsidR="008F6E0E" w:rsidRPr="005459E6" w:rsidRDefault="008F6E0E" w:rsidP="00042CB0">
      <w:pPr>
        <w:pStyle w:val="5-SJOMText"/>
        <w:spacing w:line="360" w:lineRule="auto"/>
        <w:rPr>
          <w:rFonts w:ascii="Times New Roman" w:hAnsi="Times New Roman" w:cs="Times New Roman"/>
          <w:b/>
          <w:bCs/>
          <w:sz w:val="22"/>
        </w:rPr>
      </w:pPr>
    </w:p>
    <w:p w14:paraId="22E576B3" w14:textId="77777777" w:rsidR="008F6E0E" w:rsidRPr="005459E6" w:rsidRDefault="008F6E0E" w:rsidP="00042CB0">
      <w:pPr>
        <w:pStyle w:val="5-SJOMText"/>
        <w:spacing w:line="360" w:lineRule="auto"/>
        <w:rPr>
          <w:rFonts w:ascii="Times New Roman" w:hAnsi="Times New Roman" w:cs="Times New Roman"/>
          <w:b/>
          <w:bCs/>
          <w:sz w:val="22"/>
        </w:rPr>
      </w:pPr>
      <w:r w:rsidRPr="005459E6">
        <w:rPr>
          <w:rFonts w:ascii="Times New Roman" w:hAnsi="Times New Roman" w:cs="Times New Roman"/>
          <w:b/>
          <w:bCs/>
          <w:sz w:val="22"/>
        </w:rPr>
        <w:t>A) MEAN ABSOLUTE ERROR (MAE) - 0.03</w:t>
      </w:r>
    </w:p>
    <w:p w14:paraId="38ECF107" w14:textId="4C823309" w:rsidR="00F764C9" w:rsidRPr="005459E6" w:rsidRDefault="008F6E0E" w:rsidP="00042CB0">
      <w:pPr>
        <w:pStyle w:val="5-SJOMText"/>
        <w:spacing w:line="360" w:lineRule="auto"/>
        <w:rPr>
          <w:rFonts w:ascii="Times New Roman" w:hAnsi="Times New Roman" w:cs="Times New Roman"/>
          <w:sz w:val="22"/>
        </w:rPr>
      </w:pPr>
      <w:r w:rsidRPr="005459E6">
        <w:rPr>
          <w:rFonts w:ascii="Times New Roman" w:hAnsi="Times New Roman" w:cs="Times New Roman"/>
          <w:sz w:val="22"/>
        </w:rPr>
        <w:t xml:space="preserve">MAE is widely adopted in ML </w:t>
      </w:r>
      <w:r w:rsidRPr="005459E6">
        <w:rPr>
          <w:rFonts w:ascii="Times New Roman" w:hAnsi="Times New Roman" w:cs="Times New Roman"/>
          <w:sz w:val="22"/>
        </w:rPr>
        <w:fldChar w:fldCharType="begin" w:fldLock="1"/>
      </w:r>
      <w:r w:rsidR="00B75647">
        <w:rPr>
          <w:rFonts w:ascii="Times New Roman" w:hAnsi="Times New Roman" w:cs="Times New Roman"/>
          <w:sz w:val="22"/>
        </w:rPr>
        <w:instrText>ADDIN CSL_CITATION {"citationItems":[{"id":"ITEM-1","itemData":{"DOI":"10.1088/1757-899X/324/1/012049","ISSN":"1757899X","abstract":"Most existing Collaborative Filtering (CF) algorithms predict a rating as the preference of an active user toward a given item, which is always a decimal fraction. Meanwhile, the actual ratings in most data sets are integers. In this paper, we discuss and demonstrate why rounding can bring different influences to these two metrics; prove that rounding is necessary in post-processing of the predicted ratings, eliminate of model prediction bias, improving the accuracy of the prediction. In addition, we also propose two new rounding approaches based on the predicted rating probability distribution, which can be used to round the predicted rating to an optimal integer rating, and get better prediction accuracy compared to the Basic Rounding approach. Extensive experiments on different data sets validate the correctness of our analysis and the effectiveness of our proposed rounding approaches.","author":[{"dropping-particle":"","family":"Wang","given":"Weijie","non-dropping-particle":"","parse-names":false,"suffix":""},{"dropping-particle":"","family":"Lu","given":"Yanmin","non-dropping-particle":"","parse-names":false,"suffix":""}],"container-title":"IOP Conference Series: Materials Science and Engineering","id":"ITEM-1","issue":"1","issued":{"date-parts":[["2018"]]},"title":"Analysis of the Mean Absolute Error (MAE) and the Root Mean Square Error (RMSE) in Assessing Rounding Model","type":"article-journal","volume":"324"},"uris":["http://www.mendeley.com/documents/?uuid=d3add717-8273-40ad-9f26-3b31adb650b5"]}],"mendeley":{"formattedCitation":"(Weijie Wang &amp; Lu, 2018)","plainTextFormattedCitation":"(Weijie Wang &amp; Lu, 2018)","previouslyFormattedCitation":"(Weijie Wang &amp; Lu, 2018)"},"properties":{"noteIndex":0},"schema":"https://github.com/citation-style-language/schema/raw/master/csl-citation.json"}</w:instrText>
      </w:r>
      <w:r w:rsidRPr="005459E6">
        <w:rPr>
          <w:rFonts w:ascii="Times New Roman" w:hAnsi="Times New Roman" w:cs="Times New Roman"/>
          <w:sz w:val="22"/>
        </w:rPr>
        <w:fldChar w:fldCharType="separate"/>
      </w:r>
      <w:r w:rsidR="005D2728" w:rsidRPr="005D2728">
        <w:rPr>
          <w:rFonts w:ascii="Times New Roman" w:hAnsi="Times New Roman" w:cs="Times New Roman"/>
          <w:noProof/>
          <w:sz w:val="22"/>
        </w:rPr>
        <w:t>(Weijie Wang &amp; Lu, 2018)</w:t>
      </w:r>
      <w:r w:rsidRPr="005459E6">
        <w:rPr>
          <w:rFonts w:ascii="Times New Roman" w:hAnsi="Times New Roman" w:cs="Times New Roman"/>
          <w:sz w:val="22"/>
        </w:rPr>
        <w:fldChar w:fldCharType="end"/>
      </w:r>
      <w:r w:rsidRPr="005459E6">
        <w:rPr>
          <w:rFonts w:ascii="Times New Roman" w:hAnsi="Times New Roman" w:cs="Times New Roman"/>
          <w:sz w:val="22"/>
        </w:rPr>
        <w:t xml:space="preserve"> for evaluation purposes. It is the standard metric to measure the accuracy of continuous variables with regression models. The MAE of a model (for a test set) is the mean of the absolute values of the individual prediction errors on overall instances in the test set. </w:t>
      </w:r>
    </w:p>
    <w:p w14:paraId="458E47FC" w14:textId="5E04EE3E" w:rsidR="00D16052" w:rsidRPr="005459E6" w:rsidRDefault="008F6E0E" w:rsidP="00042CB0">
      <w:pPr>
        <w:pStyle w:val="5-SJOMText"/>
        <w:spacing w:line="360" w:lineRule="auto"/>
        <w:rPr>
          <w:rFonts w:ascii="Times New Roman" w:hAnsi="Times New Roman" w:cs="Times New Roman"/>
          <w:sz w:val="22"/>
        </w:rPr>
      </w:pPr>
      <w:r w:rsidRPr="005459E6">
        <w:rPr>
          <w:rFonts w:ascii="Times New Roman" w:hAnsi="Times New Roman" w:cs="Times New Roman"/>
          <w:sz w:val="22"/>
        </w:rPr>
        <w:t xml:space="preserve">According to </w:t>
      </w:r>
      <w:r w:rsidRPr="005459E6">
        <w:rPr>
          <w:rFonts w:ascii="Times New Roman" w:hAnsi="Times New Roman" w:cs="Times New Roman"/>
          <w:sz w:val="22"/>
        </w:rPr>
        <w:fldChar w:fldCharType="begin" w:fldLock="1"/>
      </w:r>
      <w:r w:rsidRPr="005459E6">
        <w:rPr>
          <w:rFonts w:ascii="Times New Roman" w:hAnsi="Times New Roman" w:cs="Times New Roman"/>
          <w:sz w:val="22"/>
        </w:rPr>
        <w:instrText>ADDIN CSL_CITATION {"citationItems":[{"id":"ITEM-1","itemData":{"DOI":"10.1007/978-0-387-30164-8_525","ISBN":"978-0-387-30164-8","editor":[{"dropping-particle":"","family":"Sammut","given":"Claude","non-dropping-particle":"","parse-names":false,"suffix":""},{"dropping-particle":"","family":"Webb","given":"Geoffrey I","non-dropping-particle":"","parse-names":false,"suffix":""}],"id":"ITEM-1","issued":{"date-parts":[["2010"]]},"page":"652","publisher":"Springer US","publisher-place":"Boston, MA","title":"Mean Absolute Error BT  - Encyclopedia of Machine Learning","type":"chapter"},"uris":["http://www.mendeley.com/documents/?uuid=10e9da8b-a5ed-40ba-bccc-2e9187df6572"]}],"mendeley":{"formattedCitation":"(Sammut &amp; Webb, 2010)","manualFormatting":"Sammut &amp; Webb (2010)","plainTextFormattedCitation":"(Sammut &amp; Webb, 2010)","previouslyFormattedCitation":"(Sammut &amp; Webb, 2010)"},"properties":{"noteIndex":0},"schema":"https://github.com/citation-style-language/schema/raw/master/csl-citation.json"}</w:instrText>
      </w:r>
      <w:r w:rsidRPr="005459E6">
        <w:rPr>
          <w:rFonts w:ascii="Times New Roman" w:hAnsi="Times New Roman" w:cs="Times New Roman"/>
          <w:sz w:val="22"/>
        </w:rPr>
        <w:fldChar w:fldCharType="separate"/>
      </w:r>
      <w:r w:rsidRPr="005459E6">
        <w:rPr>
          <w:rFonts w:ascii="Times New Roman" w:hAnsi="Times New Roman" w:cs="Times New Roman"/>
          <w:noProof/>
          <w:sz w:val="22"/>
        </w:rPr>
        <w:t>Sammut &amp; Webb (2010)</w:t>
      </w:r>
      <w:r w:rsidRPr="005459E6">
        <w:rPr>
          <w:rFonts w:ascii="Times New Roman" w:hAnsi="Times New Roman" w:cs="Times New Roman"/>
          <w:sz w:val="22"/>
        </w:rPr>
        <w:fldChar w:fldCharType="end"/>
      </w:r>
      <w:r w:rsidRPr="005459E6">
        <w:rPr>
          <w:rFonts w:ascii="Times New Roman" w:hAnsi="Times New Roman" w:cs="Times New Roman"/>
          <w:sz w:val="22"/>
        </w:rPr>
        <w:t>, the average of the absolute values of the differences between the true target and the target is predicted by the model. As MAE shows a lower value of 0.03, it grants greater accuracy to the given model.</w:t>
      </w:r>
    </w:p>
    <w:p w14:paraId="7F1CD86E" w14:textId="77777777" w:rsidR="000128BC" w:rsidRPr="005459E6" w:rsidRDefault="000128BC" w:rsidP="00042CB0">
      <w:pPr>
        <w:pStyle w:val="5-SJOMText"/>
        <w:spacing w:line="360" w:lineRule="auto"/>
        <w:rPr>
          <w:rFonts w:ascii="Times New Roman" w:hAnsi="Times New Roman" w:cs="Times New Roman"/>
          <w:sz w:val="22"/>
        </w:rPr>
      </w:pPr>
    </w:p>
    <w:p w14:paraId="30148A1D" w14:textId="77777777" w:rsidR="008F6E0E" w:rsidRPr="005459E6" w:rsidRDefault="008F6E0E" w:rsidP="00042CB0">
      <w:pPr>
        <w:pStyle w:val="5-SJOMText"/>
        <w:spacing w:line="360" w:lineRule="auto"/>
        <w:rPr>
          <w:rFonts w:ascii="Times New Roman" w:hAnsi="Times New Roman" w:cs="Times New Roman"/>
          <w:b/>
          <w:bCs/>
          <w:sz w:val="22"/>
        </w:rPr>
      </w:pPr>
      <w:r w:rsidRPr="005459E6">
        <w:rPr>
          <w:rFonts w:ascii="Times New Roman" w:hAnsi="Times New Roman" w:cs="Times New Roman"/>
          <w:b/>
          <w:bCs/>
          <w:sz w:val="22"/>
        </w:rPr>
        <w:t>B) R</w:t>
      </w:r>
      <w:r w:rsidRPr="005459E6">
        <w:rPr>
          <w:rFonts w:ascii="Times New Roman" w:hAnsi="Times New Roman" w:cs="Times New Roman"/>
          <w:b/>
          <w:bCs/>
          <w:sz w:val="22"/>
          <w:vertAlign w:val="superscript"/>
        </w:rPr>
        <w:t>2</w:t>
      </w:r>
      <w:r w:rsidRPr="005459E6">
        <w:rPr>
          <w:rFonts w:ascii="Times New Roman" w:hAnsi="Times New Roman" w:cs="Times New Roman"/>
          <w:b/>
          <w:bCs/>
          <w:sz w:val="22"/>
        </w:rPr>
        <w:t xml:space="preserve"> VALUE - 0.88</w:t>
      </w:r>
    </w:p>
    <w:p w14:paraId="78527B04" w14:textId="77777777" w:rsidR="00F764C9"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Regression analysis constitutes a large part of supervised ML, and R</w:t>
      </w:r>
      <w:r w:rsidRPr="005459E6">
        <w:rPr>
          <w:rFonts w:ascii="Times New Roman" w:hAnsi="Times New Roman" w:cs="Times New Roman"/>
          <w:vertAlign w:val="superscript"/>
        </w:rPr>
        <w:t>2</w:t>
      </w:r>
      <w:r w:rsidRPr="005459E6">
        <w:rPr>
          <w:rFonts w:ascii="Times New Roman" w:hAnsi="Times New Roman" w:cs="Times New Roman"/>
        </w:rPr>
        <w:t xml:space="preserve"> is known as the coefficient of determination for multiple regression that determines the performance of the model.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{"citationItems":[{"id":"ITEM-1","itemData":{"DOI":"10.7717/PEERJ-CS.623","ISSN":"23765992","abstract":"Regression analysis makes up a large part of supervised machine learning, and consists of the prediction of a continuous independent target from a set of other predictor variables. The difference between binary classification and regression is in the target range: in binary classification, the target can have only two values (usually encoded as 0 and 1), while in regression the target can have multiple values. Even if regression analysis has been employed in a huge number of machine learning studies, no consensus has been reached on a single, unified, standard metric to assess the results of the regression itself. Many studies employ the mean square error (MSE) and its rooted variant (RMSE), or the mean absolute error (MAE) and its percentage variant (MAPE). Although useful, these rates share a common drawback: since their values can range between zero and +infinity, a single value of them does not say much about the performance of the regression with respect to the distribution of the ground truth elements. In this study, we focus on two rates that actually generate a high score only if the majority of the elements of a ground truth group has been correctly predicted: the coefficient of determination (also known as R-squared or R2) and the symmetric mean absolute percentage error (SMAPE). After showing their mathematical properties, we report a comparison between R2 and SMAPE in several use cases and in two real medical scenarios. Our results demonstrate that the coefficient of determination (R-squared) is more informative and truthful than SMAPE, and does not have the interpretability limitations of MSE, RMSE, MAE and MAPE. We therefore suggest the usage of R-squared as standard metric to evaluate regression analyses in any scientific domain.","author":[{"dropping-particle":"","family":"Chicco","given":"Davide","non-dropping-particle":"","parse-names":false,"suffix":""},{"dropping-particle":"","family":"Warrens","given":"Matthijs J.","non-dropping-particle":"","parse-names":false,"suffix":""},{"dropping-particle":"","family":"Jurman","given":"Giuseppe","non-dropping-particle":"","parse-names":false,"suffix":""}],"container-title":"PeerJ Computer Science","id":"ITEM-1","issued":{"date-parts":[["2021"]]},"page":"1-24","title":"The coefficient of determination R-squared is more informative than SMAPE, MAE, MAPE, MSE and RMSE in regression analysis evaluation","type":"article-journal","volume":"7"},"uris":["http://www.mendeley.com/documents/?uuid=44d32bf2-f3c3-47a0-9f11-9d368d61146b"]}],"mendeley":{"formattedCitation":"(Chicco et al., 2021)","manualFormatting":"Chicco et al. (2021)","plainTextFormattedCitation":"(Chicco et al., 2021)","previouslyFormattedCitation":"(Chicco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Chicco et al. (2021)</w:t>
      </w:r>
      <w:r w:rsidRPr="005459E6">
        <w:rPr>
          <w:rFonts w:ascii="Times New Roman" w:hAnsi="Times New Roman" w:cs="Times New Roman"/>
        </w:rPr>
        <w:fldChar w:fldCharType="end"/>
      </w:r>
      <w:r w:rsidRPr="005459E6">
        <w:rPr>
          <w:rFonts w:ascii="Times New Roman" w:hAnsi="Times New Roman" w:cs="Times New Roman"/>
        </w:rPr>
        <w:t xml:space="preserve"> considered this metric more informative than other measures of model evaluation. </w:t>
      </w:r>
    </w:p>
    <w:p w14:paraId="1F033B47" w14:textId="6676D83D" w:rsidR="008F6E0E" w:rsidRPr="005459E6" w:rsidRDefault="008F6E0E" w:rsidP="00042CB0">
      <w:pPr>
        <w:spacing w:line="360" w:lineRule="auto"/>
        <w:jc w:val="both"/>
        <w:rPr>
          <w:rFonts w:ascii="Times New Roman" w:hAnsi="Times New Roman" w:cs="Times New Roman"/>
        </w:rPr>
      </w:pPr>
      <w:r w:rsidRPr="005459E6">
        <w:rPr>
          <w:rFonts w:ascii="Times New Roman" w:hAnsi="Times New Roman" w:cs="Times New Roman"/>
        </w:rPr>
        <w:t xml:space="preserve">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{"citationItems":[{"id":"ITEM-1","itemData":{"DOI":"10.1302/2046-3758.49.2000571","ISSN":"20463758","author":[{"dropping-particle":"","family":"Hamilton","given":"D. F.","non-dropping-particle":"","parse-names":false,"suffix":""},{"dropping-particle":"","family":"Ghert","given":"M.","non-dropping-particle":"","parse-names":false,"suffix":""},{"dropping-particle":"","family":"Simpson","given":"A. H.R.W.","non-dropping-particle":"","parse-names":false,"suffix":""}],"container-title":"Bone and Joint Research","id":"ITEM-1","issue":"9","issued":{"date-parts":[["2015"]]},"page":"152-153","title":"Interpreting regression models in clinical outcome studies","type":"article-journal","volume":"4"},"uris":["http://www.mendeley.com/documents/?uuid=da106edd-8e18-48cf-958b-8ce16494ec5f"]}],"mendeley":{"formattedCitation":"(Hamilton et al., 2015)","manualFormatting":"Hamilton et al. (2015)","plainTextFormattedCitation":"(Hamilton et al., 2015)","previouslyFormattedCitation":"(Hamilton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Hamilton et al. (2015)</w:t>
      </w:r>
      <w:r w:rsidRPr="005459E6">
        <w:rPr>
          <w:rFonts w:ascii="Times New Roman" w:hAnsi="Times New Roman" w:cs="Times New Roman"/>
        </w:rPr>
        <w:fldChar w:fldCharType="end"/>
      </w:r>
      <w:r w:rsidRPr="005459E6">
        <w:rPr>
          <w:rFonts w:ascii="Times New Roman" w:hAnsi="Times New Roman" w:cs="Times New Roman"/>
        </w:rPr>
        <w:t>, R</w:t>
      </w:r>
      <w:r w:rsidRPr="005459E6">
        <w:rPr>
          <w:rFonts w:ascii="Times New Roman" w:hAnsi="Times New Roman" w:cs="Times New Roman"/>
          <w:vertAlign w:val="superscript"/>
        </w:rPr>
        <w:t>2</w:t>
      </w:r>
      <w:r w:rsidRPr="005459E6">
        <w:rPr>
          <w:rFonts w:ascii="Times New Roman" w:hAnsi="Times New Roman" w:cs="Times New Roman"/>
        </w:rPr>
        <w:t xml:space="preserve"> bestowed a variable response explained by a linear model. The higher the R</w:t>
      </w:r>
      <w:r w:rsidRPr="005459E6">
        <w:rPr>
          <w:rFonts w:ascii="Times New Roman" w:hAnsi="Times New Roman" w:cs="Times New Roman"/>
          <w:vertAlign w:val="superscript"/>
        </w:rPr>
        <w:t>2</w:t>
      </w:r>
      <w:r w:rsidRPr="005459E6">
        <w:rPr>
          <w:rFonts w:ascii="Times New Roman" w:hAnsi="Times New Roman" w:cs="Times New Roman"/>
        </w:rPr>
        <w:t>, the better the model fits the data. Herein, R</w:t>
      </w:r>
      <w:r w:rsidRPr="005459E6">
        <w:rPr>
          <w:rFonts w:ascii="Times New Roman" w:hAnsi="Times New Roman" w:cs="Times New Roman"/>
          <w:vertAlign w:val="superscript"/>
        </w:rPr>
        <w:t>2</w:t>
      </w:r>
      <w:r w:rsidRPr="005459E6">
        <w:rPr>
          <w:rFonts w:ascii="Times New Roman" w:hAnsi="Times New Roman" w:cs="Times New Roman"/>
        </w:rPr>
        <w:t xml:space="preserve"> = 88 indicates that the model ascribes the variability of the response data.</w:t>
      </w:r>
    </w:p>
    <w:p w14:paraId="23CD1286" w14:textId="77777777" w:rsidR="00C81779" w:rsidRPr="005459E6" w:rsidRDefault="00C81779" w:rsidP="00042CB0">
      <w:pPr>
        <w:pStyle w:val="Titolo1"/>
        <w:spacing w:line="360" w:lineRule="auto"/>
        <w:jc w:val="both"/>
        <w:rPr>
          <w:rFonts w:ascii="Times New Roman" w:hAnsi="Times New Roman" w:cs="Times New Roman"/>
          <w:b/>
          <w:bCs/>
          <w:color w:val="auto"/>
          <w:sz w:val="22"/>
          <w:szCs w:val="22"/>
        </w:rPr>
      </w:pPr>
      <w:bookmarkStart w:id="422" w:name="_Toc87349553"/>
      <w:bookmarkStart w:id="423" w:name="_Toc87349666"/>
      <w:bookmarkStart w:id="424" w:name="_Toc87349773"/>
      <w:bookmarkStart w:id="425" w:name="_Toc88376765"/>
      <w:bookmarkEnd w:id="393"/>
    </w:p>
    <w:p w14:paraId="44491695" w14:textId="77777777" w:rsidR="00C81779" w:rsidRPr="005459E6" w:rsidRDefault="00C81779" w:rsidP="00042CB0">
      <w:pPr>
        <w:spacing w:line="360" w:lineRule="auto"/>
        <w:jc w:val="both"/>
        <w:rPr>
          <w:rFonts w:ascii="Times New Roman" w:hAnsi="Times New Roman" w:cs="Times New Roman"/>
        </w:rPr>
      </w:pPr>
    </w:p>
    <w:p w14:paraId="2C2ADC0F" w14:textId="77777777" w:rsidR="00C81779" w:rsidRPr="005459E6" w:rsidRDefault="00C81779" w:rsidP="00042CB0">
      <w:pPr>
        <w:spacing w:line="360" w:lineRule="auto"/>
        <w:jc w:val="both"/>
        <w:rPr>
          <w:rFonts w:ascii="Times New Roman" w:hAnsi="Times New Roman" w:cs="Times New Roman"/>
        </w:rPr>
      </w:pPr>
    </w:p>
    <w:p w14:paraId="23B8B56B" w14:textId="77777777" w:rsidR="00C81779" w:rsidRPr="005459E6" w:rsidRDefault="00C81779" w:rsidP="00042CB0">
      <w:pPr>
        <w:spacing w:line="360" w:lineRule="auto"/>
        <w:jc w:val="both"/>
        <w:rPr>
          <w:rFonts w:ascii="Times New Roman" w:hAnsi="Times New Roman" w:cs="Times New Roman"/>
        </w:rPr>
      </w:pPr>
    </w:p>
    <w:p w14:paraId="3044438A" w14:textId="77777777" w:rsidR="00C81779" w:rsidRPr="005459E6" w:rsidRDefault="00C81779" w:rsidP="00042CB0">
      <w:pPr>
        <w:spacing w:line="360" w:lineRule="auto"/>
        <w:jc w:val="both"/>
        <w:rPr>
          <w:rFonts w:ascii="Times New Roman" w:hAnsi="Times New Roman" w:cs="Times New Roman"/>
        </w:rPr>
      </w:pPr>
    </w:p>
    <w:p w14:paraId="355D9997" w14:textId="77777777" w:rsidR="00C81779" w:rsidRPr="005459E6" w:rsidRDefault="00C81779" w:rsidP="00042CB0">
      <w:pPr>
        <w:spacing w:line="360" w:lineRule="auto"/>
        <w:jc w:val="both"/>
        <w:rPr>
          <w:rFonts w:ascii="Times New Roman" w:hAnsi="Times New Roman" w:cs="Times New Roman"/>
        </w:rPr>
      </w:pPr>
    </w:p>
    <w:p w14:paraId="61769E65" w14:textId="77777777" w:rsidR="00C81779" w:rsidRPr="005459E6" w:rsidRDefault="00C81779" w:rsidP="00042CB0">
      <w:pPr>
        <w:spacing w:line="360" w:lineRule="auto"/>
        <w:jc w:val="both"/>
        <w:rPr>
          <w:rFonts w:ascii="Times New Roman" w:hAnsi="Times New Roman" w:cs="Times New Roman"/>
        </w:rPr>
      </w:pPr>
    </w:p>
    <w:p w14:paraId="1B4CF59A" w14:textId="77777777" w:rsidR="00C81779" w:rsidRPr="005459E6" w:rsidRDefault="00C81779" w:rsidP="00042CB0">
      <w:pPr>
        <w:spacing w:line="360" w:lineRule="auto"/>
        <w:jc w:val="both"/>
        <w:rPr>
          <w:rFonts w:ascii="Times New Roman" w:hAnsi="Times New Roman" w:cs="Times New Roman"/>
        </w:rPr>
      </w:pPr>
    </w:p>
    <w:p w14:paraId="5166CF3E" w14:textId="77777777" w:rsidR="00C81779" w:rsidRPr="005459E6" w:rsidRDefault="00C81779" w:rsidP="00042CB0">
      <w:pPr>
        <w:spacing w:line="360" w:lineRule="auto"/>
        <w:jc w:val="both"/>
        <w:rPr>
          <w:rFonts w:ascii="Times New Roman" w:hAnsi="Times New Roman" w:cs="Times New Roman"/>
        </w:rPr>
      </w:pPr>
    </w:p>
    <w:p w14:paraId="7E7F0BA4" w14:textId="77777777" w:rsidR="00C81779" w:rsidRPr="005459E6" w:rsidRDefault="00C81779" w:rsidP="00042CB0">
      <w:pPr>
        <w:spacing w:line="360" w:lineRule="auto"/>
        <w:jc w:val="both"/>
        <w:rPr>
          <w:rFonts w:ascii="Times New Roman" w:hAnsi="Times New Roman" w:cs="Times New Roman"/>
        </w:rPr>
      </w:pPr>
    </w:p>
    <w:p w14:paraId="1F77C89A" w14:textId="77777777" w:rsidR="00E56D87" w:rsidRPr="005459E6" w:rsidRDefault="00E56D87" w:rsidP="00042CB0">
      <w:pPr>
        <w:pStyle w:val="Titolo1"/>
        <w:spacing w:line="360" w:lineRule="auto"/>
        <w:jc w:val="both"/>
        <w:rPr>
          <w:rFonts w:ascii="Times New Roman" w:hAnsi="Times New Roman" w:cs="Times New Roman"/>
          <w:b/>
          <w:bCs/>
          <w:color w:val="auto"/>
          <w:sz w:val="22"/>
          <w:szCs w:val="22"/>
        </w:rPr>
      </w:pPr>
      <w:bookmarkStart w:id="426" w:name="_Toc99910313"/>
      <w:bookmarkStart w:id="427" w:name="_Toc99912135"/>
      <w:bookmarkStart w:id="428" w:name="_Toc107248334"/>
      <w:r w:rsidRPr="005459E6">
        <w:rPr>
          <w:rFonts w:ascii="Times New Roman" w:hAnsi="Times New Roman" w:cs="Times New Roman"/>
          <w:b/>
          <w:bCs/>
          <w:color w:val="auto"/>
          <w:sz w:val="22"/>
          <w:szCs w:val="22"/>
        </w:rPr>
        <w:t>OBSERVATIONS</w:t>
      </w:r>
      <w:bookmarkEnd w:id="426"/>
      <w:bookmarkEnd w:id="427"/>
      <w:bookmarkEnd w:id="428"/>
    </w:p>
    <w:p w14:paraId="51577BDC"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During a pilot study, all the health professionals equivocally observed their patients affected by anxiety, stress, or depression during their practice. Most of their patients also experienced issues related to falling asleep, unbalanced appetite, and obesity. </w:t>
      </w:r>
    </w:p>
    <w:p w14:paraId="24377E71" w14:textId="77777777" w:rsidR="00E56D87" w:rsidRPr="005459E6" w:rsidRDefault="00E56D87" w:rsidP="00042CB0">
      <w:pPr>
        <w:spacing w:line="360" w:lineRule="auto"/>
        <w:jc w:val="both"/>
        <w:rPr>
          <w:rFonts w:ascii="Times New Roman" w:hAnsi="Times New Roman" w:cs="Times New Roman"/>
          <w:b/>
          <w:bCs/>
        </w:rPr>
      </w:pPr>
      <w:r w:rsidRPr="005459E6">
        <w:rPr>
          <w:rFonts w:ascii="Times New Roman" w:hAnsi="Times New Roman" w:cs="Times New Roman"/>
          <w:noProof/>
          <w:lang w:val="en-IN" w:eastAsia="en-IN"/>
        </w:rPr>
        <w:drawing>
          <wp:anchor distT="0" distB="0" distL="114300" distR="114300" simplePos="0" relativeHeight="251653632" behindDoc="1" locked="0" layoutInCell="1" allowOverlap="1" wp14:anchorId="3C66F2B3" wp14:editId="54798183">
            <wp:simplePos x="0" y="0"/>
            <wp:positionH relativeFrom="margin">
              <wp:align>left</wp:align>
            </wp:positionH>
            <wp:positionV relativeFrom="paragraph">
              <wp:posOffset>3175</wp:posOffset>
            </wp:positionV>
            <wp:extent cx="3165475" cy="1790065"/>
            <wp:effectExtent l="0" t="0" r="15875" b="635"/>
            <wp:wrapTight wrapText="bothSides">
              <wp:wrapPolygon edited="0">
                <wp:start x="0" y="0"/>
                <wp:lineTo x="0" y="21378"/>
                <wp:lineTo x="21578" y="21378"/>
                <wp:lineTo x="21578"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5459E6">
        <w:rPr>
          <w:rFonts w:ascii="Times New Roman" w:hAnsi="Times New Roman" w:cs="Times New Roman"/>
          <w:b/>
          <w:bCs/>
        </w:rPr>
        <w:t xml:space="preserve">Figure 25 </w:t>
      </w:r>
      <w:r w:rsidRPr="005459E6">
        <w:rPr>
          <w:rFonts w:ascii="Times New Roman" w:hAnsi="Times New Roman" w:cs="Times New Roman"/>
        </w:rPr>
        <w:t xml:space="preserve">represents how a negative state of mind may deteriorate health or existing illnesses.  </w:t>
      </w:r>
    </w:p>
    <w:p w14:paraId="7FFA6E84" w14:textId="77777777" w:rsidR="00E56D87" w:rsidRPr="005459E6" w:rsidRDefault="00E56D87" w:rsidP="00042CB0">
      <w:pPr>
        <w:spacing w:line="360" w:lineRule="auto"/>
        <w:jc w:val="both"/>
        <w:rPr>
          <w:rFonts w:ascii="Times New Roman" w:hAnsi="Times New Roman" w:cs="Times New Roman"/>
        </w:rPr>
      </w:pPr>
    </w:p>
    <w:p w14:paraId="456ECA5E" w14:textId="77777777" w:rsidR="00E56D87" w:rsidRPr="005459E6" w:rsidRDefault="00E56D87" w:rsidP="00042CB0">
      <w:pPr>
        <w:spacing w:line="360" w:lineRule="auto"/>
        <w:jc w:val="both"/>
        <w:rPr>
          <w:rFonts w:ascii="Times New Roman" w:hAnsi="Times New Roman" w:cs="Times New Roman"/>
        </w:rPr>
      </w:pPr>
    </w:p>
    <w:p w14:paraId="46566146" w14:textId="77777777" w:rsidR="00E56D87" w:rsidRPr="005459E6" w:rsidRDefault="00E56D87" w:rsidP="00042CB0">
      <w:pPr>
        <w:pStyle w:val="Sommario1"/>
        <w:rPr>
          <w:rFonts w:ascii="Times New Roman" w:hAnsi="Times New Roman" w:cs="Times New Roman"/>
        </w:rPr>
      </w:pPr>
    </w:p>
    <w:p w14:paraId="7ADE8E32" w14:textId="77777777" w:rsidR="00E56D87" w:rsidRPr="005459E6" w:rsidRDefault="00E56D87" w:rsidP="00042CB0">
      <w:pPr>
        <w:pStyle w:val="Sommario1"/>
        <w:rPr>
          <w:rFonts w:ascii="Times New Roman" w:hAnsi="Times New Roman" w:cs="Times New Roman"/>
          <w:sz w:val="28"/>
          <w:szCs w:val="28"/>
        </w:rPr>
      </w:pPr>
      <w:bookmarkStart w:id="429" w:name="_Toc66040386"/>
      <w:bookmarkStart w:id="430" w:name="_Toc66470425"/>
    </w:p>
    <w:p w14:paraId="47021737" w14:textId="17993F86" w:rsidR="00E56D87" w:rsidRPr="005459E6" w:rsidRDefault="00E56D87" w:rsidP="00042CB0">
      <w:pPr>
        <w:pStyle w:val="Didascalia"/>
        <w:spacing w:line="360" w:lineRule="auto"/>
        <w:jc w:val="both"/>
        <w:rPr>
          <w:rFonts w:ascii="Times New Roman" w:hAnsi="Times New Roman" w:cs="Times New Roman"/>
          <w:i w:val="0"/>
          <w:iCs w:val="0"/>
          <w:color w:val="auto"/>
          <w:sz w:val="22"/>
          <w:szCs w:val="22"/>
        </w:rPr>
      </w:pPr>
      <w:bookmarkStart w:id="431" w:name="_Toc96343319"/>
      <w:bookmarkStart w:id="432" w:name="_Toc99915994"/>
      <w:bookmarkStart w:id="433" w:name="_Toc104968811"/>
      <w:bookmarkEnd w:id="429"/>
      <w:bookmarkEnd w:id="430"/>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25</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Analytical representation of Psychosomatic </w:t>
      </w:r>
      <w:bookmarkEnd w:id="431"/>
      <w:bookmarkEnd w:id="432"/>
      <w:r w:rsidRPr="005459E6">
        <w:rPr>
          <w:rFonts w:ascii="Times New Roman" w:hAnsi="Times New Roman" w:cs="Times New Roman"/>
          <w:i w:val="0"/>
          <w:iCs w:val="0"/>
          <w:color w:val="auto"/>
          <w:sz w:val="22"/>
          <w:szCs w:val="22"/>
        </w:rPr>
        <w:t>health.</w:t>
      </w:r>
      <w:bookmarkEnd w:id="433"/>
    </w:p>
    <w:p w14:paraId="364166FB"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However, the views were distributed when they were queried on the utility of technology to resolve psychological issues, as shown in </w:t>
      </w:r>
      <w:r w:rsidRPr="005459E6">
        <w:rPr>
          <w:rFonts w:ascii="Times New Roman" w:hAnsi="Times New Roman" w:cs="Times New Roman"/>
          <w:b/>
          <w:bCs/>
        </w:rPr>
        <w:t>Figure 26.</w:t>
      </w:r>
    </w:p>
    <w:p w14:paraId="06188866"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inline distT="0" distB="0" distL="0" distR="0" wp14:anchorId="546A592D" wp14:editId="0EEC0458">
            <wp:extent cx="5739765" cy="2721769"/>
            <wp:effectExtent l="0" t="0" r="13335" b="25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6356307" w14:textId="315EB416" w:rsidR="00E56D87" w:rsidRPr="005459E6" w:rsidRDefault="00E56D87" w:rsidP="00042CB0">
      <w:pPr>
        <w:pStyle w:val="Didascalia"/>
        <w:spacing w:line="360" w:lineRule="auto"/>
        <w:jc w:val="both"/>
        <w:rPr>
          <w:rFonts w:ascii="Times New Roman" w:hAnsi="Times New Roman" w:cs="Times New Roman"/>
          <w:i w:val="0"/>
          <w:iCs w:val="0"/>
          <w:color w:val="auto"/>
          <w:sz w:val="22"/>
          <w:szCs w:val="22"/>
        </w:rPr>
      </w:pPr>
      <w:bookmarkStart w:id="434" w:name="_Toc96343320"/>
      <w:bookmarkStart w:id="435" w:name="_Toc99915995"/>
      <w:bookmarkStart w:id="436" w:name="_Toc104968812"/>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26</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Analytical representation of the role of technology in </w:t>
      </w:r>
      <w:bookmarkEnd w:id="434"/>
      <w:bookmarkEnd w:id="435"/>
      <w:r w:rsidRPr="005459E6">
        <w:rPr>
          <w:rFonts w:ascii="Times New Roman" w:hAnsi="Times New Roman" w:cs="Times New Roman"/>
          <w:i w:val="0"/>
          <w:iCs w:val="0"/>
          <w:color w:val="auto"/>
          <w:sz w:val="22"/>
          <w:szCs w:val="22"/>
        </w:rPr>
        <w:t>healthcare.</w:t>
      </w:r>
      <w:bookmarkEnd w:id="436"/>
    </w:p>
    <w:p w14:paraId="792509A9"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In their expert opinion, 65.2% believed that technology could support the resolution of psychological issues by managing stress, while 69.6% of them agreed that “mental relaxation” or “physical exercises” can improve psychological health. A total of 91.3% of them confirmed that well-being techniques(s) could deliver therapeutic results.</w:t>
      </w:r>
    </w:p>
    <w:p w14:paraId="55E9EE04" w14:textId="4C775EEE"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During data collection, different emotional responses were elicited from the subjects. Collected data included EEG frequencies extracted from five cortices of the brain: ALPHA, BETA (H), BETA (L), GAMMA, and THETA frequencies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{"citationItems":[{"id":"ITEM-1","itemData":{"DOI":"10.1080/09537287.2010.536619","ISBN":"5554831605","ISSN":"09537287","abstract":"Strategic networks such as collaborative networked organisations (CNOs) and virtual customer communities (VCCs) show a high potential as drivers of value co-creation and co-innovation. Both look at the network structures as a source of jointly value creation and open innovation through access to new skills, knowledge, markets and technologies by sharing risk and integrating complementary competencies. This collaborative endeavour is able to enhance the adaptability and flexibility of CNOs and VCCs value creating systems in order to react in response to external drivers such as collaborative (business) opportunities. Strategic business networks are active entities continuously adapting to their environment in order to enhance their capabilities to respond to short-term business opportunities, and therefore allow their business ecosystems to follow the rhythm of industry dynamics, and customers' changing needs and preferences. Value co-creation is the new trend in open-business models trying to integrate organisations' competencies and involve customers' individual preferences into network and community formations for the co-creation of the next level of value for products, services and experiences to be launched into the market. This article presents a literature review on value co-creation and co-innovation concepts and styles, and proposes a reference framework for creating interface networks, also known as 'experience-centric networks', as enablers for linking networked organisations and customer communities in order to support the establishment of sustainable user-driven and collaborative innovation networks. © 2011 Taylor &amp; Francis.","author":[{"dropping-particle":"","family":"Romero","given":"David","non-dropping-particle":"","parse-names":false,"suffix":""},{"dropping-particle":"","family":"Molina","given":"Arturo","non-dropping-particle":"","parse-names":false,"suffix":""}],"container-title":"Production Planning and Control","id":"ITEM-1","issue":"5-6","issued":{"date-parts":[["2011"]]},"page":"447-472","title":"Collaborative networked organisations and customer communities: Value co-creation and co-innovation in the networking era","type":"article-journal","volume":"22"},"uris":["http://www.mendeley.com/documents/?uuid=72743ec1-b867-4e22-9412-20133cafe90d"]}],"mendeley":{"formattedCitation":"(Romero &amp; Molina, 2011)","plainTextFormattedCitation":"(Romero &amp; Molina, 2011)","previouslyFormattedCitation":"(Romero &amp; Molina, 2011)"},"properties":{"noteIndex":0},"schema":"https://github.com/citation-style-language/schema/raw/master/csl-citation.json"}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(Romero &amp; Molina, 2011)</w:t>
      </w:r>
      <w:r w:rsidRPr="005459E6">
        <w:rPr>
          <w:rFonts w:ascii="Times New Roman" w:hAnsi="Times New Roman" w:cs="Times New Roman"/>
        </w:rPr>
        <w:fldChar w:fldCharType="end"/>
      </w:r>
      <w:r w:rsidRPr="005459E6">
        <w:rPr>
          <w:rFonts w:ascii="Times New Roman" w:hAnsi="Times New Roman" w:cs="Times New Roman"/>
        </w:rPr>
        <w:t xml:space="preserve">. By identifying the significance of each frequency, scaled values were calculated </w:t>
      </w:r>
      <w:r w:rsidRPr="005459E6">
        <w:rPr>
          <w:rFonts w:ascii="Times New Roman" w:eastAsia="Times New Roman" w:hAnsi="Times New Roman" w:cs="Times New Roman"/>
        </w:rPr>
        <w:t xml:space="preserve">for attributes such as </w:t>
      </w:r>
      <w:r w:rsidRPr="005459E6">
        <w:rPr>
          <w:rFonts w:ascii="Times New Roman" w:hAnsi="Times New Roman" w:cs="Times New Roman"/>
        </w:rPr>
        <w:t xml:space="preserve">Engagement, Focus, Excitement, Interest, Relaxation, </w:t>
      </w:r>
      <w:r w:rsidRPr="005459E6">
        <w:rPr>
          <w:rFonts w:ascii="Times New Roman" w:eastAsia="Times New Roman" w:hAnsi="Times New Roman" w:cs="Times New Roman"/>
        </w:rPr>
        <w:t xml:space="preserve">and </w:t>
      </w:r>
      <w:r w:rsidRPr="005459E6">
        <w:rPr>
          <w:rFonts w:ascii="Times New Roman" w:hAnsi="Times New Roman" w:cs="Times New Roman"/>
        </w:rPr>
        <w:t>Stress.</w:t>
      </w:r>
      <w:r w:rsidR="00A20F6F" w:rsidRPr="005459E6">
        <w:rPr>
          <w:rFonts w:ascii="Times New Roman" w:hAnsi="Times New Roman" w:cs="Times New Roman"/>
        </w:rPr>
        <w:t xml:space="preserve"> </w:t>
      </w:r>
      <w:r w:rsidRPr="005459E6">
        <w:rPr>
          <w:rFonts w:ascii="Times New Roman" w:hAnsi="Times New Roman" w:cs="Times New Roman"/>
        </w:rPr>
        <w:t xml:space="preserve">As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{"citationItems":[{"id":"ITEM-1","itemData":{"DOI":"10.3390/app10092992","ISSN":"20763417","abstract":"(1) Background: This work investigates whether and how researcher-physicians can be supported in their knowledge discovery process by employing Automated Machine Learning (AutoML). (2) Methods: We take a design science research approach and select the Tree-based Pipeline Optimization Tool (TPOT) as the AutoML method based on a benchmark test and requirements from researcher-physicians. We then integrate TPOT into two artefacts: a web application and a notebook. We evaluate these artefacts with researcher-physicians to examine which approach suits researcher-physicians best. Both artefacts have a similar workflow, but different user interfaces because of a conflict in requirements. (3) Results: Artefact A, a web application, was perceived as better for uploading a dataset and comparing results. Artefact B, a Jupyter notebook, was perceived as better regarding the workflow and being in control of model construction. (4) Conclusions: Thus, a hybrid artefact would be best for researcher-physicians. However, both artefacts missed model explainability and an explanation of variable importance for their created models. Hence, deployment of AutoML technologies in healthcare remains currently limited to the exploratory data analysis phase.","author":[{"dropping-particle":"","family":"Ooms","given":"Richard","non-dropping-particle":"","parse-names":false,"suffix":""},{"dropping-particle":"","family":"Spruit","given":"Marco","non-dropping-particle":"","parse-names":false,"suffix":""}],"container-title":"Applied Sciences (Switzerland)","id":"ITEM-1","issue":"9","issued":{"date-parts":[["2020"]]},"page":"1-3","title":"Self-service data science in healthcare with automated machine learning","type":"article-journal","volume":"10"},"uris":["http://www.mendeley.com/documents/?uuid=377c1cec-4529-498d-91a7-52a6c34691b7"]}],"mendeley":{"formattedCitation":"(Ooms &amp; Spruit, 2020)","manualFormatting":"Ooms &amp; Spruit (2020)","plainTextFormattedCitation":"(Ooms &amp; Spruit, 2020)","previouslyFormattedCitation":"(Ooms &amp; Spruit,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Ooms &amp; Spruit (2020)</w:t>
      </w:r>
      <w:r w:rsidRPr="005459E6">
        <w:rPr>
          <w:rFonts w:ascii="Times New Roman" w:hAnsi="Times New Roman" w:cs="Times New Roman"/>
        </w:rPr>
        <w:fldChar w:fldCharType="end"/>
      </w:r>
      <w:r w:rsidRPr="005459E6">
        <w:rPr>
          <w:rFonts w:ascii="Times New Roman" w:hAnsi="Times New Roman" w:cs="Times New Roman"/>
        </w:rPr>
        <w:t xml:space="preserve"> confirmed, data science can be applied in the healthcare sector. To accomplish the same, a machine learning (ML) model was trained to identify the probable effect of “Stress” as a target value for prediction.        </w:t>
      </w:r>
    </w:p>
    <w:p w14:paraId="1A81A881" w14:textId="77777777" w:rsidR="00A20F6F" w:rsidRPr="005459E6" w:rsidRDefault="00A20F6F" w:rsidP="00042CB0">
      <w:pPr>
        <w:spacing w:line="360" w:lineRule="auto"/>
        <w:jc w:val="both"/>
        <w:rPr>
          <w:rFonts w:ascii="Times New Roman" w:hAnsi="Times New Roman" w:cs="Times New Roman"/>
        </w:rPr>
      </w:pPr>
    </w:p>
    <w:p w14:paraId="0A5CFA01" w14:textId="5004D23C" w:rsidR="00E56D87" w:rsidRPr="005459E6" w:rsidRDefault="00E56D87" w:rsidP="00042CB0">
      <w:pPr>
        <w:pStyle w:val="Didascalia"/>
        <w:keepNext/>
        <w:spacing w:line="360" w:lineRule="auto"/>
        <w:jc w:val="both"/>
        <w:rPr>
          <w:rFonts w:ascii="Times New Roman" w:hAnsi="Times New Roman" w:cs="Times New Roman"/>
          <w:i w:val="0"/>
          <w:iCs w:val="0"/>
          <w:color w:val="auto"/>
          <w:sz w:val="22"/>
          <w:szCs w:val="22"/>
        </w:rPr>
      </w:pPr>
      <w:bookmarkStart w:id="437" w:name="_Toc99916013"/>
      <w:r w:rsidRPr="005459E6">
        <w:rPr>
          <w:rFonts w:ascii="Times New Roman" w:hAnsi="Times New Roman" w:cs="Times New Roman"/>
          <w:i w:val="0"/>
          <w:iCs w:val="0"/>
          <w:color w:val="auto"/>
          <w:sz w:val="22"/>
          <w:szCs w:val="22"/>
        </w:rPr>
        <w:t xml:space="preserve">Table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Table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3</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Model </w:t>
      </w:r>
      <w:bookmarkEnd w:id="437"/>
      <w:r w:rsidRPr="005459E6">
        <w:rPr>
          <w:rFonts w:ascii="Times New Roman" w:hAnsi="Times New Roman" w:cs="Times New Roman"/>
          <w:i w:val="0"/>
          <w:iCs w:val="0"/>
          <w:color w:val="auto"/>
          <w:sz w:val="22"/>
          <w:szCs w:val="22"/>
        </w:rPr>
        <w:t xml:space="preserve">performance.                                                                                  </w:t>
      </w:r>
    </w:p>
    <w:tbl>
      <w:tblPr>
        <w:tblStyle w:val="GridTable1Light1"/>
        <w:tblpPr w:leftFromText="180" w:rightFromText="180" w:vertAnchor="text" w:horzAnchor="margin" w:tblpXSpec="right" w:tblpY="144"/>
        <w:tblW w:w="0" w:type="auto"/>
        <w:tblLook w:val="04A0" w:firstRow="1" w:lastRow="0" w:firstColumn="1" w:lastColumn="0" w:noHBand="0" w:noVBand="1"/>
      </w:tblPr>
      <w:tblGrid>
        <w:gridCol w:w="2250"/>
        <w:gridCol w:w="1265"/>
      </w:tblGrid>
      <w:tr w:rsidR="005459E6" w:rsidRPr="005459E6" w14:paraId="15078D38" w14:textId="77777777" w:rsidTr="0083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BEFB714" w14:textId="77777777" w:rsidR="00E56D87" w:rsidRPr="005459E6" w:rsidRDefault="00E56D87" w:rsidP="00042CB0">
            <w:pPr>
              <w:spacing w:line="360" w:lineRule="auto"/>
              <w:jc w:val="both"/>
              <w:rPr>
                <w:rFonts w:ascii="Times New Roman" w:hAnsi="Times New Roman" w:cs="Times New Roman"/>
                <w:b w:val="0"/>
                <w:bCs w:val="0"/>
              </w:rPr>
            </w:pPr>
          </w:p>
          <w:p w14:paraId="264F5561"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Target (scaled)</w:t>
            </w:r>
          </w:p>
        </w:tc>
        <w:tc>
          <w:tcPr>
            <w:tcW w:w="1265" w:type="dxa"/>
          </w:tcPr>
          <w:p w14:paraId="4C8B3F48" w14:textId="77777777" w:rsidR="00E56D87" w:rsidRPr="005459E6" w:rsidRDefault="00E56D87" w:rsidP="00042CB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59E6">
              <w:rPr>
                <w:rFonts w:ascii="Times New Roman" w:hAnsi="Times New Roman" w:cs="Times New Roman"/>
              </w:rPr>
              <w:t>Stress</w:t>
            </w:r>
          </w:p>
        </w:tc>
      </w:tr>
      <w:tr w:rsidR="005459E6" w:rsidRPr="005459E6" w14:paraId="6AB51768" w14:textId="77777777" w:rsidTr="00833877">
        <w:tc>
          <w:tcPr>
            <w:cnfStyle w:val="001000000000" w:firstRow="0" w:lastRow="0" w:firstColumn="1" w:lastColumn="0" w:oddVBand="0" w:evenVBand="0" w:oddHBand="0" w:evenHBand="0" w:firstRowFirstColumn="0" w:firstRowLastColumn="0" w:lastRowFirstColumn="0" w:lastRowLastColumn="0"/>
            <w:tcW w:w="2250" w:type="dxa"/>
          </w:tcPr>
          <w:p w14:paraId="5DC14B93"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Expected error (range)</w:t>
            </w:r>
          </w:p>
        </w:tc>
        <w:tc>
          <w:tcPr>
            <w:tcW w:w="1265" w:type="dxa"/>
          </w:tcPr>
          <w:p w14:paraId="5B7D2303" w14:textId="77777777" w:rsidR="00E56D87" w:rsidRPr="005459E6" w:rsidRDefault="00E56D87" w:rsidP="00042C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5459E6">
              <w:rPr>
                <w:rFonts w:ascii="Times New Roman" w:hAnsi="Times New Roman" w:cs="Times New Roman"/>
                <w:b/>
                <w:bCs/>
              </w:rPr>
              <w:t>0.02–0.84</w:t>
            </w:r>
          </w:p>
        </w:tc>
      </w:tr>
    </w:tbl>
    <w:p w14:paraId="404FF182"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rPr>
        <w:t xml:space="preserve"> </w:t>
      </w:r>
      <w:r w:rsidRPr="005459E6">
        <w:rPr>
          <w:rFonts w:ascii="Times New Roman" w:hAnsi="Times New Roman" w:cs="Times New Roman"/>
          <w:noProof/>
          <w:lang w:val="en-IN" w:eastAsia="en-IN"/>
        </w:rPr>
        <w:drawing>
          <wp:inline distT="0" distB="0" distL="0" distR="0" wp14:anchorId="0F6F5427" wp14:editId="5A1D66E7">
            <wp:extent cx="2766060" cy="2827020"/>
            <wp:effectExtent l="0" t="0" r="0" b="0"/>
            <wp:docPr id="59" name="Picture 5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unburst chart&#10;&#10;Description automatically generated"/>
                    <pic:cNvPicPr/>
                  </pic:nvPicPr>
                  <pic:blipFill rotWithShape="1">
                    <a:blip r:embed="rId78" cstate="print">
                      <a:extLst>
                        <a:ext uri="{28A0092B-C50C-407E-A947-70E740481C1C}">
                          <a14:useLocalDpi xmlns:a14="http://schemas.microsoft.com/office/drawing/2010/main" val="0"/>
                        </a:ext>
                      </a:extLst>
                    </a:blip>
                    <a:srcRect l="6026" t="6868" r="9048" b="5272"/>
                    <a:stretch/>
                  </pic:blipFill>
                  <pic:spPr bwMode="auto">
                    <a:xfrm>
                      <a:off x="0" y="0"/>
                      <a:ext cx="2769660" cy="2830699"/>
                    </a:xfrm>
                    <a:prstGeom prst="rect">
                      <a:avLst/>
                    </a:prstGeom>
                    <a:ln>
                      <a:noFill/>
                    </a:ln>
                    <a:extLst>
                      <a:ext uri="{53640926-AAD7-44D8-BBD7-CCE9431645EC}">
                        <a14:shadowObscured xmlns:a14="http://schemas.microsoft.com/office/drawing/2010/main"/>
                      </a:ext>
                    </a:extLst>
                  </pic:spPr>
                </pic:pic>
              </a:graphicData>
            </a:graphic>
          </wp:inline>
        </w:drawing>
      </w:r>
      <w:r w:rsidRPr="005459E6">
        <w:rPr>
          <w:rFonts w:ascii="Times New Roman" w:hAnsi="Times New Roman" w:cs="Times New Roman"/>
        </w:rPr>
        <w:t xml:space="preserve"> </w:t>
      </w:r>
      <w:bookmarkStart w:id="438" w:name="_Toc66040390"/>
      <w:bookmarkStart w:id="439" w:name="_Toc66470429"/>
      <w:bookmarkStart w:id="440" w:name="_Toc66897463"/>
      <w:bookmarkStart w:id="441" w:name="_Toc67303754"/>
      <w:bookmarkStart w:id="442" w:name="_Toc68521792"/>
      <w:bookmarkStart w:id="443" w:name="_Toc73099156"/>
      <w:bookmarkStart w:id="444" w:name="_Toc73099512"/>
    </w:p>
    <w:p w14:paraId="55F0E450" w14:textId="47F34B2D" w:rsidR="00E56D87" w:rsidRPr="005459E6" w:rsidRDefault="00E56D87" w:rsidP="00042CB0">
      <w:pPr>
        <w:pStyle w:val="Didascalia"/>
        <w:spacing w:line="360" w:lineRule="auto"/>
        <w:jc w:val="both"/>
        <w:rPr>
          <w:rFonts w:ascii="Times New Roman" w:hAnsi="Times New Roman" w:cs="Times New Roman"/>
          <w:i w:val="0"/>
          <w:iCs w:val="0"/>
          <w:color w:val="auto"/>
        </w:rPr>
      </w:pPr>
      <w:bookmarkStart w:id="445" w:name="_Toc96343321"/>
      <w:bookmarkStart w:id="446" w:name="_Toc99915996"/>
      <w:bookmarkStart w:id="447" w:name="_Toc104968813"/>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27</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Sunburst chart representing an ML </w:t>
      </w:r>
      <w:bookmarkEnd w:id="438"/>
      <w:bookmarkEnd w:id="439"/>
      <w:bookmarkEnd w:id="440"/>
      <w:bookmarkEnd w:id="441"/>
      <w:bookmarkEnd w:id="442"/>
      <w:bookmarkEnd w:id="443"/>
      <w:bookmarkEnd w:id="444"/>
      <w:bookmarkEnd w:id="445"/>
      <w:bookmarkEnd w:id="446"/>
      <w:r w:rsidRPr="005459E6">
        <w:rPr>
          <w:rFonts w:ascii="Times New Roman" w:hAnsi="Times New Roman" w:cs="Times New Roman"/>
          <w:i w:val="0"/>
          <w:iCs w:val="0"/>
          <w:color w:val="auto"/>
          <w:sz w:val="22"/>
          <w:szCs w:val="22"/>
        </w:rPr>
        <w:t>model.</w:t>
      </w:r>
      <w:bookmarkEnd w:id="447"/>
    </w:p>
    <w:p w14:paraId="12CC01F2" w14:textId="1BA822A3" w:rsidR="00E56D87" w:rsidRPr="005459E6" w:rsidRDefault="00E56D87" w:rsidP="00042CB0">
      <w:pPr>
        <w:spacing w:line="360" w:lineRule="auto"/>
        <w:jc w:val="both"/>
        <w:rPr>
          <w:rFonts w:ascii="Times New Roman" w:hAnsi="Times New Roman" w:cs="Times New Roman"/>
          <w:b/>
          <w:bCs/>
        </w:rPr>
      </w:pPr>
      <w:r w:rsidRPr="005459E6">
        <w:rPr>
          <w:rFonts w:ascii="Times New Roman" w:hAnsi="Times New Roman" w:cs="Times New Roman"/>
        </w:rPr>
        <w:t xml:space="preserve">The algorithm learned from the data and predicted the target values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{"citationItems":[{"id":"ITEM-1","itemData":{"DOI":"10.1109/ABLAZE.2015.7154917","ISBN":"978-93-5311-910-2","abstract":"Today's world is more conscious about the health. Even though the medical field is evolving with the improved facilities, the death rate is increasing day by day. Heart disease is one such cause for increasing death rate. Medical industry contains large amount of hidden information of many patients. This hidden information can be used to take important decisions by applying data mining techniques. Data mining acts as a solution for many healthcare problems and it is helpful in predicting heart disease in early stages. Naïve Bayes algorithm is one such data mining technique which helps in the prediction of heart disease in patients. Cleveland dataset is used to analyze few parameters of the patients from the previous records such as age, chest pain, sex, blood pressure, ECG reading etc. A machine learning model which helps in predicting the heart disease is built.","author":[{"dropping-particle":"","family":"Arpitha","given":"M. S.","non-dropping-particle":"","parse-names":false,"suffix":""},{"dropping-particle":"","family":"Mithun","given":"K. A.","non-dropping-particle":"","parse-names":false,"suffix":""},{"dropping-particle":"","family":"Rakesh","given":"S.","non-dropping-particle":"","parse-names":false,"suffix":""},{"dropping-particle":"","family":"Singh","given":"A.","non-dropping-particle":"","parse-names":false,"suffix":""},{"dropping-particle":"","family":"Yadav","given":"A.","non-dropping-particle":"","parse-names":false,"suffix":""}],"container-title":"International Journal of Advanced Research in Computer Science","id":"ITEM-1","issue":"3","issued":{"date-parts":[["2018"]]},"page":"10-14","title":"Better Healthcare using Machine Learning","type":"article-journal","volume":"9"},"uris":["http://www.mendeley.com/documents/?uuid=0306ec49-1121-4083-a3e5-0156ee45c924"]}],"mendeley":{"formattedCitation":"(Arpitha et al., 2018)","plainTextFormattedCitation":"(Arpitha et al., 2018)","previouslyFormattedCitation":"(Arpitha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(Arpitha et al., 2018)</w:t>
      </w:r>
      <w:r w:rsidRPr="005459E6">
        <w:rPr>
          <w:rFonts w:ascii="Times New Roman" w:hAnsi="Times New Roman" w:cs="Times New Roman"/>
        </w:rPr>
        <w:fldChar w:fldCharType="end"/>
      </w:r>
      <w:r w:rsidRPr="005459E6">
        <w:rPr>
          <w:rFonts w:ascii="Times New Roman" w:hAnsi="Times New Roman" w:cs="Times New Roman"/>
        </w:rPr>
        <w:t xml:space="preserve"> with higher accuracy, as shown in </w:t>
      </w:r>
      <w:r w:rsidRPr="005459E6">
        <w:rPr>
          <w:rFonts w:ascii="Times New Roman" w:hAnsi="Times New Roman" w:cs="Times New Roman"/>
          <w:b/>
          <w:bCs/>
        </w:rPr>
        <w:t xml:space="preserve">Figure 27 </w:t>
      </w:r>
      <w:r w:rsidRPr="005459E6">
        <w:rPr>
          <w:rFonts w:ascii="Times New Roman" w:hAnsi="Times New Roman" w:cs="Times New Roman"/>
        </w:rPr>
        <w:t xml:space="preserve">and </w:t>
      </w:r>
      <w:r w:rsidRPr="005459E6">
        <w:rPr>
          <w:rFonts w:ascii="Times New Roman" w:hAnsi="Times New Roman" w:cs="Times New Roman"/>
          <w:b/>
          <w:bCs/>
        </w:rPr>
        <w:t>Table 3.</w:t>
      </w:r>
      <w:r w:rsidR="00A20F6F" w:rsidRPr="005459E6">
        <w:rPr>
          <w:rFonts w:ascii="Times New Roman" w:hAnsi="Times New Roman" w:cs="Times New Roman"/>
          <w:b/>
          <w:bCs/>
        </w:rPr>
        <w:t xml:space="preserve"> </w:t>
      </w:r>
      <w:r w:rsidRPr="005459E6">
        <w:rPr>
          <w:rFonts w:ascii="Times New Roman" w:hAnsi="Times New Roman" w:cs="Times New Roman"/>
        </w:rPr>
        <w:t xml:space="preserve">Thus, observations from the study primarily illuminate the existence of Psychosomatic along with the possible role of technology </w:t>
      </w:r>
      <w:r w:rsidR="000A06A3" w:rsidRPr="005459E6">
        <w:rPr>
          <w:rFonts w:ascii="Times New Roman" w:hAnsi="Times New Roman" w:cs="Times New Roman"/>
        </w:rPr>
        <w:t>in</w:t>
      </w:r>
      <w:r w:rsidRPr="005459E6">
        <w:rPr>
          <w:rFonts w:ascii="Times New Roman" w:hAnsi="Times New Roman" w:cs="Times New Roman"/>
        </w:rPr>
        <w:t xml:space="preserve"> the betterment of psychological health. At later stages, the study reflects on emotional states and individual well-being through data-driven analysis. For the fulfillment of this study, two constructs were used to identify Stress and predict Productivity. The construct of Stress relied on the degree of “Interest” and “Relaxation,” while the construct of Productivity was dependent on “Focus” and “Engagement” levels of an individual. </w:t>
      </w:r>
    </w:p>
    <w:p w14:paraId="37735404" w14:textId="1BC9BCD8" w:rsidR="00E56D87" w:rsidRPr="005459E6" w:rsidRDefault="00E56D87" w:rsidP="00042CB0">
      <w:pPr>
        <w:spacing w:line="360" w:lineRule="auto"/>
        <w:jc w:val="both"/>
        <w:rPr>
          <w:rFonts w:ascii="Times New Roman" w:hAnsi="Times New Roman" w:cs="Times New Roman"/>
          <w:bCs/>
        </w:rPr>
      </w:pPr>
      <w:r w:rsidRPr="005459E6">
        <w:rPr>
          <w:rFonts w:ascii="Times New Roman" w:hAnsi="Times New Roman" w:cs="Times New Roman"/>
        </w:rPr>
        <w:t xml:space="preserve">The workflow and outcome of the “Sequential Mixed Method” performed in the research are shown in </w:t>
      </w:r>
      <w:r w:rsidRPr="005459E6">
        <w:rPr>
          <w:rFonts w:ascii="Times New Roman" w:hAnsi="Times New Roman" w:cs="Times New Roman"/>
          <w:b/>
          <w:bCs/>
        </w:rPr>
        <w:t>Figure 28</w:t>
      </w:r>
      <w:r w:rsidRPr="005459E6">
        <w:rPr>
          <w:rFonts w:ascii="Times New Roman" w:hAnsi="Times New Roman" w:cs="Times New Roman"/>
        </w:rPr>
        <w:t xml:space="preserve">, indicating </w:t>
      </w:r>
      <w:r w:rsidRPr="005459E6">
        <w:rPr>
          <w:rFonts w:ascii="Times New Roman" w:hAnsi="Times New Roman" w:cs="Times New Roman"/>
          <w:bCs/>
        </w:rPr>
        <w:t xml:space="preserve">various </w:t>
      </w:r>
      <w:r w:rsidR="00CB7371" w:rsidRPr="005459E6">
        <w:rPr>
          <w:rFonts w:ascii="Times New Roman" w:hAnsi="Times New Roman" w:cs="Times New Roman"/>
          <w:bCs/>
        </w:rPr>
        <w:t>phases</w:t>
      </w:r>
      <w:r w:rsidRPr="005459E6">
        <w:rPr>
          <w:rFonts w:ascii="Times New Roman" w:hAnsi="Times New Roman" w:cs="Times New Roman"/>
          <w:bCs/>
        </w:rPr>
        <w:t xml:space="preserve"> of research.</w:t>
      </w:r>
    </w:p>
    <w:p w14:paraId="47EB91F0" w14:textId="77777777" w:rsidR="00E56D87" w:rsidRPr="005459E6" w:rsidRDefault="00E56D87" w:rsidP="00042CB0">
      <w:pPr>
        <w:spacing w:line="360" w:lineRule="auto"/>
        <w:jc w:val="both"/>
        <w:rPr>
          <w:rFonts w:ascii="Times New Roman" w:hAnsi="Times New Roman" w:cs="Times New Roman"/>
          <w:b/>
          <w:bCs/>
        </w:rPr>
      </w:pPr>
    </w:p>
    <w:p w14:paraId="334A708A"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inline distT="0" distB="0" distL="0" distR="0" wp14:anchorId="2BC32C32" wp14:editId="798337E7">
            <wp:extent cx="6066624" cy="6429375"/>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79" cstate="print">
                      <a:extLst>
                        <a:ext uri="{28A0092B-C50C-407E-A947-70E740481C1C}">
                          <a14:useLocalDpi xmlns:a14="http://schemas.microsoft.com/office/drawing/2010/main" val="0"/>
                        </a:ext>
                      </a:extLst>
                    </a:blip>
                    <a:srcRect t="7573" r="20981" b="16693"/>
                    <a:stretch/>
                  </pic:blipFill>
                  <pic:spPr bwMode="auto">
                    <a:xfrm>
                      <a:off x="0" y="0"/>
                      <a:ext cx="6074686" cy="6437919"/>
                    </a:xfrm>
                    <a:prstGeom prst="rect">
                      <a:avLst/>
                    </a:prstGeom>
                    <a:ln>
                      <a:noFill/>
                    </a:ln>
                    <a:extLst>
                      <a:ext uri="{53640926-AAD7-44D8-BBD7-CCE9431645EC}">
                        <a14:shadowObscured xmlns:a14="http://schemas.microsoft.com/office/drawing/2010/main"/>
                      </a:ext>
                    </a:extLst>
                  </pic:spPr>
                </pic:pic>
              </a:graphicData>
            </a:graphic>
          </wp:inline>
        </w:drawing>
      </w:r>
    </w:p>
    <w:p w14:paraId="49CC3B7E" w14:textId="451B8636" w:rsidR="00E56D87" w:rsidRPr="005459E6" w:rsidRDefault="00E56D87" w:rsidP="00042CB0">
      <w:pPr>
        <w:pStyle w:val="Didascalia"/>
        <w:spacing w:line="360" w:lineRule="auto"/>
        <w:jc w:val="both"/>
        <w:rPr>
          <w:rFonts w:ascii="Times New Roman" w:hAnsi="Times New Roman" w:cs="Times New Roman"/>
          <w:b/>
          <w:bCs/>
          <w:i w:val="0"/>
          <w:iCs w:val="0"/>
          <w:color w:val="auto"/>
        </w:rPr>
      </w:pPr>
      <w:bookmarkStart w:id="448" w:name="_Toc96343322"/>
      <w:bookmarkStart w:id="449" w:name="_Toc99915997"/>
      <w:bookmarkStart w:id="450" w:name="_Toc104968814"/>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28</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Workflow of the four </w:t>
      </w:r>
      <w:r w:rsidR="00CB7371" w:rsidRPr="005459E6">
        <w:rPr>
          <w:rFonts w:ascii="Times New Roman" w:hAnsi="Times New Roman" w:cs="Times New Roman"/>
          <w:i w:val="0"/>
          <w:iCs w:val="0"/>
          <w:color w:val="auto"/>
          <w:sz w:val="22"/>
          <w:szCs w:val="22"/>
        </w:rPr>
        <w:t>phases</w:t>
      </w:r>
      <w:r w:rsidR="00F148C4" w:rsidRPr="005459E6">
        <w:rPr>
          <w:rFonts w:ascii="Times New Roman" w:hAnsi="Times New Roman" w:cs="Times New Roman"/>
          <w:i w:val="0"/>
          <w:iCs w:val="0"/>
          <w:color w:val="auto"/>
          <w:sz w:val="22"/>
          <w:szCs w:val="22"/>
        </w:rPr>
        <w:t xml:space="preserve"> </w:t>
      </w:r>
      <w:r w:rsidRPr="005459E6">
        <w:rPr>
          <w:rFonts w:ascii="Times New Roman" w:hAnsi="Times New Roman" w:cs="Times New Roman"/>
          <w:i w:val="0"/>
          <w:iCs w:val="0"/>
          <w:color w:val="auto"/>
          <w:sz w:val="22"/>
          <w:szCs w:val="22"/>
        </w:rPr>
        <w:t>of research</w:t>
      </w:r>
      <w:bookmarkEnd w:id="448"/>
      <w:bookmarkEnd w:id="449"/>
      <w:r w:rsidRPr="005459E6">
        <w:rPr>
          <w:rFonts w:ascii="Times New Roman" w:hAnsi="Times New Roman" w:cs="Times New Roman"/>
          <w:i w:val="0"/>
          <w:iCs w:val="0"/>
          <w:color w:val="auto"/>
          <w:sz w:val="22"/>
          <w:szCs w:val="22"/>
        </w:rPr>
        <w:t>.</w:t>
      </w:r>
      <w:bookmarkEnd w:id="450"/>
    </w:p>
    <w:p w14:paraId="3B13370D" w14:textId="77777777" w:rsidR="00E56D87" w:rsidRPr="005459E6" w:rsidRDefault="00E56D87" w:rsidP="00042CB0">
      <w:pPr>
        <w:spacing w:line="360" w:lineRule="auto"/>
        <w:jc w:val="both"/>
        <w:rPr>
          <w:rFonts w:ascii="Times New Roman" w:hAnsi="Times New Roman" w:cs="Times New Roman"/>
          <w:b/>
          <w:bCs/>
        </w:rPr>
      </w:pPr>
    </w:p>
    <w:p w14:paraId="6B33C53D" w14:textId="77777777" w:rsidR="00E56D87" w:rsidRPr="005459E6" w:rsidRDefault="00E56D87" w:rsidP="00042CB0">
      <w:pPr>
        <w:spacing w:line="360" w:lineRule="auto"/>
        <w:jc w:val="both"/>
        <w:rPr>
          <w:rFonts w:ascii="Times New Roman" w:hAnsi="Times New Roman" w:cs="Times New Roman"/>
          <w:b/>
          <w:bCs/>
        </w:rPr>
      </w:pPr>
    </w:p>
    <w:p w14:paraId="3C2294FE" w14:textId="732F9A9E" w:rsidR="00E56D87" w:rsidRPr="005459E6" w:rsidRDefault="00A96B00" w:rsidP="00042CB0">
      <w:pPr>
        <w:spacing w:line="360" w:lineRule="auto"/>
        <w:jc w:val="both"/>
        <w:rPr>
          <w:rFonts w:ascii="Times New Roman" w:hAnsi="Times New Roman" w:cs="Times New Roman"/>
          <w:b/>
          <w:bCs/>
        </w:rPr>
      </w:pPr>
      <w:r w:rsidRPr="005459E6">
        <w:rPr>
          <w:rFonts w:ascii="Times New Roman" w:hAnsi="Times New Roman" w:cs="Times New Roman"/>
          <w:b/>
          <w:bCs/>
        </w:rPr>
        <w:t>STAGE</w:t>
      </w:r>
      <w:r w:rsidR="00E56D87" w:rsidRPr="005459E6">
        <w:rPr>
          <w:rFonts w:ascii="Times New Roman" w:hAnsi="Times New Roman" w:cs="Times New Roman"/>
          <w:b/>
          <w:bCs/>
        </w:rPr>
        <w:t xml:space="preserve"> I</w:t>
      </w:r>
    </w:p>
    <w:p w14:paraId="15BABA67"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Pearson Correlation Results among Psychological_Issue, Subconscious_Mind, Bio_Signatures, Physical_Issue, Conscious_Mind, Therapeutic_Intervention, Role_of_Technology, Personality_Dimensions, and Psychosomatic_Health</w:t>
      </w:r>
    </w:p>
    <w:p w14:paraId="378DCB00"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A significant positive correlation was observed between Psychological_Issue and Physical_Issue (r = 0.52, p = .020, 95% CI = [0.25, 0.72]). </w:t>
      </w:r>
    </w:p>
    <w:p w14:paraId="55B180B6" w14:textId="77777777" w:rsidR="00E56D87" w:rsidRPr="005459E6" w:rsidRDefault="00E56D87"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STAGE I Confirmed that Psychosomatism exists!</w:t>
      </w:r>
    </w:p>
    <w:p w14:paraId="15A3AB6C" w14:textId="77777777" w:rsidR="00E56D87" w:rsidRPr="005459E6" w:rsidRDefault="00E56D87" w:rsidP="00042CB0">
      <w:pPr>
        <w:spacing w:line="360" w:lineRule="auto"/>
        <w:jc w:val="both"/>
        <w:rPr>
          <w:rFonts w:ascii="Times New Roman" w:hAnsi="Times New Roman" w:cs="Times New Roman"/>
        </w:rPr>
      </w:pPr>
    </w:p>
    <w:p w14:paraId="42F417E4" w14:textId="579EF64D" w:rsidR="00E56D87" w:rsidRPr="005459E6" w:rsidRDefault="00A96B00" w:rsidP="00042CB0">
      <w:pPr>
        <w:spacing w:line="360" w:lineRule="auto"/>
        <w:jc w:val="both"/>
        <w:rPr>
          <w:rFonts w:ascii="Times New Roman" w:hAnsi="Times New Roman" w:cs="Times New Roman"/>
          <w:b/>
          <w:bCs/>
        </w:rPr>
      </w:pPr>
      <w:r w:rsidRPr="005459E6">
        <w:rPr>
          <w:rFonts w:ascii="Times New Roman" w:hAnsi="Times New Roman" w:cs="Times New Roman"/>
          <w:b/>
          <w:bCs/>
        </w:rPr>
        <w:t xml:space="preserve">STAGE </w:t>
      </w:r>
      <w:r w:rsidR="00E56D87" w:rsidRPr="005459E6">
        <w:rPr>
          <w:rFonts w:ascii="Times New Roman" w:hAnsi="Times New Roman" w:cs="Times New Roman"/>
          <w:b/>
          <w:bCs/>
        </w:rPr>
        <w:t>II</w:t>
      </w:r>
    </w:p>
    <w:p w14:paraId="29454E83" w14:textId="7BE409EF"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Qualitative Content Analysis (QCA) was used to establish a relationship between “Psychosomatic health” and </w:t>
      </w:r>
      <w:r w:rsidR="005854B2">
        <w:rPr>
          <w:rFonts w:ascii="Times New Roman" w:hAnsi="Times New Roman" w:cs="Times New Roman"/>
        </w:rPr>
        <w:t xml:space="preserve">the </w:t>
      </w:r>
      <w:r w:rsidRPr="005459E6">
        <w:rPr>
          <w:rFonts w:ascii="Times New Roman" w:hAnsi="Times New Roman" w:cs="Times New Roman"/>
        </w:rPr>
        <w:t xml:space="preserve">“role of technology” to improve well-being. </w:t>
      </w:r>
    </w:p>
    <w:p w14:paraId="62E1B268"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study suggested that “Stress” has a statistically significant relationship with “Thearaputic_Intervention.” </w:t>
      </w:r>
    </w:p>
    <w:p w14:paraId="0786302D" w14:textId="3674877F" w:rsidR="00E56D87" w:rsidRPr="005459E6" w:rsidRDefault="00E56D87"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 xml:space="preserve">Ultimately, </w:t>
      </w:r>
      <w:r w:rsidR="00A96B00" w:rsidRPr="005459E6">
        <w:rPr>
          <w:rFonts w:ascii="Times New Roman" w:hAnsi="Times New Roman" w:cs="Times New Roman"/>
          <w:u w:val="single"/>
        </w:rPr>
        <w:t>STAGE</w:t>
      </w:r>
      <w:r w:rsidRPr="005459E6">
        <w:rPr>
          <w:rFonts w:ascii="Times New Roman" w:hAnsi="Times New Roman" w:cs="Times New Roman"/>
          <w:u w:val="single"/>
        </w:rPr>
        <w:t xml:space="preserve"> II suggested that “Role_of_Technology” is applicable for “Therapeutic_Intervention.”</w:t>
      </w:r>
    </w:p>
    <w:p w14:paraId="41F2F382" w14:textId="77777777" w:rsidR="00E56D87" w:rsidRPr="005459E6" w:rsidRDefault="00E56D87" w:rsidP="00042CB0">
      <w:pPr>
        <w:spacing w:line="360" w:lineRule="auto"/>
        <w:jc w:val="both"/>
        <w:rPr>
          <w:rFonts w:ascii="Times New Roman" w:hAnsi="Times New Roman" w:cs="Times New Roman"/>
        </w:rPr>
      </w:pPr>
    </w:p>
    <w:p w14:paraId="20748ECE" w14:textId="425B036B" w:rsidR="00E56D87" w:rsidRPr="005459E6" w:rsidRDefault="00A96B00" w:rsidP="00042CB0">
      <w:pPr>
        <w:spacing w:line="360" w:lineRule="auto"/>
        <w:jc w:val="both"/>
        <w:rPr>
          <w:rFonts w:ascii="Times New Roman" w:hAnsi="Times New Roman" w:cs="Times New Roman"/>
          <w:b/>
          <w:bCs/>
        </w:rPr>
      </w:pPr>
      <w:r w:rsidRPr="005459E6">
        <w:rPr>
          <w:rFonts w:ascii="Times New Roman" w:hAnsi="Times New Roman" w:cs="Times New Roman"/>
          <w:b/>
          <w:bCs/>
        </w:rPr>
        <w:t>STAGE</w:t>
      </w:r>
      <w:r w:rsidR="00E56D87" w:rsidRPr="005459E6">
        <w:rPr>
          <w:rFonts w:ascii="Times New Roman" w:hAnsi="Times New Roman" w:cs="Times New Roman"/>
          <w:b/>
          <w:bCs/>
        </w:rPr>
        <w:t xml:space="preserve"> III</w:t>
      </w:r>
    </w:p>
    <w:p w14:paraId="329740BD"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Results for Linear Regression with AGE, WEIGHT, ENGAGEMENT, RELAXATION, GENDER, HEIGHT, EXCITEMENT, INTEREST, LIFESTYLE, STATE_OF_HEALTH, LTE, and FOCUS predicting STRESS</w:t>
      </w:r>
    </w:p>
    <w:p w14:paraId="6F9B6C92"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results of the linear regression model were significant, </w:t>
      </w:r>
      <w:r w:rsidRPr="005459E6">
        <w:rPr>
          <w:rFonts w:ascii="Times New Roman" w:hAnsi="Times New Roman" w:cs="Times New Roman"/>
          <w:i/>
          <w:iCs/>
        </w:rPr>
        <w:t>F</w:t>
      </w:r>
      <w:r w:rsidRPr="005459E6">
        <w:rPr>
          <w:rFonts w:ascii="Times New Roman" w:hAnsi="Times New Roman" w:cs="Times New Roman"/>
        </w:rPr>
        <w:t xml:space="preserve">(12,1509) = 1584.37, </w:t>
      </w:r>
      <w:r w:rsidRPr="005459E6">
        <w:rPr>
          <w:rFonts w:ascii="Times New Roman" w:hAnsi="Times New Roman" w:cs="Times New Roman"/>
          <w:i/>
          <w:iCs/>
        </w:rPr>
        <w:t>p</w:t>
      </w:r>
      <w:r w:rsidRPr="005459E6">
        <w:rPr>
          <w:rFonts w:ascii="Times New Roman" w:hAnsi="Times New Roman" w:cs="Times New Roman"/>
        </w:rPr>
        <w:t xml:space="preserve"> &lt; .001, and </w:t>
      </w:r>
      <w:r w:rsidRPr="005459E6">
        <w:rPr>
          <w:rFonts w:ascii="Times New Roman" w:hAnsi="Times New Roman" w:cs="Times New Roman"/>
          <w:i/>
          <w:iCs/>
        </w:rPr>
        <w:t>R</w:t>
      </w:r>
      <w:r w:rsidRPr="005459E6">
        <w:rPr>
          <w:rFonts w:ascii="Times New Roman" w:hAnsi="Times New Roman" w:cs="Times New Roman"/>
          <w:vertAlign w:val="superscript"/>
        </w:rPr>
        <w:t>2</w:t>
      </w:r>
      <w:r w:rsidRPr="005459E6">
        <w:rPr>
          <w:rFonts w:ascii="Times New Roman" w:hAnsi="Times New Roman" w:cs="Times New Roman"/>
        </w:rPr>
        <w:t xml:space="preserve"> = 0.93, indicating that approximately 93% of the variance in STRESS is explainable with Regression Equation: STRESS = –0.00 + 0.00*AGE – 0.00*WEIGHT – 0.09*ENGAGEMENT + 0.49*RELAXATION – 0.01*GENDER + 0.00*HEIGHT – 0.02*EXCITEMENT + 0.33*INTEREST + 0.01*LIFESTYLE + 0.02*STATE_OF_HEALTH + 0.02*LTE + 0.13*FOCUS</w:t>
      </w:r>
    </w:p>
    <w:p w14:paraId="38A11C0B" w14:textId="26CA1B45" w:rsidR="00E56D87" w:rsidRPr="005459E6" w:rsidRDefault="00E56D87"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 xml:space="preserve">As per the model evaluation (Refer </w:t>
      </w:r>
      <w:r w:rsidR="005057A9" w:rsidRPr="005459E6">
        <w:rPr>
          <w:rFonts w:ascii="Times New Roman" w:hAnsi="Times New Roman" w:cs="Times New Roman"/>
          <w:u w:val="single"/>
        </w:rPr>
        <w:t xml:space="preserve">to </w:t>
      </w:r>
      <w:r w:rsidRPr="005459E6">
        <w:rPr>
          <w:rFonts w:ascii="Times New Roman" w:hAnsi="Times New Roman" w:cs="Times New Roman"/>
          <w:b/>
          <w:bCs/>
          <w:u w:val="single"/>
        </w:rPr>
        <w:t xml:space="preserve">Figure </w:t>
      </w:r>
      <w:r w:rsidR="005922D5" w:rsidRPr="005459E6">
        <w:rPr>
          <w:rFonts w:ascii="Times New Roman" w:hAnsi="Times New Roman" w:cs="Times New Roman"/>
          <w:b/>
          <w:bCs/>
          <w:u w:val="single"/>
        </w:rPr>
        <w:t>19</w:t>
      </w:r>
      <w:r w:rsidRPr="005459E6">
        <w:rPr>
          <w:rFonts w:ascii="Times New Roman" w:hAnsi="Times New Roman" w:cs="Times New Roman"/>
          <w:u w:val="single"/>
        </w:rPr>
        <w:t xml:space="preserve">), </w:t>
      </w:r>
      <w:r w:rsidR="00A96B00" w:rsidRPr="005459E6">
        <w:rPr>
          <w:rFonts w:ascii="Times New Roman" w:hAnsi="Times New Roman" w:cs="Times New Roman"/>
          <w:u w:val="single"/>
        </w:rPr>
        <w:t>STAGE</w:t>
      </w:r>
      <w:r w:rsidRPr="005459E6">
        <w:rPr>
          <w:rFonts w:ascii="Times New Roman" w:hAnsi="Times New Roman" w:cs="Times New Roman"/>
          <w:u w:val="single"/>
        </w:rPr>
        <w:t xml:space="preserve"> III concluded that Psychological Well-being is correlated with Stress and other two predictors (including Interest and Relaxation).</w:t>
      </w:r>
    </w:p>
    <w:p w14:paraId="0BC6A476" w14:textId="77777777" w:rsidR="00E56D87" w:rsidRPr="005459E6" w:rsidRDefault="00E56D87" w:rsidP="00042CB0">
      <w:pPr>
        <w:spacing w:line="360" w:lineRule="auto"/>
        <w:jc w:val="both"/>
        <w:rPr>
          <w:rFonts w:ascii="Times New Roman" w:hAnsi="Times New Roman" w:cs="Times New Roman"/>
          <w:u w:val="single"/>
        </w:rPr>
      </w:pPr>
    </w:p>
    <w:p w14:paraId="5E9FFA9D" w14:textId="3B77ACB4" w:rsidR="00E56D87" w:rsidRPr="005459E6" w:rsidRDefault="00D102D3" w:rsidP="00042CB0">
      <w:pPr>
        <w:spacing w:line="360" w:lineRule="auto"/>
        <w:jc w:val="both"/>
        <w:rPr>
          <w:rFonts w:ascii="Times New Roman" w:hAnsi="Times New Roman" w:cs="Times New Roman"/>
          <w:b/>
          <w:bCs/>
        </w:rPr>
      </w:pPr>
      <w:r w:rsidRPr="005459E6">
        <w:rPr>
          <w:rFonts w:ascii="Times New Roman" w:hAnsi="Times New Roman" w:cs="Times New Roman"/>
          <w:b/>
          <w:bCs/>
        </w:rPr>
        <w:t>STAGE</w:t>
      </w:r>
      <w:r w:rsidR="00E56D87" w:rsidRPr="005459E6">
        <w:rPr>
          <w:rFonts w:ascii="Times New Roman" w:hAnsi="Times New Roman" w:cs="Times New Roman"/>
          <w:b/>
          <w:bCs/>
        </w:rPr>
        <w:t xml:space="preserve"> IV</w:t>
      </w:r>
    </w:p>
    <w:p w14:paraId="3A5E3845"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Spearman Correlation Results among AGE, BMI, FOCUS, CIRCADIAN_RHYTHM, GENDER, STATE_OF_HEALTH, STRESS, ENERGY_LEVEL, LIFESTYLE, ENGAGEMENT, SLEEP, and OBSERVED_PRODUCTIVITY</w:t>
      </w:r>
    </w:p>
    <w:p w14:paraId="4BA183BC"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A significant negative correlation was observed between FOCUS and OBSERVED_PRODUCTIVITY (</w:t>
      </w:r>
      <w:r w:rsidRPr="005459E6">
        <w:rPr>
          <w:rFonts w:ascii="Times New Roman" w:hAnsi="Times New Roman" w:cs="Times New Roman"/>
          <w:i/>
          <w:iCs/>
        </w:rPr>
        <w:t>r</w:t>
      </w:r>
      <w:r w:rsidRPr="005459E6">
        <w:rPr>
          <w:rFonts w:ascii="Times New Roman" w:hAnsi="Times New Roman" w:cs="Times New Roman"/>
        </w:rPr>
        <w:t xml:space="preserve"> = –0.12, </w:t>
      </w:r>
      <w:r w:rsidRPr="005459E6">
        <w:rPr>
          <w:rFonts w:ascii="Times New Roman" w:hAnsi="Times New Roman" w:cs="Times New Roman"/>
          <w:i/>
          <w:iCs/>
        </w:rPr>
        <w:t>p</w:t>
      </w:r>
      <w:r w:rsidRPr="005459E6">
        <w:rPr>
          <w:rFonts w:ascii="Times New Roman" w:hAnsi="Times New Roman" w:cs="Times New Roman"/>
        </w:rPr>
        <w:t xml:space="preserve"> &lt; .001, 95% CI = [–0.17, –0.07]). </w:t>
      </w:r>
    </w:p>
    <w:p w14:paraId="0E47A6E1" w14:textId="60BC2FCF" w:rsidR="00E56D87" w:rsidRPr="005459E6" w:rsidRDefault="00D102D3" w:rsidP="00042CB0">
      <w:pPr>
        <w:spacing w:line="360" w:lineRule="auto"/>
        <w:jc w:val="both"/>
        <w:rPr>
          <w:rFonts w:ascii="Times New Roman" w:hAnsi="Times New Roman" w:cs="Times New Roman"/>
          <w:b/>
          <w:bCs/>
          <w:u w:val="single"/>
        </w:rPr>
      </w:pPr>
      <w:r w:rsidRPr="005459E6">
        <w:rPr>
          <w:rFonts w:ascii="Times New Roman" w:hAnsi="Times New Roman" w:cs="Times New Roman"/>
          <w:u w:val="single"/>
        </w:rPr>
        <w:t xml:space="preserve">STAGE </w:t>
      </w:r>
      <w:r w:rsidR="00E56D87" w:rsidRPr="005459E6">
        <w:rPr>
          <w:rFonts w:ascii="Times New Roman" w:hAnsi="Times New Roman" w:cs="Times New Roman"/>
          <w:u w:val="single"/>
        </w:rPr>
        <w:t xml:space="preserve"> IV confirmed that Psychological Well-being (driven by emotions such as Focus and Stress) impacts Workplace Productivity.</w:t>
      </w:r>
    </w:p>
    <w:p w14:paraId="6DD9C892"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As research explicates, Individual Lifestyle (including Body Mass Index), Age, and Emotional states (ENGAGEMENT, EXCITEMENT, RELAXATION, INTEREST &amp; FOCUS) determine Stress levels. As stress in an individual can potentially reflect on the Psychological Well-being, it can be managed through manipulation of RELAXATION and INTEREST.</w:t>
      </w:r>
    </w:p>
    <w:p w14:paraId="56F08A24"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inline distT="0" distB="0" distL="0" distR="0" wp14:anchorId="3A048C88" wp14:editId="31A04AD5">
            <wp:extent cx="5593671" cy="2842260"/>
            <wp:effectExtent l="19050" t="19050" r="26670" b="152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24187" cy="2857766"/>
                    </a:xfrm>
                    <a:prstGeom prst="rect">
                      <a:avLst/>
                    </a:prstGeom>
                    <a:ln w="3175">
                      <a:solidFill>
                        <a:schemeClr val="tx1">
                          <a:lumMod val="95000"/>
                          <a:lumOff val="5000"/>
                        </a:schemeClr>
                      </a:solidFill>
                    </a:ln>
                  </pic:spPr>
                </pic:pic>
              </a:graphicData>
            </a:graphic>
          </wp:inline>
        </w:drawing>
      </w:r>
    </w:p>
    <w:p w14:paraId="64F05FB7" w14:textId="03FB91E2" w:rsidR="00E56D87" w:rsidRPr="005459E6" w:rsidRDefault="00E56D87" w:rsidP="00042CB0">
      <w:pPr>
        <w:pStyle w:val="Didascalia"/>
        <w:spacing w:line="360" w:lineRule="auto"/>
        <w:jc w:val="both"/>
        <w:rPr>
          <w:rFonts w:ascii="Times New Roman" w:hAnsi="Times New Roman" w:cs="Times New Roman"/>
          <w:i w:val="0"/>
          <w:iCs w:val="0"/>
          <w:color w:val="auto"/>
        </w:rPr>
      </w:pPr>
      <w:bookmarkStart w:id="451" w:name="_Toc96343323"/>
      <w:bookmarkStart w:id="452" w:name="_Toc99915998"/>
      <w:bookmarkStart w:id="453" w:name="_Toc104968815"/>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29</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Construct representing Psychological Well-being and Workplace Productivity</w:t>
      </w:r>
      <w:bookmarkEnd w:id="451"/>
      <w:bookmarkEnd w:id="452"/>
      <w:r w:rsidRPr="005459E6">
        <w:rPr>
          <w:rFonts w:ascii="Times New Roman" w:hAnsi="Times New Roman" w:cs="Times New Roman"/>
          <w:i w:val="0"/>
          <w:iCs w:val="0"/>
          <w:color w:val="auto"/>
          <w:sz w:val="22"/>
          <w:szCs w:val="22"/>
        </w:rPr>
        <w:t>.</w:t>
      </w:r>
      <w:bookmarkEnd w:id="453"/>
    </w:p>
    <w:p w14:paraId="7494EB1C" w14:textId="754F9A7F" w:rsidR="00E56D87" w:rsidRPr="005459E6" w:rsidRDefault="003A0520" w:rsidP="003A0520">
      <w:pPr>
        <w:spacing w:line="360" w:lineRule="auto"/>
        <w:jc w:val="right"/>
        <w:rPr>
          <w:rFonts w:ascii="Times New Roman" w:hAnsi="Times New Roman" w:cs="Times New Roman"/>
          <w:lang w:val="en-IN"/>
        </w:rPr>
      </w:pPr>
      <w:r w:rsidRPr="005459E6">
        <w:rPr>
          <w:rFonts w:ascii="Times New Roman" w:hAnsi="Times New Roman" w:cs="Times New Roman"/>
          <w:lang w:val="en-IN"/>
        </w:rPr>
        <w:t xml:space="preserve">( Credit: </w:t>
      </w:r>
      <w:r w:rsidR="00C812F7" w:rsidRPr="005459E6">
        <w:rPr>
          <w:rFonts w:ascii="Times New Roman" w:hAnsi="Times New Roman" w:cs="Times New Roman"/>
          <w:lang w:val="en-IN"/>
        </w:rPr>
        <w:fldChar w:fldCharType="begin" w:fldLock="1"/>
      </w:r>
      <w:r w:rsidR="005D2728">
        <w:rPr>
          <w:rFonts w:ascii="Times New Roman" w:hAnsi="Times New Roman" w:cs="Times New Roman"/>
          <w:lang w:val="en-IN"/>
        </w:rPr>
        <w:instrText>ADDIN CSL_CITATION {"citationItems":[{"id":"ITEM-1","itemData":{"URL":"https://welltory.com/science/","author":[{"dropping-particle":"","family":"Welltory","given":"","non-dropping-particle":"","parse-names":false,"suffix":""}],"id":"ITEM-1","issued":{"date-parts":[["2022"]]},"title":"Science behind Welltory","type":"webpage"},"uris":["http://www.mendeley.com/documents/?uuid=88c1e54c-0ee6-48b1-9b18-6fe89f81482f"]}],"mendeley":{"formattedCitation":"(Welltory, 2022)","manualFormatting":"Welltory, 2022 )","plainTextFormattedCitation":"(Welltory, 2022)","previouslyFormattedCitation":"(Welltory, 2022)"},"properties":{"noteIndex":0},"schema":"https://github.com/citation-style-language/schema/raw/master/csl-citation.json"}</w:instrText>
      </w:r>
      <w:r w:rsidR="00C812F7" w:rsidRPr="005459E6">
        <w:rPr>
          <w:rFonts w:ascii="Times New Roman" w:hAnsi="Times New Roman" w:cs="Times New Roman"/>
          <w:lang w:val="en-IN"/>
        </w:rPr>
        <w:fldChar w:fldCharType="separate"/>
      </w:r>
      <w:r w:rsidR="00C812F7" w:rsidRPr="005459E6">
        <w:rPr>
          <w:rFonts w:ascii="Times New Roman" w:hAnsi="Times New Roman" w:cs="Times New Roman"/>
          <w:noProof/>
          <w:lang w:val="en-IN"/>
        </w:rPr>
        <w:t>Welltory, 2022</w:t>
      </w:r>
      <w:r w:rsidR="00E057FD" w:rsidRPr="005459E6">
        <w:rPr>
          <w:rFonts w:ascii="Times New Roman" w:hAnsi="Times New Roman" w:cs="Times New Roman"/>
          <w:noProof/>
          <w:lang w:val="en-IN"/>
        </w:rPr>
        <w:t xml:space="preserve"> </w:t>
      </w:r>
      <w:r w:rsidR="00C812F7" w:rsidRPr="005459E6">
        <w:rPr>
          <w:rFonts w:ascii="Times New Roman" w:hAnsi="Times New Roman" w:cs="Times New Roman"/>
          <w:noProof/>
          <w:lang w:val="en-IN"/>
        </w:rPr>
        <w:t>)</w:t>
      </w:r>
      <w:r w:rsidR="00C812F7" w:rsidRPr="005459E6">
        <w:rPr>
          <w:rFonts w:ascii="Times New Roman" w:hAnsi="Times New Roman" w:cs="Times New Roman"/>
          <w:lang w:val="en-IN"/>
        </w:rPr>
        <w:fldChar w:fldCharType="end"/>
      </w:r>
      <w:r w:rsidR="00E057FD" w:rsidRPr="005459E6">
        <w:rPr>
          <w:rFonts w:ascii="Times New Roman" w:hAnsi="Times New Roman" w:cs="Times New Roman"/>
          <w:lang w:val="en-IN"/>
        </w:rPr>
        <w:t xml:space="preserve"> </w:t>
      </w:r>
    </w:p>
    <w:p w14:paraId="100C8623"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Further, Stress (predicted by Age and Emotions) and Energy levels (predicted by Sleep pattern and Circadian rhythm) can provide insights into Workplace Productivity. Workplace Productivity can be reconfirmed with FOCUS and ENGAGEMENT LEVELS, as shown in </w:t>
      </w:r>
      <w:r w:rsidRPr="005459E6">
        <w:rPr>
          <w:rFonts w:ascii="Times New Roman" w:hAnsi="Times New Roman" w:cs="Times New Roman"/>
          <w:b/>
          <w:bCs/>
        </w:rPr>
        <w:t>Figure 29</w:t>
      </w:r>
      <w:r w:rsidRPr="005459E6">
        <w:rPr>
          <w:rFonts w:ascii="Times New Roman" w:hAnsi="Times New Roman" w:cs="Times New Roman"/>
        </w:rPr>
        <w:t>. That said, the above constructs could provide reflections on Psychological Well-being and Workplace Productivity.</w:t>
      </w:r>
    </w:p>
    <w:p w14:paraId="4B82B505"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54" w:name="_Toc99910314"/>
      <w:bookmarkStart w:id="455" w:name="_Toc99912136"/>
      <w:bookmarkStart w:id="456" w:name="_Toc107248335"/>
      <w:r w:rsidRPr="005459E6">
        <w:rPr>
          <w:rFonts w:ascii="Times New Roman" w:hAnsi="Times New Roman" w:cs="Times New Roman"/>
          <w:color w:val="auto"/>
          <w:sz w:val="22"/>
          <w:szCs w:val="22"/>
        </w:rPr>
        <w:t>Cognitive attributes</w:t>
      </w:r>
      <w:bookmarkEnd w:id="454"/>
      <w:bookmarkEnd w:id="455"/>
      <w:bookmarkEnd w:id="456"/>
    </w:p>
    <w:p w14:paraId="70676584"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Electroencephalographs (EEG) reflect neural oscillations generated by the human brain. These brainwaves can be read using a brain–computer interface (BCI) and converted into scaled values for analytical purposes. Such a setup can be used to enhance Psychosomatic health using a technology-supported data-driven model. Measures including Age, State of Health, Engagement, Relaxation, Interest, and Focus significantly affect the stress levels of a person, of which, the Relaxation and Interest levels are the most prominent ones.</w:t>
      </w:r>
    </w:p>
    <w:p w14:paraId="49AE7DF3" w14:textId="038AE4AC" w:rsidR="00E56D87" w:rsidRPr="005459E6" w:rsidRDefault="00E56D87" w:rsidP="00042CB0">
      <w:pPr>
        <w:spacing w:line="360" w:lineRule="auto"/>
        <w:jc w:val="both"/>
        <w:rPr>
          <w:rFonts w:ascii="Times New Roman" w:hAnsi="Times New Roman" w:cs="Times New Roman"/>
        </w:rPr>
      </w:pPr>
      <w:r w:rsidRPr="005459E6">
        <w:rPr>
          <w:rFonts w:ascii="Times New Roman" w:eastAsia="Calibri" w:hAnsi="Times New Roman" w:cs="Times New Roman"/>
        </w:rPr>
        <w:t xml:space="preserve">In the healthcare ecosystem, actors such as brainwaves interact with applied therapeutic Interventions and integrate resources to reflect on current lifestyle and state of health. This process provides an individual </w:t>
      </w:r>
      <w:r w:rsidR="00E72DF3">
        <w:rPr>
          <w:rFonts w:ascii="Times New Roman" w:eastAsia="Calibri" w:hAnsi="Times New Roman" w:cs="Times New Roman"/>
        </w:rPr>
        <w:t xml:space="preserve">with </w:t>
      </w:r>
      <w:r w:rsidRPr="005459E6">
        <w:rPr>
          <w:rFonts w:ascii="Times New Roman" w:eastAsia="Calibri" w:hAnsi="Times New Roman" w:cs="Times New Roman"/>
        </w:rPr>
        <w:t xml:space="preserve">a relaxed state of mind to be able to effectively manage the stress.  </w:t>
      </w:r>
      <w:r w:rsidRPr="005459E6">
        <w:rPr>
          <w:rFonts w:ascii="Times New Roman" w:hAnsi="Times New Roman" w:cs="Times New Roman"/>
        </w:rPr>
        <w:t xml:space="preserve">With such an approach, Therapists can diagnose and prognose stress levels for enhancing Psychosomatic health. Using Artificial Intelligence and managing individual attributes, it is possible to achieve optimal stress levels.  </w:t>
      </w:r>
    </w:p>
    <w:p w14:paraId="4622BD00" w14:textId="000F7EAA"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“Psychological stress” refers to the emotional and physiological response to uncontrollable and unpredictable situations. It represents acute stress brought on by demanding cognitive tasks under both time and social pressure. Based on the low </w:t>
      </w:r>
      <w:r w:rsidRPr="005459E6">
        <w:rPr>
          <w:rFonts w:ascii="Times New Roman" w:hAnsi="Times New Roman" w:cs="Times New Roman"/>
          <w:i/>
          <w:iCs/>
        </w:rPr>
        <w:t>p</w:t>
      </w:r>
      <w:r w:rsidRPr="005459E6">
        <w:rPr>
          <w:rFonts w:ascii="Times New Roman" w:hAnsi="Times New Roman" w:cs="Times New Roman"/>
        </w:rPr>
        <w:t xml:space="preserve">-value (&lt;.05) of the indicators shown in </w:t>
      </w:r>
      <w:r w:rsidRPr="005459E6">
        <w:rPr>
          <w:rFonts w:ascii="Times New Roman" w:hAnsi="Times New Roman" w:cs="Times New Roman"/>
          <w:b/>
          <w:bCs/>
        </w:rPr>
        <w:t>Table 2,</w:t>
      </w:r>
      <w:r w:rsidRPr="005459E6">
        <w:rPr>
          <w:rFonts w:ascii="Times New Roman" w:hAnsi="Times New Roman" w:cs="Times New Roman"/>
        </w:rPr>
        <w:t xml:space="preserve"> it can be confirmed that variables related to “Individual Lifestyle,” “</w:t>
      </w:r>
      <w:r w:rsidR="00A20F6F" w:rsidRPr="005459E6">
        <w:rPr>
          <w:rFonts w:ascii="Times New Roman" w:hAnsi="Times New Roman" w:cs="Times New Roman"/>
        </w:rPr>
        <w:t>Brainwaves, “</w:t>
      </w:r>
      <w:r w:rsidRPr="005459E6">
        <w:rPr>
          <w:rFonts w:ascii="Times New Roman" w:hAnsi="Times New Roman" w:cs="Times New Roman"/>
        </w:rPr>
        <w:t xml:space="preserve"> and “Therapeutic Intervention” affect the stress levels in an individual. As data analysis suggests, Age, Gender, and State of Health (Prior) are beyond control; however, the Intervention density can be manipulated to attain certain stress levels in an individual.</w:t>
      </w:r>
    </w:p>
    <w:p w14:paraId="3DB98E27"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At the same time, Psychologists or Psychotherapists can manipulate the Focus, Interest, Relaxation, and Engagement levels to improve Psychosomatic health. The same can be reconfirmed by the ML model summary report shown in </w:t>
      </w:r>
      <w:r w:rsidRPr="005459E6">
        <w:rPr>
          <w:rFonts w:ascii="Times New Roman" w:hAnsi="Times New Roman" w:cs="Times New Roman"/>
          <w:b/>
          <w:bCs/>
        </w:rPr>
        <w:t>Figure 30</w:t>
      </w:r>
      <w:r w:rsidRPr="005459E6">
        <w:rPr>
          <w:rFonts w:ascii="Times New Roman" w:hAnsi="Times New Roman" w:cs="Times New Roman"/>
        </w:rPr>
        <w:t>.</w:t>
      </w:r>
    </w:p>
    <w:p w14:paraId="128F5041" w14:textId="77777777" w:rsidR="00E56D87" w:rsidRPr="005459E6" w:rsidRDefault="00E56D87" w:rsidP="00042CB0">
      <w:pPr>
        <w:spacing w:line="360" w:lineRule="auto"/>
        <w:jc w:val="both"/>
        <w:rPr>
          <w:rFonts w:ascii="Times New Roman" w:hAnsi="Times New Roman" w:cs="Times New Roman"/>
        </w:rPr>
      </w:pPr>
    </w:p>
    <w:p w14:paraId="1F06782D"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inline distT="0" distB="0" distL="0" distR="0" wp14:anchorId="436B0B74" wp14:editId="7CA33907">
            <wp:extent cx="5117696" cy="2294467"/>
            <wp:effectExtent l="0" t="0" r="0" b="0"/>
            <wp:docPr id="63" name="Picture 6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rotWithShape="1">
                    <a:blip r:embed="rId81">
                      <a:extLst>
                        <a:ext uri="{28A0092B-C50C-407E-A947-70E740481C1C}">
                          <a14:useLocalDpi xmlns:a14="http://schemas.microsoft.com/office/drawing/2010/main" val="0"/>
                        </a:ext>
                      </a:extLst>
                    </a:blip>
                    <a:srcRect t="14052" b="17654"/>
                    <a:stretch/>
                  </pic:blipFill>
                  <pic:spPr bwMode="auto">
                    <a:xfrm>
                      <a:off x="0" y="0"/>
                      <a:ext cx="5140415" cy="2304653"/>
                    </a:xfrm>
                    <a:prstGeom prst="rect">
                      <a:avLst/>
                    </a:prstGeom>
                    <a:ln>
                      <a:noFill/>
                    </a:ln>
                    <a:extLst>
                      <a:ext uri="{53640926-AAD7-44D8-BBD7-CCE9431645EC}">
                        <a14:shadowObscured xmlns:a14="http://schemas.microsoft.com/office/drawing/2010/main"/>
                      </a:ext>
                    </a:extLst>
                  </pic:spPr>
                </pic:pic>
              </a:graphicData>
            </a:graphic>
          </wp:inline>
        </w:drawing>
      </w:r>
    </w:p>
    <w:p w14:paraId="563D106B" w14:textId="138260C6" w:rsidR="00E56D87" w:rsidRPr="005459E6" w:rsidRDefault="00E56D87" w:rsidP="00042CB0">
      <w:pPr>
        <w:pStyle w:val="Sommario1"/>
        <w:rPr>
          <w:rFonts w:ascii="Times New Roman" w:hAnsi="Times New Roman" w:cs="Times New Roman"/>
        </w:rPr>
      </w:pPr>
      <w:bookmarkStart w:id="457" w:name="_Toc73099157"/>
      <w:bookmarkStart w:id="458" w:name="_Toc73099513"/>
      <w:bookmarkStart w:id="459" w:name="_Toc96343324"/>
      <w:bookmarkStart w:id="460" w:name="_Toc99915999"/>
      <w:bookmarkStart w:id="461" w:name="_Toc104968816"/>
      <w:r w:rsidRPr="005459E6">
        <w:rPr>
          <w:rFonts w:ascii="Times New Roman" w:hAnsi="Times New Roman" w:cs="Times New Roman"/>
        </w:rPr>
        <w:t xml:space="preserve">Figure </w:t>
      </w:r>
      <w:r w:rsidR="00A07B59" w:rsidRPr="005459E6">
        <w:rPr>
          <w:rFonts w:ascii="Times New Roman" w:hAnsi="Times New Roman" w:cs="Times New Roman"/>
        </w:rPr>
        <w:fldChar w:fldCharType="begin"/>
      </w:r>
      <w:r w:rsidR="00A07B59" w:rsidRPr="005459E6">
        <w:rPr>
          <w:rFonts w:ascii="Times New Roman" w:hAnsi="Times New Roman" w:cs="Times New Roman"/>
        </w:rPr>
        <w:instrText xml:space="preserve"> SEQ Figure \* ARABIC </w:instrText>
      </w:r>
      <w:r w:rsidR="00A07B59" w:rsidRPr="005459E6">
        <w:rPr>
          <w:rFonts w:ascii="Times New Roman" w:hAnsi="Times New Roman" w:cs="Times New Roman"/>
        </w:rPr>
        <w:fldChar w:fldCharType="separate"/>
      </w:r>
      <w:r w:rsidR="006C645B">
        <w:rPr>
          <w:rFonts w:ascii="Times New Roman" w:hAnsi="Times New Roman" w:cs="Times New Roman"/>
          <w:noProof/>
        </w:rPr>
        <w:t>30</w:t>
      </w:r>
      <w:r w:rsidR="00A07B59" w:rsidRPr="005459E6">
        <w:rPr>
          <w:rFonts w:ascii="Times New Roman" w:hAnsi="Times New Roman" w:cs="Times New Roman"/>
          <w:noProof/>
        </w:rPr>
        <w:fldChar w:fldCharType="end"/>
      </w:r>
      <w:r w:rsidRPr="005459E6">
        <w:rPr>
          <w:rFonts w:ascii="Times New Roman" w:hAnsi="Times New Roman" w:cs="Times New Roman"/>
        </w:rPr>
        <w:t>: ML-based model summary report</w:t>
      </w:r>
      <w:bookmarkEnd w:id="457"/>
      <w:bookmarkEnd w:id="458"/>
      <w:bookmarkEnd w:id="459"/>
      <w:bookmarkEnd w:id="460"/>
      <w:r w:rsidRPr="005459E6">
        <w:rPr>
          <w:rFonts w:ascii="Times New Roman" w:hAnsi="Times New Roman" w:cs="Times New Roman"/>
        </w:rPr>
        <w:t>.</w:t>
      </w:r>
      <w:bookmarkEnd w:id="461"/>
    </w:p>
    <w:p w14:paraId="7FABA9F1"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62" w:name="_Toc99910315"/>
      <w:bookmarkStart w:id="463" w:name="_Toc99912137"/>
      <w:bookmarkStart w:id="464" w:name="_Toc107248336"/>
      <w:r w:rsidRPr="005459E6">
        <w:rPr>
          <w:rFonts w:ascii="Times New Roman" w:hAnsi="Times New Roman" w:cs="Times New Roman"/>
          <w:color w:val="auto"/>
          <w:sz w:val="22"/>
          <w:szCs w:val="22"/>
        </w:rPr>
        <w:t>State of mind</w:t>
      </w:r>
      <w:bookmarkEnd w:id="462"/>
      <w:bookmarkEnd w:id="463"/>
      <w:bookmarkEnd w:id="464"/>
    </w:p>
    <w:p w14:paraId="77A370EB" w14:textId="1C458D20"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observation shows that every emotion (such as Relaxation and Excitement) in the study was associated with brainwaves. The holistic consideration of the state of mind could support Therapists (mold the human brain or make it more receptive) to achieve minimal stress. THETA and BETA (HIGH) frequencies were observed inversely, demonstrating a clear distinction between a meditative state and </w:t>
      </w:r>
      <w:r w:rsidR="000A06A3" w:rsidRPr="005459E6">
        <w:rPr>
          <w:rFonts w:ascii="Times New Roman" w:hAnsi="Times New Roman" w:cs="Times New Roman"/>
        </w:rPr>
        <w:t xml:space="preserve">a </w:t>
      </w:r>
      <w:r w:rsidRPr="005459E6">
        <w:rPr>
          <w:rFonts w:ascii="Times New Roman" w:hAnsi="Times New Roman" w:cs="Times New Roman"/>
        </w:rPr>
        <w:t xml:space="preserve">focused state of mind. THETA and ALPHA frequencies were highly correlated, indicating that a creative thought process is supported by a relaxed state of mind.  </w:t>
      </w:r>
    </w:p>
    <w:p w14:paraId="542FD6A4"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evidence of Anxiety and Stress could be co-related with GAMMA frequencies where an individual remains in fight or flight Mode (with minimal relaxation). It also indicates that apart from ‘Stress,’ research also needs to consider “Relaxation” as a significant factor. When the interventions were applied, associated actors worked differently for different people. An individual can utilize interventions for various forms of resource integration. It appears to be a complicated process that results in a certain degree of “Relaxation” and “Stress” to achieve peak mental performance. However, there were a few cases that have been found to have appeared (constantly) under stress. This is not because of strenuous situations but due to a lack of relaxation activities. </w:t>
      </w:r>
    </w:p>
    <w:p w14:paraId="4A4A2160" w14:textId="1A07649F"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anchor distT="0" distB="0" distL="114300" distR="114300" simplePos="0" relativeHeight="251657728" behindDoc="1" locked="0" layoutInCell="1" allowOverlap="1" wp14:anchorId="1CCFC438" wp14:editId="7ADC0832">
            <wp:simplePos x="0" y="0"/>
            <wp:positionH relativeFrom="margin">
              <wp:align>left</wp:align>
            </wp:positionH>
            <wp:positionV relativeFrom="paragraph">
              <wp:posOffset>491490</wp:posOffset>
            </wp:positionV>
            <wp:extent cx="3865880" cy="2338705"/>
            <wp:effectExtent l="0" t="0" r="1270" b="4445"/>
            <wp:wrapTight wrapText="bothSides">
              <wp:wrapPolygon edited="0">
                <wp:start x="0" y="0"/>
                <wp:lineTo x="0" y="21465"/>
                <wp:lineTo x="21501" y="21465"/>
                <wp:lineTo x="21501"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l="5595" t="15795" r="7330" b="15655"/>
                    <a:stretch/>
                  </pic:blipFill>
                  <pic:spPr bwMode="auto">
                    <a:xfrm>
                      <a:off x="0" y="0"/>
                      <a:ext cx="3865880" cy="233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9E6">
        <w:rPr>
          <w:rFonts w:ascii="Times New Roman" w:hAnsi="Times New Roman" w:cs="Times New Roman"/>
        </w:rPr>
        <w:t>That said, the brain in neuroscience is a complex territory, and there are millions of brainwaves that are generated every minute; hence, it could get very much difficult to follow the Stress levels. Also, for every individual, the pattern of stress management is different. Instead, a more appraised strategy is to look at emotional states in a holistic manner (comparing Stress with Interest</w:t>
      </w:r>
      <w:r w:rsidR="00E72DF3">
        <w:rPr>
          <w:rFonts w:ascii="Times New Roman" w:hAnsi="Times New Roman" w:cs="Times New Roman"/>
        </w:rPr>
        <w:t>,</w:t>
      </w:r>
      <w:r w:rsidRPr="005459E6">
        <w:rPr>
          <w:rFonts w:ascii="Times New Roman" w:hAnsi="Times New Roman" w:cs="Times New Roman"/>
        </w:rPr>
        <w:t xml:space="preserve"> or Relaxation</w:t>
      </w:r>
      <w:r w:rsidR="00E72DF3">
        <w:rPr>
          <w:rFonts w:ascii="Times New Roman" w:hAnsi="Times New Roman" w:cs="Times New Roman"/>
        </w:rPr>
        <w:t>,</w:t>
      </w:r>
      <w:r w:rsidRPr="005459E6">
        <w:rPr>
          <w:rFonts w:ascii="Times New Roman" w:hAnsi="Times New Roman" w:cs="Times New Roman"/>
        </w:rPr>
        <w:t xml:space="preserve"> or Excitement levels). Psychosomatic health reflects a lucid state of mind that can be achieved by optimizing Stress levels in the body. </w:t>
      </w:r>
    </w:p>
    <w:p w14:paraId="18EF4AE0" w14:textId="10371428" w:rsidR="00E56D87" w:rsidRPr="005459E6" w:rsidRDefault="00E56D87" w:rsidP="00042CB0">
      <w:pPr>
        <w:pStyle w:val="Didascalia"/>
        <w:spacing w:line="360" w:lineRule="auto"/>
        <w:jc w:val="both"/>
        <w:rPr>
          <w:rFonts w:ascii="Times New Roman" w:hAnsi="Times New Roman" w:cs="Times New Roman"/>
          <w:i w:val="0"/>
          <w:iCs w:val="0"/>
          <w:strike/>
          <w:color w:val="auto"/>
          <w:sz w:val="22"/>
          <w:szCs w:val="22"/>
        </w:rPr>
      </w:pPr>
      <w:bookmarkStart w:id="465" w:name="_Toc96343325"/>
      <w:bookmarkStart w:id="466" w:name="_Toc99916000"/>
      <w:bookmarkStart w:id="467" w:name="_Toc104968817"/>
      <w:r w:rsidRPr="005459E6">
        <w:rPr>
          <w:rFonts w:ascii="Times New Roman" w:hAnsi="Times New Roman" w:cs="Times New Roman"/>
          <w:i w:val="0"/>
          <w:iCs w:val="0"/>
          <w:color w:val="auto"/>
          <w:sz w:val="22"/>
          <w:szCs w:val="22"/>
        </w:rPr>
        <w:t xml:space="preserve">Figure </w:t>
      </w:r>
      <w:r w:rsidRPr="005459E6">
        <w:rPr>
          <w:rFonts w:ascii="Times New Roman" w:hAnsi="Times New Roman" w:cs="Times New Roman"/>
          <w:i w:val="0"/>
          <w:iCs w:val="0"/>
          <w:color w:val="auto"/>
          <w:sz w:val="22"/>
          <w:szCs w:val="22"/>
        </w:rPr>
        <w:fldChar w:fldCharType="begin"/>
      </w:r>
      <w:r w:rsidRPr="005459E6">
        <w:rPr>
          <w:rFonts w:ascii="Times New Roman" w:hAnsi="Times New Roman" w:cs="Times New Roman"/>
          <w:i w:val="0"/>
          <w:iCs w:val="0"/>
          <w:color w:val="auto"/>
          <w:sz w:val="22"/>
          <w:szCs w:val="22"/>
        </w:rPr>
        <w:instrText xml:space="preserve"> SEQ Figure \* ARABIC </w:instrText>
      </w:r>
      <w:r w:rsidRPr="005459E6">
        <w:rPr>
          <w:rFonts w:ascii="Times New Roman" w:hAnsi="Times New Roman" w:cs="Times New Roman"/>
          <w:i w:val="0"/>
          <w:iCs w:val="0"/>
          <w:color w:val="auto"/>
          <w:sz w:val="22"/>
          <w:szCs w:val="22"/>
        </w:rPr>
        <w:fldChar w:fldCharType="separate"/>
      </w:r>
      <w:r w:rsidR="006C645B">
        <w:rPr>
          <w:rFonts w:ascii="Times New Roman" w:hAnsi="Times New Roman" w:cs="Times New Roman"/>
          <w:i w:val="0"/>
          <w:iCs w:val="0"/>
          <w:noProof/>
          <w:color w:val="auto"/>
          <w:sz w:val="22"/>
          <w:szCs w:val="22"/>
        </w:rPr>
        <w:t>31</w:t>
      </w:r>
      <w:r w:rsidRPr="005459E6">
        <w:rPr>
          <w:rFonts w:ascii="Times New Roman" w:hAnsi="Times New Roman" w:cs="Times New Roman"/>
          <w:i w:val="0"/>
          <w:iCs w:val="0"/>
          <w:color w:val="auto"/>
          <w:sz w:val="22"/>
          <w:szCs w:val="22"/>
        </w:rPr>
        <w:fldChar w:fldCharType="end"/>
      </w:r>
      <w:r w:rsidRPr="005459E6">
        <w:rPr>
          <w:rFonts w:ascii="Times New Roman" w:hAnsi="Times New Roman" w:cs="Times New Roman"/>
          <w:i w:val="0"/>
          <w:iCs w:val="0"/>
          <w:color w:val="auto"/>
          <w:sz w:val="22"/>
          <w:szCs w:val="22"/>
        </w:rPr>
        <w:t xml:space="preserve">: Yerkes–Dodson law bell </w:t>
      </w:r>
      <w:bookmarkEnd w:id="465"/>
      <w:bookmarkEnd w:id="466"/>
      <w:r w:rsidRPr="005459E6">
        <w:rPr>
          <w:rFonts w:ascii="Times New Roman" w:hAnsi="Times New Roman" w:cs="Times New Roman"/>
          <w:i w:val="0"/>
          <w:iCs w:val="0"/>
          <w:color w:val="auto"/>
          <w:sz w:val="22"/>
          <w:szCs w:val="22"/>
        </w:rPr>
        <w:t>curve.</w:t>
      </w:r>
      <w:bookmarkEnd w:id="467"/>
    </w:p>
    <w:p w14:paraId="2F18358A" w14:textId="1623DDE5"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As established in psychological theory by </w:t>
      </w:r>
      <w:r w:rsidRPr="005459E6">
        <w:rPr>
          <w:rFonts w:ascii="Times New Roman" w:hAnsi="Times New Roman" w:cs="Times New Roman"/>
        </w:rPr>
        <w:fldChar w:fldCharType="begin" w:fldLock="1"/>
      </w:r>
      <w:r w:rsidR="009E2F4C" w:rsidRPr="005459E6">
        <w:rPr>
          <w:rFonts w:ascii="Times New Roman" w:hAnsi="Times New Roman" w:cs="Times New Roman"/>
        </w:rPr>
        <w:instrText>ADDIN CSL_CITATION {"citationItems":[{"id":"ITEM-1","itemData":{"DOI":"https://doi.org/10.1002/cne.920180503","ISSN":"0092-7015","author":[{"dropping-particle":"","family":"Yerkes","given":"Robert M","non-dropping-particle":"","parse-names":false,"suffix":""},{"dropping-particle":"","family":"Dodson","given":"John D","non-dropping-particle":"","parse-names":false,"suffix":""}],"container-title":"Journal of Comparative Neurology and Psychology","id":"ITEM-1","issue":"5","issued":{"date-parts":[["1908","11","1"]]},"note":"https://doi.org/10.1002/cne.920180503","page":"459-482","publisher":"John Wiley &amp; Sons, Ltd","title":"The relation of strength of stimulus to rapidity of habit-formation","type":"article-journal","volume":"18"},"uris":["http://www.mendeley.com/documents/?uuid=a25f20cd-4579-4203-ba03-a6247f927e00"]}],"mendeley":{"formattedCitation":"(Yerkes &amp; Dodson, 1908)","manualFormatting":"Yerkes &amp; Dodson (1908)","plainTextFormattedCitation":"(Yerkes &amp; Dodson, 1908)","previouslyFormattedCitation":"(Yerkes &amp; Dodson, 1908)"},"properties":{"noteIndex":0},"schema":"https://github.com/citation-style-language/schema/raw/master/csl-citation.json"}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Yerkes &amp; Dodson (1908)</w:t>
      </w:r>
      <w:r w:rsidRPr="005459E6">
        <w:rPr>
          <w:rFonts w:ascii="Times New Roman" w:hAnsi="Times New Roman" w:cs="Times New Roman"/>
        </w:rPr>
        <w:fldChar w:fldCharType="end"/>
      </w:r>
      <w:r w:rsidRPr="005459E6">
        <w:rPr>
          <w:rFonts w:ascii="Times New Roman" w:hAnsi="Times New Roman" w:cs="Times New Roman"/>
        </w:rPr>
        <w:t xml:space="preserve">, this self-tracking and nudging (refer to </w:t>
      </w:r>
      <w:r w:rsidRPr="005459E6">
        <w:rPr>
          <w:rFonts w:ascii="Times New Roman" w:hAnsi="Times New Roman" w:cs="Times New Roman"/>
          <w:b/>
          <w:bCs/>
        </w:rPr>
        <w:t>Figure 31</w:t>
      </w:r>
      <w:r w:rsidRPr="005459E6">
        <w:rPr>
          <w:rFonts w:ascii="Times New Roman" w:hAnsi="Times New Roman" w:cs="Times New Roman"/>
        </w:rPr>
        <w:t xml:space="preserve">) can support an individual in attaining the level of Stress that leads to optimal performance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{"citationItems":[{"id":"ITEM-1","itemData":{"ISSN":"0959-3543","author":[{"dropping-particle":"","family":"Teigen","given":"Karl Halvor","non-dropping-particle":"","parse-names":false,"suffix":""}],"container-title":"Theory &amp; Psychology","id":"ITEM-1","issue":"4","issued":{"date-parts":[["1994"]]},"page":"525-547","publisher":"Sage Publications Sage CA: Thousand Oaks, CA","title":"Yerkes-Dodson: A law for all seasons","type":"article-journal","volume":"4"},"uris":["http://www.mendeley.com/documents/?uuid=8ddab495-f52d-429c-9aea-98a492fac47c"]}],"mendeley":{"formattedCitation":"(Teigen, 1994)","plainTextFormattedCitation":"(Teigen, 1994)","previouslyFormattedCitation":"(Teigen, 1994)"},"properties":{"noteIndex":0},"schema":"https://github.com/citation-style-language/schema/raw/master/csl-citation.json"}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(Teigen, 1994)</w:t>
      </w:r>
      <w:r w:rsidRPr="005459E6">
        <w:rPr>
          <w:rFonts w:ascii="Times New Roman" w:hAnsi="Times New Roman" w:cs="Times New Roman"/>
        </w:rPr>
        <w:fldChar w:fldCharType="end"/>
      </w:r>
      <w:r w:rsidRPr="005459E6">
        <w:rPr>
          <w:rFonts w:ascii="Times New Roman" w:hAnsi="Times New Roman" w:cs="Times New Roman"/>
        </w:rPr>
        <w:t>. The BCI device and the ML model created in the study can make an individual understand when they are reaching unproductive territory.</w:t>
      </w:r>
    </w:p>
    <w:p w14:paraId="4ECAB185"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68" w:name="_Toc99910316"/>
      <w:bookmarkStart w:id="469" w:name="_Toc99912138"/>
      <w:bookmarkStart w:id="470" w:name="_Toc107248337"/>
      <w:r w:rsidRPr="005459E6">
        <w:rPr>
          <w:rFonts w:ascii="Times New Roman" w:hAnsi="Times New Roman" w:cs="Times New Roman"/>
          <w:color w:val="auto"/>
          <w:sz w:val="22"/>
          <w:szCs w:val="22"/>
        </w:rPr>
        <w:t>Well-being with Technology</w:t>
      </w:r>
      <w:bookmarkEnd w:id="468"/>
      <w:bookmarkEnd w:id="469"/>
      <w:bookmarkEnd w:id="470"/>
    </w:p>
    <w:p w14:paraId="0451496B" w14:textId="137E58E7" w:rsidR="0035347A" w:rsidRPr="005459E6" w:rsidRDefault="0035347A" w:rsidP="00042CB0">
      <w:pPr>
        <w:spacing w:line="360" w:lineRule="auto"/>
        <w:jc w:val="both"/>
        <w:rPr>
          <w:rFonts w:ascii="Times New Roman" w:hAnsi="Times New Roman" w:cs="Times New Roman"/>
        </w:rPr>
      </w:pPr>
      <w:r w:rsidRPr="005459E6">
        <w:rPr>
          <w:rFonts w:ascii="Times New Roman" w:hAnsi="Times New Roman" w:cs="Times New Roman"/>
        </w:rPr>
        <w:t xml:space="preserve">The study focused on psychological health as a key predictor of well-being, which can include ‘positive affect' across all life domains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{"citationItems":[{"id":"ITEM-1","itemData":{"ISSN":"0066-4308","author":[{"dropping-particle":"","family":"Pressman","given":"Sarah D","non-dropping-particle":"","parse-names":false,"suffix":""},{"dropping-particle":"","family":"Jenkins","given":"Brooke N","non-dropping-particle":"","parse-names":false,"suffix":""},{"dropping-particle":"","family":"Moskowitz","given":"Judith T","non-dropping-particle":"","parse-names":false,"suffix":""}],"container-title":"Annual Review of Psychology","id":"ITEM-1","issued":{"date-parts":[["2019"]]},"page":"627-650","publisher":"Annual Reviews","title":"Positive affect and health: what do we know and where next should we go?","type":"article-journal","volume":"70"},"uris":["http://www.mendeley.com/documents/?uuid=95e71a10-1cb6-4029-8042-017b8b61558a"]}],"mendeley":{"formattedCitation":"(Pressman et al., 2019)","plainTextFormattedCitation":"(Pressman et al., 2019)","previouslyFormattedCitation":"(Pressman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(Pressman et al., 2019)</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005D2728">
        <w:rPr>
          <w:rFonts w:ascii="Times New Roman" w:hAnsi="Times New Roman" w:cs="Times New Roman"/>
        </w:rPr>
        <w:instrText>ADDIN CSL_CITATION {"citationItems":[{"id":"ITEM-1","itemData":{"DOI":"10.1007/s11205-009-9493-y","ISSN":"03038300","abstract":"Measures of well-being were created to assess psychological flourishing and feelings-positive feelings, negative feelings, and the difference between the two. The scales were evaluated in a sample of 689 college students from six locations. The Flourishing Scale is a brief 8-item summary measure of the respondent's self-perceived success in important areas such as relationships, self-esteem, purpose, and optimism. The scale provides a single psychological well-being score. The measure has good psychometric properties, and is strongly associated with other psychological well-being scales. The Scale of Positive and Negative Experience produces a score for positive feelings (6 items), a score for negative feelings (6 items), and the two can be combined to create a balance score. This 12-item brief scale has a number of desirable features compared to earlier measures of positive and negative emotions. In particular, the scale assesses with a few items a broad range of negative and positive experiences and feelings, not just those of a certain type, and is based on the amount of time the feelings were experienced during the past 4 weeks. The scale converges well with measures of emotions and affective well-being. © 2009 Springer Science+Business Media B.V.","author":[{"dropping-particle":"","family":"Diener","given":"Ed","non-dropping-particle":"","parse-names":false,"suffix":""},{"dropping-particle":"","family":"Wirtz","given":"Derrick","non-dropping-particle":"","parse-names":false,"suffix":""},{"dropping-particle":"","family":"Tov","given":"William","non-dropping-particle":"","parse-names":false,"suffix":""},{"dropping-particle":"","family":"Kim-Prieto","given":"Chu","non-dropping-particle":"","parse-names":false,"suffix":""},{"dropping-particle":"","family":"Choi","given":"Dong won","non-dropping-particle":"","parse-names":false,"suffix":""},{"dropping-particle":"","family":"Oishi","given":"Shigehiro","non-dropping-particle":"","parse-names":false,"suffix":""},{"dropping-particle":"","family":"Biswas-Diener","given":"Robert","non-dropping-particle":"","parse-names":false,"suffix":""}],"container-title":"Social Indicators Research","id":"ITEM-1","issue":"2","issued":{"date-parts":[["2010"]]},"page":"143-156","title":"New well-being measures: Short scales to assess flourishing and positive and negative feelings","type":"article-journal","volume":"97"},"uris":["http://www.mendeley.com/documents/?uuid=84971c78-4521-4791-8daa-1e18b5f952d0"]}],"mendeley":{"formattedCitation":"(Diener et al., 2010)","manualFormatting":"Diener et al. (2010)","plainTextFormattedCitation":"(Diener et al., 2010)","previouslyFormattedCitation":"(Diener et al.,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 xml:space="preserve">Diener et al. </w:t>
      </w:r>
      <w:r w:rsidR="00A72CD7" w:rsidRPr="005459E6">
        <w:rPr>
          <w:rFonts w:ascii="Times New Roman" w:hAnsi="Times New Roman" w:cs="Times New Roman"/>
          <w:noProof/>
        </w:rPr>
        <w:t>(</w:t>
      </w:r>
      <w:r w:rsidRPr="005459E6">
        <w:rPr>
          <w:rFonts w:ascii="Times New Roman" w:hAnsi="Times New Roman" w:cs="Times New Roman"/>
          <w:noProof/>
        </w:rPr>
        <w:t>2010)</w:t>
      </w:r>
      <w:r w:rsidRPr="005459E6">
        <w:rPr>
          <w:rFonts w:ascii="Times New Roman" w:hAnsi="Times New Roman" w:cs="Times New Roman"/>
        </w:rPr>
        <w:fldChar w:fldCharType="end"/>
      </w:r>
      <w:r w:rsidRPr="005459E6">
        <w:rPr>
          <w:rFonts w:ascii="Times New Roman" w:hAnsi="Times New Roman" w:cs="Times New Roman"/>
        </w:rPr>
        <w:t xml:space="preserve"> created well-being measures to assess psychological health by taking into account positive and negative feelings, as well as the difference between the two. Happiness, joy, cheerfulness, and excitement are frequently included in studies to evaluate their positive impact on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policy","type":"article-journal","volume":"19"},"uris":["http://www.mendeley.com/documents/?uuid=dc661d3f-5659-4ad6-adc4-3f5d1ebda0c6"]}],"mendeley":{"formattedCitation":"(Trudel-Fitzgerald et al., 2019)","plainTextFormattedCitation":"(Trudel-Fitzgerald et al., 2019)","previouslyFormattedCitation":"(Trudel-Fitzgerald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(Trudel-Fitzgerald et al., 2019)</w:t>
      </w:r>
      <w:r w:rsidRPr="005459E6">
        <w:rPr>
          <w:rFonts w:ascii="Times New Roman" w:hAnsi="Times New Roman" w:cs="Times New Roman"/>
        </w:rPr>
        <w:fldChar w:fldCharType="end"/>
      </w:r>
      <w:r w:rsidRPr="005459E6">
        <w:rPr>
          <w:rFonts w:ascii="Times New Roman" w:hAnsi="Times New Roman" w:cs="Times New Roman"/>
        </w:rPr>
        <w:t xml:space="preserve">. Positive affect and other psychological well-being indicators can be used to operationalize psychological well-being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{"citationItems":[{"id":"ITEM-1","itemData":{"DOI":"10.1037/a0027448","ISBN":"1939-1455(Electronic),0033-2909(Print)","abstract":"This review investigates the association between positive psychological well-being (PPWB) and cardiovascular disease (CVD). We also consider the mechanisms by which PPWB may be linked with CVD, focusing on the health behaviors (e.g., smoking, alcohol consumption, physical activity, sleep quality and quantity, and food consumption) and biological functions (e.g., cardiovascular, inflammatory, and metabolic processes) that are most relevant for cardiovascular health. Because PPWB is a broad concept, not all aspects of PPWB may be associated with cardiovascular health. Thus, we distinguish between eudaimonic well-being, hedonic well-being, optimism, and other measures of well-being when reviewing the literature. Findings suggest that PPWB protects consistently against CVD, independently of traditional risk factors and ill-being. Specifically, optimism is most robustly associated with a reduced risk of cardiovascular events. In general, PPWB is also positively associated with restorative health behaviors and biological function and inversely associated with deteriorative health behaviors and biological function. Cardiovascular health is more consistently associated with optimism and hedonic well-being than with eudaimonic well-being, although this could be due in part to more limited evidence being available concerning eudaimonic well-being. Some similarities were also evident across different measures of PPWB, which is likely due to measurement overlap. A theoretical context for this research is provided, and suggestions for future research are given, including the need for additional prospective investigations and research that includes multiple constructs of psychological well-being and ill-being. (PsycInfo Database Record (c) 2020 APA, all rights reserved)","author":[{"dropping-particle":"","family":"Boehm","given":"Julia K","non-dropping-particle":"","parse-names":false,"suffix":""},{"dropping-particle":"","family":"Kubzansky","given":"Laura D","non-dropping-particle":"","parse-names":false,"suffix":""}],"container-title":"Psychological Bulletin","id":"ITEM-1","issue":"4","issued":{"date-parts":[["2012"]]},"page":"655-691","publisher":"American Psychological Association","publisher-place":"Boehm, Julia K.: Department of Society, Human Development, and Health, Harvard School of Public Health, Landmark Center, Room 428A, 401 Park Drive, Boston, MA, US, 02215, jboehm@hsph.harvard.edu","title":"The heart's content: The association between positive psychological well-being and cardiovascular health.","type":"article","volume":"138"},"uris":["http://www.mendeley.com/documents/?uuid=f1806af5-fc76-4d70-a74f-38b17b9beb4f"]},{"id":"ITEM-2","itemData":{"DOI":"10.1098/rstb.2004.1521","ISSN":"09628436","PMID":"15347530","abstract":"Two key types of well-being, eudaimonic and hedonic, are reviewed. The first addresses ideas of self-development, personal growth and purposeful engagement, while the second is concerned with positive feelings such as happiness and contentment. How well-being varies by age and socio-economic standing is briefly summarized, followed by examination of its biological correlates (neuroendocrine, immune, cardiovascular, rapid eye movement (REM) sleep). Preliminary findings on a sample of ageing women showed that those with higher levels of eudaimonic well-being had lower levels of daily salivary cortisol, pro-inflammatory cytokines, cardiovascular risk, and longer duration REM sleep compared with those showing lower levels of eudaimonic well-being. Hedonic well-being, however, showed minimal linkage to biomarker assessments. Future research directions building on these initial findings are discussed.","author":[{"dropping-particle":"","family":"Ryff","given":"Carol D.","non-dropping-particle":"","parse-names":false,"suffix":""},{"dropping-particle":"","family":"Singer","given":"Burton H.","non-dropping-particle":"","parse-names":false,"suffix":""},{"dropping-particle":"","family":"Love","given":"Gayle Dienberg","non-dropping-particle":"","parse-names":false,"suffix":""}],"container-title":"Philosophical Transactions of the Royal Society B: Biological Sciences","id":"ITEM-2","issue":"1449","issued":{"date-parts":[["2004"]]},"page":"1383-1394","title":"Positive health: Connecting well-being with biology","type":"article-journal","volume":"359"},"uris":["http://www.mendeley.com/documents/?uuid=c90fab42-1814-43e9-af54-dc5aa92fa09a"]}],"mendeley":{"formattedCitation":"(Boehm &amp; Kubzansky, 2012; Ryff et al., 2004)","plainTextFormattedCitation":"(Boehm &amp; Kubzansky, 2012; Ryff et al., 2004)","previouslyFormattedCitation":"(Boehm &amp; Kubzansky, 2012; Ryff et al.,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(Boehm &amp; Kubzansky, 2012; Ryff et al., 2004)</w:t>
      </w:r>
      <w:r w:rsidRPr="005459E6">
        <w:rPr>
          <w:rFonts w:ascii="Times New Roman" w:hAnsi="Times New Roman" w:cs="Times New Roman"/>
        </w:rPr>
        <w:fldChar w:fldCharType="end"/>
      </w:r>
      <w:r w:rsidRPr="005459E6">
        <w:rPr>
          <w:rFonts w:ascii="Times New Roman" w:hAnsi="Times New Roman" w:cs="Times New Roman"/>
        </w:rPr>
        <w:t xml:space="preserve">. Based on psychological correlations of positive emotions that influence well-being, this study draws from, a conceptual framework of well-being by </w:t>
      </w:r>
      <w:r w:rsidRPr="005459E6">
        <w:rPr>
          <w:rFonts w:ascii="Times New Roman" w:hAnsi="Times New Roman" w:cs="Times New Roman"/>
        </w:rPr>
        <w:fldChar w:fldCharType="begin" w:fldLock="1"/>
      </w:r>
      <w:r w:rsidR="005D2728">
        <w:rPr>
          <w:rFonts w:ascii="Times New Roman" w:hAnsi="Times New Roman" w:cs="Times New Roman"/>
        </w:rPr>
        <w:instrText>ADDIN CSL_CITATION {"citationItems":[{"id":"ITEM-1","itemData":{"DOI":"10.1016/j.neubiorev.2020.12.002","ISSN":"18737528","PMID":"33307046","abstract":"This review paper provides an integrative account regarding neurophysiological correlates of positive emotions and affect that cumulatively contribute to the scaffolding for happiness and wellbeing in humans and other animals. This paper reviews the associations among neurotransmitters, hormones, brain networks, and cognitive functions in the context of positive emotions and affect. Consideration of lifespan developmental perspectives are incorporated, and we also examine the impact of healthy social relationships and environmental contexts on the modulation of positive emotions and affect. The neurophysiological processes that implement positive emotions are dynamic and modifiable, and meditative practices as well as flow states that change patterns of brain function and ultimately support wellbeing are also discussed. This review is part of “The Human Affectome Project” (http://neuroqualia.org/background.php), and in order to advance a primary aim of the Human Affectome Project, we also reviewed relevant linguistic dimensions and terminology that characterizes positive emotions and wellbeing. These linguistic dimensions are discussed within the context of the neuroscience literature with the overarching goal of generating novel recommendations for advancing neuroscience research on positive emotions and wellbeing.","author":[{"dropping-particle":"","family":"Alexander","given":"Rebecca","non-dropping-particle":"","parse-names":false,"suffix":""},{"dropping-particle":"","family":"Aragón","given":"Oriana R.","non-dropping-particle":"","parse-names":false,"suffix":""},{"dropping-particle":"","family":"Bookwala","given":"Jamila","non-dropping-particle":"","parse-names":false,"suffix":""},{"dropping-particle":"","family":"Cherbuin","given":"Nicolas","non-dropping-particle":"","parse-names":false,"suffix":""},{"dropping-particle":"","family":"Gatt","given":"Justine M.","non-dropping-particle":"","parse-names":false,"suffix":""},{"dropping-particle":"","family":"Kahrilas","given":"Ian J.","non-dropping-particle":"","parse-names":false,"suffix":""},{"dropping-particle":"","family":"Kästner","given":"Niklas","non-dropping-particle":"","parse-names":false,"suffix":""},{"dropping-particle":"","family":"Lawrence","given":"Alistair","non-dropping-particle":"","parse-names":false,"suffix":""},{"dropping-particle":"","family":"Lowe","given":"Leroy","non-dropping-particle":"","parse-names":false,"suffix":""},{"dropping-particle":"","family":"Morrison","given":"Robert G.","non-dropping-particle":"","parse-names":false,"suffix":""},{"dropping-particle":"","family":"Mueller","given":"Sven C.","non-dropping-particle":"","parse-names":false,"suffix":""},{"dropping-particle":"","family":"Nusslock","given":"Robin","non-dropping-particle":"","parse-names":false,"suffix":""},{"dropping-particle":"","family":"Papadelis","given":"Christos","non-dropping-particle":"","parse-names":false,"suffix":""},{"dropping-particle":"","family":"Polnaszek","given":"Kelly L.","non-dropping-particle":"","parse-names":false,"suffix":""},{"dropping-particle":"","family":"Helene Richter","given":"S.","non-dropping-particle":"","parse-names":false,"suffix":""},{"dropping-particle":"","family":"Silton","given":"Rebecca L.","non-dropping-particle":"","parse-names":false,"suffix":""},{"dropping-particle":"","family":"Styliadis","given":"Charis","non-dropping-particle":"","parse-names":false,"suffix":""}],"container-title":"Neuroscience and Biobehavioral Reviews","id":"ITEM-1","issued":{"date-parts":[["2021"]]},"page":"220-249","title":"The neuroscience of positive emotions and affect: Implications for cultivating happiness and wellbeing","type":"article-journal","volume":"121"},"uris":["http://www.mendeley.com/documents/?uuid=0fd8d3e9-7810-4ab5-8976-f84e53c6bda8"]}],"mendeley":{"formattedCitation":"(Alexander et al., 2021)","manualFormatting":"Alexander et al. (2021)","plainTextFormattedCitation":"(Alexander et al., 2021)","previouslyFormattedCitation":"(Alexander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Alexander et al.</w:t>
      </w:r>
      <w:r w:rsidR="00B93ABF" w:rsidRPr="005459E6">
        <w:rPr>
          <w:rFonts w:ascii="Times New Roman" w:hAnsi="Times New Roman" w:cs="Times New Roman"/>
          <w:noProof/>
        </w:rPr>
        <w:t xml:space="preserve"> (</w:t>
      </w:r>
      <w:r w:rsidRPr="005459E6">
        <w:rPr>
          <w:rFonts w:ascii="Times New Roman" w:hAnsi="Times New Roman" w:cs="Times New Roman"/>
          <w:noProof/>
        </w:rPr>
        <w:t>2021)</w:t>
      </w:r>
      <w:r w:rsidRPr="005459E6">
        <w:rPr>
          <w:rFonts w:ascii="Times New Roman" w:hAnsi="Times New Roman" w:cs="Times New Roman"/>
        </w:rPr>
        <w:fldChar w:fldCharType="end"/>
      </w:r>
      <w:r w:rsidRPr="005459E6">
        <w:rPr>
          <w:rFonts w:ascii="Times New Roman" w:hAnsi="Times New Roman" w:cs="Times New Roman"/>
        </w:rPr>
        <w:t xml:space="preserve">. Given the importance of psychosomatic health, the research presented here provides a transdisciplinary approach to addressing questions about psychological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{"citationItems":[{"id":"ITEM-1","itemData":{"DOI":"10.1016/j.ijinfomgt.2017.08.002","ISSN":"02684012","abstract":"Social media provide a platform for users to express their opinions and share information. Understanding public health opinions on social media, such as Twitter, offers a unique approach to characterizing common health issues such as diabetes, diet, exercise, and obesity (DDEO); however, collecting and analyzing a large scale conversational public health data set is a challenging research task. The goal of this research is to analyze the characteristics of the general public's opinions in regard to diabetes, diet, exercise and obesity (DDEO) as expressed on Twitter. A multi-component semantic and linguistic framework was developed to collect Twitter data, discover topics of interest about DDEO, and analyze the topics. From the extracted 4.5 million tweets, 8% of tweets discussed diabetes, 23.7% diet, 16.6% exercise, and 51.7% obesity. The strongest correlation among the topics was determined between exercise and obesity (p &lt;.0002). Other notable correlations were: diabetes and obesity (p &lt;.0005), and diet and obesity (p &lt;.001). DDEO terms were also identified as subtopics of each of the DDEO topics. The frequent subtopics discussed along with “Diabetes”, excluding the DDEO terms themselves, were blood pressure, heart attack, yoga, and Alzheimer. The non-DDEO subtopics for “Diet” included vegetarian, pregnancy, celebrities, weight loss, religious, and mental health, while subtopics for “Exercise” included computer games, brain, fitness, and daily plan. Non-DDEO subtopics for “Obesity” included Alzheimer, cancer, and children. With 2.67 billion social media users in 2016, publicly available data such as Twitter posts can be utilized to support clinical providers, public health experts, and social scientists in better understanding common public opinions in regard to diabetes, diet, exercise, and obesity.","author":[{"dropping-particle":"","family":"Karami","given":"Amir","non-dropping-particle":"","parse-names":false,"suffix":""},{"dropping-particle":"","family":"Dahl","given":"Alicia A.","non-dropping-particle":"","parse-names":false,"suffix":""},{"dropping-particle":"","family":"Turner-McGrievy","given":"Gabrielle","non-dropping-particle":"","parse-names":false,"suffix":""},{"dropping-particle":"","family":"Kharrazi","given":"Hadi","non-dropping-particle":"","parse-names":false,"suffix":""},{"dropping-particle":"","family":"Shaw","given":"George","non-dropping-particle":"","parse-names":false,"suffix":""}],"container-title":"International Journal of Information Management","id":"ITEM-1","issue":"1","issued":{"date-parts":[["2018"]]},"page":"1-6","publisher":"Elsevier","title":"Characterizing diabetes, diet, exercise, and obesity comments on Twitter","type":"article-journal","volume":"38"},"uris":["http://www.mendeley.com/documents/?uuid=3d1b47f1-7410-4c25-b66a-420f8a8f1a05"]}],"mendeley":{"formattedCitation":"(Karami et al., 2018)","plainTextFormattedCitation":"(Karami et al., 2018)","previouslyFormattedCitation":"(Karami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(Karami et al., 2018)</w:t>
      </w:r>
      <w:r w:rsidRPr="005459E6">
        <w:rPr>
          <w:rFonts w:ascii="Times New Roman" w:hAnsi="Times New Roman" w:cs="Times New Roman"/>
        </w:rPr>
        <w:fldChar w:fldCharType="end"/>
      </w:r>
      <w:r w:rsidRPr="005459E6">
        <w:rPr>
          <w:rFonts w:ascii="Times New Roman" w:hAnsi="Times New Roman" w:cs="Times New Roman"/>
        </w:rPr>
        <w:t>.</w:t>
      </w:r>
    </w:p>
    <w:p w14:paraId="641BB599" w14:textId="725D3853"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lang w:val="en-IN"/>
        </w:rPr>
        <w:t xml:space="preserve">The observations </w:t>
      </w:r>
      <w:r w:rsidR="00BA512A" w:rsidRPr="005459E6">
        <w:rPr>
          <w:rFonts w:ascii="Times New Roman" w:hAnsi="Times New Roman" w:cs="Times New Roman"/>
          <w:lang w:val="en-IN"/>
        </w:rPr>
        <w:t xml:space="preserve">made in the study </w:t>
      </w:r>
      <w:r w:rsidRPr="005459E6">
        <w:rPr>
          <w:rFonts w:ascii="Times New Roman" w:hAnsi="Times New Roman" w:cs="Times New Roman"/>
          <w:lang w:val="en-IN"/>
        </w:rPr>
        <w:t xml:space="preserve">suggest that an individual can achieve an optimal level of Stress by maintaining a predicted level of Interest and Relaxation using an ML-driven model. When used in real-time, the insights generated by an ML model can significantly support Therapists to understand and treat the Psychosomatic condition. </w:t>
      </w:r>
      <w:r w:rsidRPr="005459E6">
        <w:rPr>
          <w:rFonts w:ascii="Times New Roman" w:hAnsi="Times New Roman" w:cs="Times New Roman"/>
        </w:rPr>
        <w:t xml:space="preserve">A Therapist may be able to use the relationship between Interest and Relaxation to drive positive outcomes. </w:t>
      </w:r>
      <w:r w:rsidR="00A7702A" w:rsidRPr="005459E6">
        <w:rPr>
          <w:rFonts w:ascii="Times New Roman" w:hAnsi="Times New Roman" w:cs="Times New Roman"/>
        </w:rPr>
        <w:t xml:space="preserve"> </w:t>
      </w:r>
      <w:r w:rsidRPr="005459E6">
        <w:rPr>
          <w:rFonts w:ascii="Times New Roman" w:hAnsi="Times New Roman" w:cs="Times New Roman"/>
        </w:rPr>
        <w:t>The ML model derived from BCI can be used in real-time and can reduce the time required for Psychosomatic treatment by Therapists. Further use of the validated model can also be scaled beyond and can be used by the patient for the betterment of their individual health, reducing the associated costs. Such a model can be extended in the form of a “Web portal” to enhance access to the healthcare ecosystem.</w:t>
      </w:r>
    </w:p>
    <w:p w14:paraId="2C0BD127" w14:textId="77777777" w:rsidR="00BA512A"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The ML model expedites and optimizes the process of augmenting Psychosomatic health.</w:t>
      </w:r>
      <w:r w:rsidRPr="005459E6">
        <w:rPr>
          <w:rFonts w:ascii="Times New Roman" w:eastAsia="Calibri" w:hAnsi="Times New Roman" w:cs="Times New Roman"/>
        </w:rPr>
        <w:t xml:space="preserve"> In the process, the value is created by the interaction of Actors in Healthcare, where such type of</w:t>
      </w:r>
      <w:r w:rsidRPr="005459E6">
        <w:rPr>
          <w:rFonts w:ascii="Times New Roman" w:hAnsi="Times New Roman" w:cs="Times New Roman"/>
        </w:rPr>
        <w:t xml:space="preserve"> Psychotherapy can be performed with minimal time with the application of the proposed experimental ML model. Additionally, for the people, greater access can be granted to the Healthcare Ecosystem by scaling the model in the form of an App and Web portals. </w:t>
      </w:r>
    </w:p>
    <w:p w14:paraId="63B73E7C" w14:textId="7BD4C162"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Well-being experienced by an individual can also support their respective organizations, allowing long-term growth. In line with self-tracking, people would be able to reach a desired mental state (with or without help from Therapists). The approach mentioned in the given study would help people attain greater self-control of their brain and stay in the productive zone. This entire study would offer higher productivity to the individual and, in turn, affect organizational performance.</w:t>
      </w:r>
    </w:p>
    <w:p w14:paraId="07E511D0" w14:textId="77777777" w:rsidR="00E56D87" w:rsidRPr="005459E6" w:rsidRDefault="00E56D87" w:rsidP="00042CB0">
      <w:pPr>
        <w:spacing w:line="360" w:lineRule="auto"/>
        <w:jc w:val="both"/>
        <w:rPr>
          <w:rFonts w:ascii="Times New Roman" w:hAnsi="Times New Roman" w:cs="Times New Roman"/>
          <w:b/>
          <w:bCs/>
        </w:rPr>
      </w:pPr>
    </w:p>
    <w:p w14:paraId="787D6BF9" w14:textId="77777777" w:rsidR="00E56D87" w:rsidRPr="005459E6" w:rsidRDefault="00E56D87" w:rsidP="00042CB0">
      <w:pPr>
        <w:spacing w:line="360" w:lineRule="auto"/>
        <w:jc w:val="both"/>
        <w:rPr>
          <w:rFonts w:ascii="Times New Roman" w:hAnsi="Times New Roman" w:cs="Times New Roman"/>
          <w:b/>
          <w:bCs/>
        </w:rPr>
      </w:pPr>
    </w:p>
    <w:p w14:paraId="7EA42697" w14:textId="77777777" w:rsidR="00E56D87" w:rsidRPr="005459E6" w:rsidRDefault="00E56D87" w:rsidP="00042CB0">
      <w:pPr>
        <w:pStyle w:val="Titolo1"/>
        <w:spacing w:line="360" w:lineRule="auto"/>
        <w:jc w:val="both"/>
        <w:rPr>
          <w:rFonts w:ascii="Times New Roman" w:hAnsi="Times New Roman" w:cs="Times New Roman"/>
          <w:b/>
          <w:bCs/>
          <w:color w:val="auto"/>
          <w:sz w:val="22"/>
          <w:szCs w:val="22"/>
        </w:rPr>
      </w:pPr>
      <w:bookmarkStart w:id="471" w:name="_Toc99910317"/>
      <w:bookmarkStart w:id="472" w:name="_Toc99912139"/>
      <w:bookmarkStart w:id="473" w:name="_Toc107248338"/>
      <w:r w:rsidRPr="005459E6">
        <w:rPr>
          <w:rFonts w:ascii="Times New Roman" w:hAnsi="Times New Roman" w:cs="Times New Roman"/>
          <w:b/>
          <w:bCs/>
          <w:color w:val="auto"/>
          <w:sz w:val="22"/>
          <w:szCs w:val="22"/>
        </w:rPr>
        <w:t>FINDINGS</w:t>
      </w:r>
      <w:bookmarkEnd w:id="471"/>
      <w:bookmarkEnd w:id="472"/>
      <w:bookmarkEnd w:id="473"/>
    </w:p>
    <w:p w14:paraId="7A6967DD" w14:textId="7A963F36"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The “Sequential Multiple Methodology” in this research shows that mental health affects physical health (</w:t>
      </w:r>
      <w:r w:rsidR="00D102D3" w:rsidRPr="005459E6">
        <w:rPr>
          <w:rFonts w:ascii="Times New Roman" w:hAnsi="Times New Roman" w:cs="Times New Roman"/>
        </w:rPr>
        <w:t>Stage</w:t>
      </w:r>
      <w:r w:rsidRPr="005459E6">
        <w:rPr>
          <w:rFonts w:ascii="Times New Roman" w:hAnsi="Times New Roman" w:cs="Times New Roman"/>
        </w:rPr>
        <w:t xml:space="preserve"> I), confirming the existence of the “Psychosomatic” nature of health issues. </w:t>
      </w:r>
    </w:p>
    <w:p w14:paraId="38C2709D"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A significant positive correlation was observed between Psychological_Issue and Physical_Issue (</w:t>
      </w:r>
      <w:r w:rsidRPr="005459E6">
        <w:rPr>
          <w:rFonts w:ascii="Times New Roman" w:hAnsi="Times New Roman" w:cs="Times New Roman"/>
          <w:i/>
          <w:iCs/>
        </w:rPr>
        <w:t>r</w:t>
      </w:r>
      <w:r w:rsidRPr="005459E6">
        <w:rPr>
          <w:rFonts w:ascii="Times New Roman" w:hAnsi="Times New Roman" w:cs="Times New Roman"/>
        </w:rPr>
        <w:t xml:space="preserve"> = 0.52, </w:t>
      </w:r>
      <w:r w:rsidRPr="005459E6">
        <w:rPr>
          <w:rFonts w:ascii="Times New Roman" w:hAnsi="Times New Roman" w:cs="Times New Roman"/>
          <w:i/>
          <w:iCs/>
        </w:rPr>
        <w:t>p</w:t>
      </w:r>
      <w:r w:rsidRPr="005459E6">
        <w:rPr>
          <w:rFonts w:ascii="Times New Roman" w:hAnsi="Times New Roman" w:cs="Times New Roman"/>
        </w:rPr>
        <w:t xml:space="preserve"> = .020, 95% CI = [0.25, 0.72]).</w:t>
      </w:r>
    </w:p>
    <w:p w14:paraId="1666FD19" w14:textId="05FC0975"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It calls for maintaining the well-being of an individual, which could be achieved with an active role of technology (</w:t>
      </w:r>
      <w:r w:rsidR="00274CA2" w:rsidRPr="005459E6">
        <w:rPr>
          <w:rFonts w:ascii="Times New Roman" w:hAnsi="Times New Roman" w:cs="Times New Roman"/>
        </w:rPr>
        <w:t>Stage</w:t>
      </w:r>
      <w:r w:rsidRPr="005459E6">
        <w:rPr>
          <w:rFonts w:ascii="Times New Roman" w:hAnsi="Times New Roman" w:cs="Times New Roman"/>
        </w:rPr>
        <w:t xml:space="preserve"> II). The same was confirmed with qualitative comments from the health professionals and relevant </w:t>
      </w:r>
      <w:r w:rsidR="009E388D" w:rsidRPr="005459E6">
        <w:rPr>
          <w:rFonts w:ascii="Times New Roman" w:hAnsi="Times New Roman" w:cs="Times New Roman"/>
        </w:rPr>
        <w:t>case studies</w:t>
      </w:r>
      <w:r w:rsidRPr="005459E6">
        <w:rPr>
          <w:rFonts w:ascii="Times New Roman" w:hAnsi="Times New Roman" w:cs="Times New Roman"/>
        </w:rPr>
        <w:t xml:space="preserve"> analyzed using content analysis (Cluster analysis and Co-occurrence table).</w:t>
      </w:r>
    </w:p>
    <w:p w14:paraId="08085531" w14:textId="16DF274A" w:rsidR="00E56D87" w:rsidRPr="005459E6" w:rsidRDefault="00274CA2" w:rsidP="00042CB0">
      <w:pPr>
        <w:spacing w:line="360" w:lineRule="auto"/>
        <w:jc w:val="both"/>
        <w:rPr>
          <w:rFonts w:ascii="Times New Roman" w:hAnsi="Times New Roman" w:cs="Times New Roman"/>
        </w:rPr>
      </w:pPr>
      <w:r w:rsidRPr="005459E6">
        <w:rPr>
          <w:rFonts w:ascii="Times New Roman" w:hAnsi="Times New Roman" w:cs="Times New Roman"/>
        </w:rPr>
        <w:t>Stage</w:t>
      </w:r>
      <w:r w:rsidR="00E56D87" w:rsidRPr="005459E6">
        <w:rPr>
          <w:rFonts w:ascii="Times New Roman" w:hAnsi="Times New Roman" w:cs="Times New Roman"/>
        </w:rPr>
        <w:t xml:space="preserve"> III of the research design observes Psychological Well-being as a multidimensional construct, and its hedonic type of well-being is a product of emotions, happiness, and positive affect. Sustained stress and negative feelings experienced by a person can affect his/her well-being.</w:t>
      </w:r>
    </w:p>
    <w:p w14:paraId="42B8F99D" w14:textId="17605949"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shd w:val="clear" w:color="auto" w:fill="FFFFFF"/>
        </w:rPr>
        <w:t xml:space="preserve">During this </w:t>
      </w:r>
      <w:r w:rsidR="00F148C4" w:rsidRPr="005459E6">
        <w:rPr>
          <w:rFonts w:ascii="Times New Roman" w:hAnsi="Times New Roman" w:cs="Times New Roman"/>
          <w:shd w:val="clear" w:color="auto" w:fill="FFFFFF"/>
        </w:rPr>
        <w:t>stage</w:t>
      </w:r>
      <w:r w:rsidRPr="005459E6">
        <w:rPr>
          <w:rFonts w:ascii="Times New Roman" w:hAnsi="Times New Roman" w:cs="Times New Roman"/>
          <w:shd w:val="clear" w:color="auto" w:fill="FFFFFF"/>
        </w:rPr>
        <w:t>, the results of the linear regression model were significant, </w:t>
      </w:r>
      <w:r w:rsidRPr="005459E6">
        <w:rPr>
          <w:rStyle w:val="supcontent"/>
          <w:rFonts w:ascii="Times New Roman" w:hAnsi="Times New Roman" w:cs="Times New Roman"/>
          <w:i/>
          <w:iCs/>
          <w:shd w:val="clear" w:color="auto" w:fill="FFFFFF"/>
        </w:rPr>
        <w:t>F</w:t>
      </w:r>
      <w:r w:rsidRPr="005459E6">
        <w:rPr>
          <w:rFonts w:ascii="Times New Roman" w:hAnsi="Times New Roman" w:cs="Times New Roman"/>
          <w:shd w:val="clear" w:color="auto" w:fill="FFFFFF"/>
        </w:rPr>
        <w:t>(</w:t>
      </w:r>
      <w:r w:rsidRPr="005459E6">
        <w:rPr>
          <w:rStyle w:val="supcontent"/>
          <w:rFonts w:ascii="Times New Roman" w:hAnsi="Times New Roman" w:cs="Times New Roman"/>
          <w:shd w:val="clear" w:color="auto" w:fill="FFFFFF"/>
        </w:rPr>
        <w:t>12,1509</w:t>
      </w:r>
      <w:r w:rsidRPr="005459E6">
        <w:rPr>
          <w:rFonts w:ascii="Times New Roman" w:hAnsi="Times New Roman" w:cs="Times New Roman"/>
          <w:shd w:val="clear" w:color="auto" w:fill="FFFFFF"/>
        </w:rPr>
        <w:t>) = 1584.37, </w:t>
      </w:r>
      <w:r w:rsidRPr="005459E6">
        <w:rPr>
          <w:rStyle w:val="supcontent"/>
          <w:rFonts w:ascii="Times New Roman" w:hAnsi="Times New Roman" w:cs="Times New Roman"/>
          <w:i/>
          <w:iCs/>
          <w:shd w:val="clear" w:color="auto" w:fill="FFFFFF"/>
        </w:rPr>
        <w:t>p</w:t>
      </w:r>
      <w:r w:rsidRPr="005459E6">
        <w:rPr>
          <w:rFonts w:ascii="Times New Roman" w:hAnsi="Times New Roman" w:cs="Times New Roman"/>
          <w:shd w:val="clear" w:color="auto" w:fill="FFFFFF"/>
        </w:rPr>
        <w:t> &lt; .001, </w:t>
      </w:r>
      <w:r w:rsidRPr="005459E6">
        <w:rPr>
          <w:rStyle w:val="supcontent"/>
          <w:rFonts w:ascii="Times New Roman" w:hAnsi="Times New Roman" w:cs="Times New Roman"/>
          <w:i/>
          <w:iCs/>
          <w:shd w:val="clear" w:color="auto" w:fill="FFFFFF"/>
        </w:rPr>
        <w:t>R</w:t>
      </w:r>
      <w:r w:rsidRPr="005459E6">
        <w:rPr>
          <w:rStyle w:val="supcontent"/>
          <w:rFonts w:ascii="Times New Roman" w:hAnsi="Times New Roman" w:cs="Times New Roman"/>
          <w:shd w:val="clear" w:color="auto" w:fill="FFFFFF"/>
          <w:vertAlign w:val="superscript"/>
        </w:rPr>
        <w:t>2</w:t>
      </w:r>
      <w:r w:rsidRPr="005459E6">
        <w:rPr>
          <w:rFonts w:ascii="Times New Roman" w:hAnsi="Times New Roman" w:cs="Times New Roman"/>
          <w:shd w:val="clear" w:color="auto" w:fill="FFFFFF"/>
        </w:rPr>
        <w:t> = 0.93, indicating that approximately 93% of the variance in STRESS is explainable with</w:t>
      </w:r>
      <w:r w:rsidRPr="005459E6">
        <w:rPr>
          <w:rFonts w:ascii="Times New Roman" w:hAnsi="Times New Roman" w:cs="Times New Roman"/>
          <w:i/>
          <w:iCs/>
          <w:shd w:val="clear" w:color="auto" w:fill="FFFFFF"/>
        </w:rPr>
        <w:t xml:space="preserve"> the </w:t>
      </w:r>
      <w:r w:rsidRPr="005459E6">
        <w:rPr>
          <w:rFonts w:ascii="Times New Roman" w:hAnsi="Times New Roman" w:cs="Times New Roman"/>
          <w:shd w:val="clear" w:color="auto" w:fill="FFFFFF"/>
        </w:rPr>
        <w:t>Regression Equation.</w:t>
      </w:r>
    </w:p>
    <w:p w14:paraId="4D4CDA72" w14:textId="3308386A"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data-driven ML model used during this part of the study deals with silos of information and renders a personalized model that could support the management of stress. With the technological edge being operated in real-time, it would be easier to maintain or improve Psychological Well-being. This </w:t>
      </w:r>
      <w:r w:rsidR="00F148C4" w:rsidRPr="005459E6">
        <w:rPr>
          <w:rFonts w:ascii="Times New Roman" w:hAnsi="Times New Roman" w:cs="Times New Roman"/>
        </w:rPr>
        <w:t xml:space="preserve">stage </w:t>
      </w:r>
      <w:r w:rsidRPr="005459E6">
        <w:rPr>
          <w:rFonts w:ascii="Times New Roman" w:hAnsi="Times New Roman" w:cs="Times New Roman"/>
        </w:rPr>
        <w:t>answers RQ1 confirming the role of positive emotions in well-being. With such an exploration, we can understand the significance of technology for the betterment of well-being.</w:t>
      </w:r>
    </w:p>
    <w:p w14:paraId="18651C29" w14:textId="073C8CA7" w:rsidR="00E56D87" w:rsidRPr="005459E6" w:rsidRDefault="00D102D3" w:rsidP="00042CB0">
      <w:pPr>
        <w:spacing w:line="360" w:lineRule="auto"/>
        <w:jc w:val="both"/>
        <w:rPr>
          <w:rFonts w:ascii="Times New Roman" w:hAnsi="Times New Roman" w:cs="Times New Roman"/>
        </w:rPr>
      </w:pPr>
      <w:r w:rsidRPr="005459E6">
        <w:rPr>
          <w:rFonts w:ascii="Times New Roman" w:hAnsi="Times New Roman" w:cs="Times New Roman"/>
        </w:rPr>
        <w:t>Stage</w:t>
      </w:r>
      <w:r w:rsidR="00E56D87" w:rsidRPr="005459E6">
        <w:rPr>
          <w:rFonts w:ascii="Times New Roman" w:hAnsi="Times New Roman" w:cs="Times New Roman"/>
        </w:rPr>
        <w:t xml:space="preserve"> IV of the research design depicts the impact of well-being on Workplace Productivity, where “Focus” as an emotional state plays a major role. </w:t>
      </w:r>
    </w:p>
    <w:p w14:paraId="79F61513"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FOCUS-OBSERVED_PRODUCTIVITY</w:t>
      </w:r>
      <w:r w:rsidRPr="005459E6">
        <w:rPr>
          <w:rFonts w:ascii="Times New Roman" w:hAnsi="Times New Roman" w:cs="Times New Roman"/>
        </w:rPr>
        <w:tab/>
        <w:t>–0.12</w:t>
      </w:r>
      <w:r w:rsidRPr="005459E6">
        <w:rPr>
          <w:rFonts w:ascii="Times New Roman" w:hAnsi="Times New Roman" w:cs="Times New Roman"/>
        </w:rPr>
        <w:tab/>
        <w:t>[–0.17, –0.07]</w:t>
      </w:r>
      <w:r w:rsidRPr="005459E6">
        <w:rPr>
          <w:rFonts w:ascii="Times New Roman" w:hAnsi="Times New Roman" w:cs="Times New Roman"/>
        </w:rPr>
        <w:tab/>
        <w:t>1522</w:t>
      </w:r>
      <w:r w:rsidRPr="005459E6">
        <w:rPr>
          <w:rFonts w:ascii="Times New Roman" w:hAnsi="Times New Roman" w:cs="Times New Roman"/>
        </w:rPr>
        <w:tab/>
        <w:t>&lt; .001 ]</w:t>
      </w:r>
    </w:p>
    <w:p w14:paraId="70938557" w14:textId="293F7BF0"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This </w:t>
      </w:r>
      <w:r w:rsidR="00F148C4" w:rsidRPr="005459E6">
        <w:rPr>
          <w:rFonts w:ascii="Times New Roman" w:hAnsi="Times New Roman" w:cs="Times New Roman"/>
        </w:rPr>
        <w:t>stage</w:t>
      </w:r>
      <w:r w:rsidRPr="005459E6">
        <w:rPr>
          <w:rFonts w:ascii="Times New Roman" w:hAnsi="Times New Roman" w:cs="Times New Roman"/>
        </w:rPr>
        <w:t xml:space="preserve"> also retrieves prior academic literature to reflect on organizational performance driven by the well-being of individual employees. The brainstorming unfurled by the literature reviewed for the given study allows us to answer RQ2, where we could analyze the role of Actors, Resource Integrators, and Value co-created using technological convergence</w:t>
      </w:r>
    </w:p>
    <w:p w14:paraId="666F5C28"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Finally, it allows us to reflect on the co-created value for an organization through individual well-being.</w:t>
      </w:r>
    </w:p>
    <w:p w14:paraId="76AE3D15" w14:textId="77777777" w:rsidR="0009129E" w:rsidRPr="005459E6" w:rsidRDefault="0009129E" w:rsidP="00042CB0">
      <w:pPr>
        <w:spacing w:line="360" w:lineRule="auto"/>
        <w:jc w:val="both"/>
        <w:rPr>
          <w:rFonts w:ascii="Times New Roman" w:hAnsi="Times New Roman" w:cs="Times New Roman"/>
        </w:rPr>
      </w:pPr>
    </w:p>
    <w:p w14:paraId="592F469E" w14:textId="77777777" w:rsidR="00E56D87" w:rsidRPr="005459E6" w:rsidRDefault="00E56D87" w:rsidP="00042CB0">
      <w:pPr>
        <w:spacing w:line="360" w:lineRule="auto"/>
        <w:jc w:val="both"/>
        <w:rPr>
          <w:rFonts w:ascii="Times New Roman" w:hAnsi="Times New Roman" w:cs="Times New Roman"/>
          <w:b/>
          <w:bCs/>
        </w:rPr>
      </w:pPr>
    </w:p>
    <w:p w14:paraId="05B4FE4F" w14:textId="77777777" w:rsidR="00E56D87" w:rsidRPr="005459E6" w:rsidRDefault="00E56D87" w:rsidP="00042CB0">
      <w:pPr>
        <w:spacing w:line="360" w:lineRule="auto"/>
        <w:jc w:val="both"/>
        <w:rPr>
          <w:rFonts w:ascii="Times New Roman" w:hAnsi="Times New Roman" w:cs="Times New Roman"/>
          <w:b/>
          <w:bCs/>
        </w:rPr>
      </w:pPr>
    </w:p>
    <w:p w14:paraId="5EA69653" w14:textId="77777777" w:rsidR="00E56D87" w:rsidRPr="005459E6" w:rsidRDefault="00E56D87" w:rsidP="00042CB0">
      <w:pPr>
        <w:spacing w:line="360" w:lineRule="auto"/>
        <w:jc w:val="both"/>
        <w:rPr>
          <w:rFonts w:ascii="Times New Roman" w:hAnsi="Times New Roman" w:cs="Times New Roman"/>
          <w:b/>
          <w:bCs/>
        </w:rPr>
      </w:pPr>
      <w:r w:rsidRPr="005459E6">
        <w:rPr>
          <w:rFonts w:ascii="Times New Roman" w:hAnsi="Times New Roman" w:cs="Times New Roman"/>
          <w:b/>
          <w:bCs/>
        </w:rPr>
        <w:t>Observing the effect of Emotional states and Psychological Well-being</w:t>
      </w:r>
    </w:p>
    <w:p w14:paraId="7DC499F8" w14:textId="77777777" w:rsidR="0009129E" w:rsidRPr="005459E6" w:rsidRDefault="0009129E" w:rsidP="00042CB0">
      <w:pPr>
        <w:spacing w:line="360" w:lineRule="auto"/>
        <w:jc w:val="both"/>
        <w:rPr>
          <w:rFonts w:ascii="Times New Roman" w:hAnsi="Times New Roman" w:cs="Times New Roman"/>
          <w:b/>
          <w:bCs/>
        </w:rPr>
      </w:pPr>
    </w:p>
    <w:p w14:paraId="37E1DC26" w14:textId="42B526FC" w:rsidR="00E56D87" w:rsidRPr="005459E6" w:rsidRDefault="00E56D87" w:rsidP="00042CB0">
      <w:pPr>
        <w:pStyle w:val="Paragrafoelenco"/>
        <w:numPr>
          <w:ilvl w:val="0"/>
          <w:numId w:val="28"/>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From the </w:t>
      </w:r>
      <w:r w:rsidR="00274CA2" w:rsidRPr="005459E6">
        <w:rPr>
          <w:rFonts w:ascii="Times New Roman" w:hAnsi="Times New Roman" w:cs="Times New Roman"/>
          <w:sz w:val="22"/>
          <w:szCs w:val="22"/>
        </w:rPr>
        <w:t>Stage</w:t>
      </w:r>
      <w:r w:rsidRPr="005459E6">
        <w:rPr>
          <w:rFonts w:ascii="Times New Roman" w:hAnsi="Times New Roman" w:cs="Times New Roman"/>
          <w:sz w:val="22"/>
          <w:szCs w:val="22"/>
        </w:rPr>
        <w:t xml:space="preserve"> III of the research design and the construct of Psychological Well-being, we can observe that Emotional states correlate with the </w:t>
      </w:r>
      <w:r w:rsidR="009B4B11" w:rsidRPr="005459E6">
        <w:rPr>
          <w:rFonts w:ascii="Times New Roman" w:hAnsi="Times New Roman" w:cs="Times New Roman"/>
          <w:sz w:val="22"/>
          <w:szCs w:val="22"/>
        </w:rPr>
        <w:t>s</w:t>
      </w:r>
      <w:r w:rsidRPr="005459E6">
        <w:rPr>
          <w:rFonts w:ascii="Times New Roman" w:hAnsi="Times New Roman" w:cs="Times New Roman"/>
          <w:sz w:val="22"/>
          <w:szCs w:val="22"/>
        </w:rPr>
        <w:t>tress levels of an individual.</w:t>
      </w:r>
    </w:p>
    <w:p w14:paraId="6EC76A27" w14:textId="77777777" w:rsidR="00E56D87" w:rsidRPr="005459E6" w:rsidRDefault="00E56D87" w:rsidP="00042CB0">
      <w:pPr>
        <w:pStyle w:val="Paragrafoelenco"/>
        <w:spacing w:before="0" w:after="160" w:line="360" w:lineRule="auto"/>
        <w:jc w:val="both"/>
        <w:rPr>
          <w:rFonts w:ascii="Times New Roman" w:hAnsi="Times New Roman" w:cs="Times New Roman"/>
          <w:sz w:val="22"/>
          <w:szCs w:val="22"/>
        </w:rPr>
      </w:pPr>
    </w:p>
    <w:p w14:paraId="73405DE4" w14:textId="77777777" w:rsidR="00E56D87" w:rsidRPr="005459E6" w:rsidRDefault="00E56D87" w:rsidP="00042CB0">
      <w:pPr>
        <w:pStyle w:val="Paragrafoelenco"/>
        <w:numPr>
          <w:ilvl w:val="0"/>
          <w:numId w:val="28"/>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In this process, “Stress” acts as a mediator, while “Interest” and “Relaxation” act as moderator variables.</w:t>
      </w:r>
    </w:p>
    <w:p w14:paraId="075EDA42" w14:textId="77777777" w:rsidR="00E56D87" w:rsidRPr="005459E6" w:rsidRDefault="00E56D87" w:rsidP="00042CB0">
      <w:pPr>
        <w:pStyle w:val="Paragrafoelenco"/>
        <w:spacing w:before="0" w:after="160" w:line="360" w:lineRule="auto"/>
        <w:jc w:val="both"/>
        <w:rPr>
          <w:rFonts w:ascii="Times New Roman" w:hAnsi="Times New Roman" w:cs="Times New Roman"/>
          <w:sz w:val="22"/>
          <w:szCs w:val="22"/>
        </w:rPr>
      </w:pPr>
    </w:p>
    <w:p w14:paraId="5CE7D524" w14:textId="799D0B63" w:rsidR="00E56D87" w:rsidRPr="005459E6" w:rsidRDefault="00E56D87" w:rsidP="00042CB0">
      <w:pPr>
        <w:pStyle w:val="Paragrafoelenco"/>
        <w:numPr>
          <w:ilvl w:val="0"/>
          <w:numId w:val="28"/>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That said, Psychological Well-being is the product of the Emotional state of a </w:t>
      </w:r>
      <w:r w:rsidR="00A07B59" w:rsidRPr="005459E6">
        <w:rPr>
          <w:rFonts w:ascii="Times New Roman" w:hAnsi="Times New Roman" w:cs="Times New Roman"/>
          <w:sz w:val="22"/>
          <w:szCs w:val="22"/>
        </w:rPr>
        <w:t>person and</w:t>
      </w:r>
      <w:r w:rsidRPr="005459E6">
        <w:rPr>
          <w:rFonts w:ascii="Times New Roman" w:hAnsi="Times New Roman" w:cs="Times New Roman"/>
          <w:sz w:val="22"/>
          <w:szCs w:val="22"/>
        </w:rPr>
        <w:t xml:space="preserve"> maintaining the same self-quantification can be an effective strategy.</w:t>
      </w:r>
    </w:p>
    <w:p w14:paraId="44E8A4A3" w14:textId="77777777" w:rsidR="00E56D87" w:rsidRPr="005459E6" w:rsidRDefault="00E56D87" w:rsidP="00042CB0">
      <w:pPr>
        <w:spacing w:line="360" w:lineRule="auto"/>
        <w:jc w:val="both"/>
        <w:rPr>
          <w:rFonts w:ascii="Times New Roman" w:hAnsi="Times New Roman" w:cs="Times New Roman"/>
          <w:b/>
          <w:bCs/>
        </w:rPr>
      </w:pPr>
    </w:p>
    <w:p w14:paraId="2C00E3E6" w14:textId="77777777" w:rsidR="00E56D87" w:rsidRPr="005459E6" w:rsidRDefault="00E56D87" w:rsidP="00042CB0">
      <w:pPr>
        <w:spacing w:line="360" w:lineRule="auto"/>
        <w:jc w:val="both"/>
        <w:rPr>
          <w:rFonts w:ascii="Times New Roman" w:hAnsi="Times New Roman" w:cs="Times New Roman"/>
          <w:b/>
          <w:bCs/>
        </w:rPr>
      </w:pPr>
    </w:p>
    <w:p w14:paraId="3933AA80" w14:textId="77777777" w:rsidR="00E56D87" w:rsidRPr="005459E6" w:rsidRDefault="00E56D87" w:rsidP="00042CB0">
      <w:pPr>
        <w:spacing w:line="360" w:lineRule="auto"/>
        <w:jc w:val="both"/>
        <w:rPr>
          <w:rFonts w:ascii="Times New Roman" w:hAnsi="Times New Roman" w:cs="Times New Roman"/>
          <w:b/>
          <w:bCs/>
        </w:rPr>
      </w:pPr>
      <w:r w:rsidRPr="005459E6">
        <w:rPr>
          <w:rFonts w:ascii="Times New Roman" w:hAnsi="Times New Roman" w:cs="Times New Roman"/>
          <w:b/>
          <w:bCs/>
        </w:rPr>
        <w:t>Observing the impact of Psychological Well-being and Workplace Productivity</w:t>
      </w:r>
    </w:p>
    <w:p w14:paraId="2887A856" w14:textId="77777777" w:rsidR="0009129E" w:rsidRPr="005459E6" w:rsidRDefault="0009129E" w:rsidP="00042CB0">
      <w:pPr>
        <w:spacing w:line="360" w:lineRule="auto"/>
        <w:jc w:val="both"/>
        <w:rPr>
          <w:rFonts w:ascii="Times New Roman" w:hAnsi="Times New Roman" w:cs="Times New Roman"/>
          <w:b/>
          <w:bCs/>
        </w:rPr>
      </w:pPr>
    </w:p>
    <w:p w14:paraId="0E20AFF8" w14:textId="1AED1673" w:rsidR="00E56D87" w:rsidRPr="005459E6" w:rsidRDefault="00E56D87" w:rsidP="00042CB0">
      <w:pPr>
        <w:pStyle w:val="Paragrafoelenco"/>
        <w:numPr>
          <w:ilvl w:val="0"/>
          <w:numId w:val="2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Based on the data from </w:t>
      </w:r>
      <w:r w:rsidR="00D102D3" w:rsidRPr="005459E6">
        <w:rPr>
          <w:rFonts w:ascii="Times New Roman" w:hAnsi="Times New Roman" w:cs="Times New Roman"/>
          <w:sz w:val="22"/>
          <w:szCs w:val="22"/>
        </w:rPr>
        <w:t>Stage</w:t>
      </w:r>
      <w:r w:rsidRPr="005459E6">
        <w:rPr>
          <w:rFonts w:ascii="Times New Roman" w:hAnsi="Times New Roman" w:cs="Times New Roman"/>
          <w:sz w:val="22"/>
          <w:szCs w:val="22"/>
        </w:rPr>
        <w:t xml:space="preserve"> IV, we can conclude that the Focus retained by an individual directly affects Workplace Productivity.</w:t>
      </w:r>
    </w:p>
    <w:p w14:paraId="170B6ACE" w14:textId="77777777" w:rsidR="00E56D87" w:rsidRPr="005459E6" w:rsidRDefault="00E56D87" w:rsidP="00042CB0">
      <w:pPr>
        <w:pStyle w:val="Paragrafoelenco"/>
        <w:spacing w:before="0" w:after="160" w:line="360" w:lineRule="auto"/>
        <w:jc w:val="both"/>
        <w:rPr>
          <w:rFonts w:ascii="Times New Roman" w:hAnsi="Times New Roman" w:cs="Times New Roman"/>
          <w:sz w:val="22"/>
          <w:szCs w:val="22"/>
        </w:rPr>
      </w:pPr>
    </w:p>
    <w:p w14:paraId="5BBA5ED6" w14:textId="797C8B75" w:rsidR="00E56D87" w:rsidRPr="005459E6" w:rsidRDefault="00E56D87" w:rsidP="00042CB0">
      <w:pPr>
        <w:pStyle w:val="Paragrafoelenco"/>
        <w:numPr>
          <w:ilvl w:val="0"/>
          <w:numId w:val="2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In this process, “Focus” acts as a mediator, while “Body’s clock” and “Energy levels” act as moderator variables.</w:t>
      </w:r>
    </w:p>
    <w:p w14:paraId="08B1F2AD" w14:textId="77777777" w:rsidR="00A20F6F" w:rsidRPr="005459E6" w:rsidRDefault="00A20F6F" w:rsidP="00042CB0">
      <w:pPr>
        <w:pStyle w:val="Paragrafoelenco"/>
        <w:spacing w:line="360" w:lineRule="auto"/>
        <w:rPr>
          <w:rFonts w:ascii="Times New Roman" w:hAnsi="Times New Roman" w:cs="Times New Roman"/>
          <w:sz w:val="22"/>
          <w:szCs w:val="22"/>
        </w:rPr>
      </w:pPr>
    </w:p>
    <w:p w14:paraId="39FF0D67" w14:textId="77777777" w:rsidR="00A20F6F" w:rsidRPr="005459E6" w:rsidRDefault="00A20F6F" w:rsidP="00042CB0">
      <w:pPr>
        <w:pStyle w:val="Paragrafoelenco"/>
        <w:spacing w:before="0" w:after="160" w:line="360" w:lineRule="auto"/>
        <w:jc w:val="both"/>
        <w:rPr>
          <w:rFonts w:ascii="Times New Roman" w:hAnsi="Times New Roman" w:cs="Times New Roman"/>
          <w:sz w:val="22"/>
          <w:szCs w:val="22"/>
        </w:rPr>
      </w:pPr>
    </w:p>
    <w:p w14:paraId="17D52C7C" w14:textId="77777777" w:rsidR="00E56D87" w:rsidRPr="005459E6" w:rsidRDefault="00E56D87" w:rsidP="00042CB0">
      <w:pPr>
        <w:pStyle w:val="Paragrafoelenco"/>
        <w:numPr>
          <w:ilvl w:val="0"/>
          <w:numId w:val="2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Relevant academic literature can additionally be linked to the current knowledge to conclude that Workplace Productivity reflects upon Organizational Performance.</w:t>
      </w:r>
    </w:p>
    <w:p w14:paraId="6818445F" w14:textId="77777777" w:rsidR="00E56D87" w:rsidRPr="005459E6" w:rsidRDefault="00E56D87" w:rsidP="00042CB0">
      <w:pPr>
        <w:spacing w:line="360" w:lineRule="auto"/>
        <w:jc w:val="both"/>
        <w:rPr>
          <w:rFonts w:ascii="Times New Roman" w:hAnsi="Times New Roman" w:cs="Times New Roman"/>
        </w:rPr>
      </w:pPr>
    </w:p>
    <w:p w14:paraId="0603DA9D" w14:textId="77777777" w:rsidR="00E56D87" w:rsidRPr="005459E6" w:rsidRDefault="00E56D87" w:rsidP="00042CB0">
      <w:pPr>
        <w:spacing w:line="360" w:lineRule="auto"/>
        <w:jc w:val="both"/>
        <w:rPr>
          <w:rFonts w:ascii="Times New Roman" w:hAnsi="Times New Roman" w:cs="Times New Roman"/>
        </w:rPr>
      </w:pPr>
    </w:p>
    <w:p w14:paraId="5CE6744D" w14:textId="77777777" w:rsidR="00E56D87" w:rsidRPr="005459E6" w:rsidRDefault="00E56D87" w:rsidP="00042CB0">
      <w:pPr>
        <w:spacing w:line="360" w:lineRule="auto"/>
        <w:jc w:val="both"/>
        <w:rPr>
          <w:rFonts w:ascii="Times New Roman" w:hAnsi="Times New Roman" w:cs="Times New Roman"/>
          <w:b/>
          <w:bCs/>
        </w:rPr>
      </w:pPr>
    </w:p>
    <w:p w14:paraId="3AFB2141" w14:textId="35803AD1" w:rsidR="00E56D87" w:rsidRPr="005459E6" w:rsidRDefault="00E56D87" w:rsidP="00042CB0">
      <w:pPr>
        <w:spacing w:line="360" w:lineRule="auto"/>
        <w:jc w:val="both"/>
        <w:rPr>
          <w:rFonts w:ascii="Times New Roman" w:hAnsi="Times New Roman" w:cs="Times New Roman"/>
          <w:b/>
          <w:bCs/>
        </w:rPr>
      </w:pPr>
    </w:p>
    <w:p w14:paraId="4F3780E5"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74" w:name="_Toc99910318"/>
      <w:bookmarkStart w:id="475" w:name="_Toc99912140"/>
      <w:bookmarkStart w:id="476" w:name="_Toc107248339"/>
      <w:r w:rsidRPr="005459E6">
        <w:rPr>
          <w:rFonts w:ascii="Times New Roman" w:hAnsi="Times New Roman" w:cs="Times New Roman"/>
          <w:color w:val="auto"/>
          <w:sz w:val="22"/>
          <w:szCs w:val="22"/>
        </w:rPr>
        <w:t>Pervasive Health</w:t>
      </w:r>
      <w:bookmarkEnd w:id="474"/>
      <w:bookmarkEnd w:id="475"/>
      <w:bookmarkEnd w:id="476"/>
    </w:p>
    <w:p w14:paraId="1F58B992"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eastAsia="Garamond" w:hAnsi="Times New Roman" w:cs="Times New Roman"/>
        </w:rPr>
        <w:t>The current state of the healthcare industry and disease characteristics call for an integrative healthcare structure. It illustrates the addressal of the challenging landscape of the health sector using the pervasive nature of eHealth.</w:t>
      </w:r>
      <w:r w:rsidRPr="005459E6">
        <w:rPr>
          <w:rFonts w:ascii="Times New Roman" w:hAnsi="Times New Roman" w:cs="Times New Roman"/>
        </w:rPr>
        <w:t xml:space="preserve"> It can not only address physical well-being but also tackle cognitive impairments to add value to patient 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{"citationItems":[{"id":"ITEM-1","itemData":{"DOI":"10.1038/s41746-019-0206-x","ISSN":"2398-6352","author":[{"dropping-particle":"","family":"Rowland","given":"Simon P","non-dropping-particle":"","parse-names":false,"suffix":""},{"dropping-particle":"","family":"Fitzgerald","given":"J Edward","non-dropping-particle":"","parse-names":false,"suffix":""},{"dropping-particle":"","family":"Holme","given":"Thomas","non-dropping-particle":"","parse-names":false,"suffix":""}],"container-title":"npj Digital Medicine","id":"ITEM-1","issued":{"date-parts":[["2020"]]},"page":"1-6","publisher":"Springer US","title":"What is the clinical value of mHealth for patients ?","type":"article-journal"},"uris":["http://www.mendeley.com/documents/?uuid=2f93c09b-96fa-4214-8dc0-7bb1f7da409d"]},{"id":"ITEM-2","itemData":{"DOI":"10.1186/s12938-019-0635-4","ISSN":"1475925X","PMID":"30736798","abstract":"Background: My Diabetes My Way (MDMW) is the National Health Service (NHS) Scotland website for people with diabetes and their carers. It consists of an interactive information website and an electronic personal health record (ePHR) available to the 291,981 people with diabetes in Scotland. We aimed to analyse the demographic characteristics of current registrants and system usage and activity during 2016. Methods: We analysed system audit trails to monitor user activity and page accesses on the information website, and logins and activity within the ePHR. The ePHR contains data from SCI-Diabetes, NHS Scotland's flagship diabetes record, sourcing data from primary and secondary care, specialist screening services and laboratory systems. We reviewed patient registration characteristics to collate demographic data for the MWDH cohort, then compared this to aggregate data published in the 2016 Scottish Diabetes Survey. The Scottish Diabetes Survey is an annual population-based report detailing diabetes statistics for the whole diabetes population in NHS Scotland. Results: The MDMW information website received an average of 101,382 page accesses per month during 2016 (56.9% increase from 2015; n = 64,607). ePHR registrants were more likely to be younger (p &lt; 0.001) and have an ethnicity of \"white\" (p &lt; 0.001) than the background diabetes population. At the end of 2016, 11,840 people with diabetes had accessed their personal clinical information (58.6% increase since end 2015; n = 7464). During 2016, an average of 1907 people accessed their records each month (48.3% increase from 2015; n = 1286). Conclusion: My Diabetes My Way is a useful tool aid to diabetes self-management. The service is unique in offering records access to a national population, providing information from all relevant diabetes-related sources, rather than a single silo. MDMW supports the diabetes improvement, self-management, healthcare quality and eHealth strategies of the Scottish Government. The service also has potential to be adapted to work with other clinical systems and conditions.","author":[{"dropping-particle":"","family":"Cunningham","given":"Scott Gordon","non-dropping-particle":"","parse-names":false,"suffix":""},{"dropping-particle":"","family":"Brillante","given":"Massimo","non-dropping-particle":"","parse-names":false,"suffix":""},{"dropping-particle":"","family":"Allardice","given":"Brian","non-dropping-particle":"","parse-names":false,"suffix":""},{"dropping-particle":"","family":"Conway","given":"Nicholas","non-dropping-particle":"","parse-names":false,"suffix":""},{"dropping-particle":"","family":"McAlpine","given":"Ritchie Robert","non-dropping-particle":"","parse-names":false,"suffix":""},{"dropping-particle":"","family":"Wake","given":"Deborah Jane","non-dropping-particle":"","parse-names":false,"suffix":""}],"container-title":"BioMedical Engineering Online","id":"ITEM-2","issue":"1","issued":{"date-parts":[["2019"]]},"page":"1-11","publisher":"BioMed Central","title":"My Diabetes My Way: Supporting online diabetes self-management: Progress and analysis from 2016","type":"article-journal","volume":"18"},"uris":["http://www.mendeley.com/documents/?uuid=d2a54eec-b5bc-40c2-8a42-7d0a8e2b5b43"]}],"mendeley":{"formattedCitation":"(Cunningham et al., 2019; Rowland et al., 2020)","manualFormatting":"(Rowland et al., 2020)","plainTextFormattedCitation":"(Cunningham et al., 2019; Rowland et al., 2020)","previouslyFormattedCitation":"(Cunningham et al., 2019; Rowland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(Rowland et al., 2020)</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eastAsia="Garamond" w:hAnsi="Times New Roman" w:cs="Times New Roman"/>
        </w:rPr>
        <w:t>The process of Self-quantification and Nudging can be an integrated element of eHealth. It could</w:t>
      </w:r>
      <w:r w:rsidRPr="005459E6">
        <w:rPr>
          <w:rFonts w:ascii="Times New Roman" w:hAnsi="Times New Roman" w:cs="Times New Roman"/>
          <w:iCs/>
        </w:rPr>
        <w:t xml:space="preserve"> use technological prowess in the form of distributed computing, which can pool people and resources together.  It would include the conventions on how patients seek consultation from health providers. </w:t>
      </w:r>
      <w:r w:rsidRPr="005459E6">
        <w:rPr>
          <w:rFonts w:ascii="Times New Roman" w:hAnsi="Times New Roman" w:cs="Times New Roman"/>
        </w:rPr>
        <w:t xml:space="preserve">In the opinion of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{"citationItems":[{"id":"ITEM-1","itemData":{"DOI":"10.2196/jmir.5357","ISSN":"1438-8871","abstract":"Personalized health technology is a noisy new entrant to the health space, yet to make a significant impact on population health but seemingly teeming with potential. Devices including wearable fitness trackers and healthy-living apps are designed to help users quantify and improve their health behaviors. Although the ethical issues surrounding data privacy have received much attention, little is being said about the impact on socioeconomic health inequalities. Populations who stand to benefit the most from these technologies are unable to afford, access, or use them. This paper outlines the negative impact that these technologies will have on inequalities unless their user base can be radically extended to include vulnerable populations. Frugal innovation and public-private partnership are discussed as the major means for reaching this end.","author":[{"dropping-particle":"","family":"Allen","given":"Luke Nelson","non-dropping-particle":"","parse-names":false,"suffix":""},{"dropping-particle":"","family":"Christie","given":"Gillian Pepall","non-dropping-particle":"","parse-names":false,"suffix":""}],"container-title":"Journal of medical Internet research","id":"ITEM-1","issue":"5","issued":{"date-parts":[["2016","5","10"]]},"language":"eng","page":"e99-e99","publisher":"JMIR Publications Inc.","title":"The Emergence of Personalized Health Technology","type":"article-journal","volume":"18"},"uris":["http://www.mendeley.com/documents/?uuid=35a5847a-d1d1-4991-854d-50845c06d76a"]}],"mendeley":{"formattedCitation":"(Allen &amp; Christie, 2016)","manualFormatting":"Allen &amp; Christie (2016)","plainTextFormattedCitation":"(Allen &amp; Christie, 2016)","previouslyFormattedCitation":"(Allen &amp; Christie,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Allen &amp; Christie (2016)</w:t>
      </w:r>
      <w:r w:rsidRPr="005459E6">
        <w:rPr>
          <w:rFonts w:ascii="Times New Roman" w:hAnsi="Times New Roman" w:cs="Times New Roman"/>
        </w:rPr>
        <w:fldChar w:fldCharType="end"/>
      </w:r>
      <w:r w:rsidRPr="005459E6">
        <w:rPr>
          <w:rFonts w:ascii="Times New Roman" w:hAnsi="Times New Roman" w:cs="Times New Roman"/>
        </w:rPr>
        <w:t>, such a ubiquitous mode of healthcare offers innumerable possibilities, offering new business opportunities and innovative service delivery models.</w:t>
      </w:r>
      <w:r w:rsidRPr="005459E6">
        <w:rPr>
          <w:rFonts w:ascii="Times New Roman" w:eastAsia="Garamond" w:hAnsi="Times New Roman" w:cs="Times New Roman"/>
        </w:rPr>
        <w:t xml:space="preserve"> </w:t>
      </w:r>
      <w:r w:rsidRPr="005459E6">
        <w:rPr>
          <w:rFonts w:ascii="Times New Roman" w:eastAsia="Times New Roman" w:hAnsi="Times New Roman" w:cs="Times New Roman"/>
        </w:rPr>
        <w:t xml:space="preserve">It characterizes its applicability through the proximity to the patient and health professional, where care practices are enabled via digital technologies. </w:t>
      </w:r>
      <w:r w:rsidRPr="005459E6">
        <w:rPr>
          <w:rFonts w:ascii="Times New Roman" w:hAnsi="Times New Roman" w:cs="Times New Roman"/>
          <w:strike/>
        </w:rPr>
        <w:t xml:space="preserve"> </w:t>
      </w:r>
    </w:p>
    <w:p w14:paraId="29D3CA7E" w14:textId="7626F15E"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developmental perspective of such an approach embraces the interaction between patient and doctor (incorporating evolving inputs from the healthcare ecosystem), which is fetched from BCI to create a data-driven model.  The use of technologies enables swift responses </w:t>
      </w:r>
      <w:r w:rsidR="009B4B11" w:rsidRPr="005459E6">
        <w:rPr>
          <w:rFonts w:ascii="Times New Roman" w:hAnsi="Times New Roman" w:cs="Times New Roman"/>
        </w:rPr>
        <w:t>to</w:t>
      </w:r>
      <w:r w:rsidRPr="005459E6">
        <w:rPr>
          <w:rFonts w:ascii="Times New Roman" w:hAnsi="Times New Roman" w:cs="Times New Roman"/>
        </w:rPr>
        <w:t xml:space="preserve"> immediate healthcare-related needs.  Showing a glimpse of future healthcare, it looks forward to establishing the balance between physical and digital practices for the delivery of healthcare practices. Furthermore, as such care delivery is dependent on the data, it can devise an outlook for personalized care as well.   </w:t>
      </w:r>
    </w:p>
    <w:p w14:paraId="3D0BFCF2" w14:textId="4C28ABDB"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In the current era of technological superiority, such practice does not limit itself to the patient</w:t>
      </w:r>
      <w:r w:rsidR="009B4B11" w:rsidRPr="005459E6">
        <w:rPr>
          <w:rFonts w:ascii="Times New Roman" w:hAnsi="Times New Roman" w:cs="Times New Roman"/>
        </w:rPr>
        <w:t>-</w:t>
      </w:r>
      <w:r w:rsidRPr="005459E6">
        <w:rPr>
          <w:rFonts w:ascii="Times New Roman" w:hAnsi="Times New Roman" w:cs="Times New Roman"/>
        </w:rPr>
        <w:t xml:space="preserve">doctor dyadic relationship but goes beyond to provide an ecosystemic delivery of care through an interconnection across healthcare stakeholders. It results in not only </w:t>
      </w:r>
      <w:r w:rsidRPr="005459E6">
        <w:rPr>
          <w:rFonts w:ascii="Times New Roman" w:eastAsia="Calibri" w:hAnsi="Times New Roman" w:cs="Times New Roman"/>
        </w:rPr>
        <w:t>universality and equity of access to services but also interdependence between individuals in the healthcare society. It allows every single actor in the healthcare ecosystem to empower others.</w:t>
      </w:r>
      <w:r w:rsidRPr="005459E6">
        <w:rPr>
          <w:rFonts w:ascii="Times New Roman" w:hAnsi="Times New Roman" w:cs="Times New Roman"/>
        </w:rPr>
        <w:t xml:space="preserve"> Such a technological foundation offers a novel paradigm of a complex healthcare ecosystem where actors interact and integrate resources in the form of data.  This process is adaptive, and its usability is reinforced with active participation in health processes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0040-1625","author":[{"dropping-particle":"","family":"Osei-Frimpong","given":"Kofi","non-dropping-particle":"","parse-names":false,"suffix":""},{"dropping-particle":"","family":"Wilson","given":"Alan","non-dropping-particle":"","parse-names":false,"suffix":""},{"dropping-particle":"","family":"Lemke","given":"Fred","non-dropping-particle":"","parse-names":false,"suffix":""}],"container-title":"Technological Forecasting and Social Change","id":"ITEM-1","issued":{"date-parts":[["2018"]]},"page":"14-27","publisher":"Elsevier","title":"Patient co-creation activities in healthcare service delivery at the micro level: The influence of online access to healthcare information","type":"article-journal","volume":"126"},"uris":["http://www.mendeley.com/documents/?uuid=d1219d28-950e-4364-8df4-c314a6880c4f"]},{"id":"ITEM-2","itemData":{"DOI":"10.2147/ieh.s93473","ISSN":"2324-5905","abstract":"Consumers value health and a sense of well-being. The health care system cannot supply these values, but only “products” such as hospitalization, ambulatory care, medica- tions, procedures, and preventative care. These components of health care represent neither the value within the system nor the desired final output. Nonetheless, the health care system has focused inordinately on the products, to the point of suggesting that they have intrinsic value. We link this situation to the concept of goods-dominant logic, which has dominated business and managerial thinking since the Industrial Revolution. We then explain why and how moving to service-dominant logic is essential for consumers and providers to better cocreate value from products which are not intrinsically valuable. The challenge of cocreating value is confounded by information asymmetry, and by the myriad factors in the health care ecosystem that contribute to or detract from health and well-being. A new lexicon, emanating from service-dominant logic, is suggested to facilitate the move away from a goods-dominant mindset.","author":[{"dropping-particle":"","family":"Joiner","given":"Keith","non-dropping-particle":"","parse-names":false,"suffix":""},{"dropping-particle":"","family":"Lusch","given":"Robert","non-dropping-particle":"","parse-names":false,"suffix":""}],"container-title":"Innovation and Entrepreneurship in Health","id":"ITEM-2","issued":{"date-parts":[["2016"]]},"page":"25","title":"Evolving to a new service-dominant logic for health care","type":"article-journal"},"uris":["http://www.mendeley.com/documents/?uuid=9ea58e15-5e88-4b60-8943-1f7edca95c26"]}],"mendeley":{"formattedCitation":"(Joiner &amp; Lusch, 2016; Osei-Frimpong et al., 2018)","plainTextFormattedCitation":"(Joiner &amp; Lusch, 2016; Osei-Frimpong et al., 2018)","previouslyFormattedCitation":"(Joiner &amp; Lusch, 2016; Osei-Frimpong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(Joiner &amp; Lusch, 2016; Osei-Frimpong et al., 2018)</w:t>
      </w:r>
      <w:r w:rsidRPr="005459E6">
        <w:rPr>
          <w:rFonts w:ascii="Times New Roman" w:hAnsi="Times New Roman" w:cs="Times New Roman"/>
        </w:rPr>
        <w:fldChar w:fldCharType="end"/>
      </w:r>
      <w:r w:rsidRPr="005459E6">
        <w:rPr>
          <w:rFonts w:ascii="Times New Roman" w:hAnsi="Times New Roman" w:cs="Times New Roman"/>
        </w:rPr>
        <w:t>.  Such a process of self-quantification and nudging is likely to yield new service innovation models to revolutionize Psychosomatic care for vulnerable patients where specific outcomes could be technology-formulated “tailor-made” risk prevention tactics, the communication of proactive or preventive measures, and a guide for therapeutic protocols.</w:t>
      </w:r>
    </w:p>
    <w:p w14:paraId="0FF39A19" w14:textId="77777777" w:rsidR="00E56D87" w:rsidRPr="005459E6" w:rsidRDefault="00E56D87" w:rsidP="00042CB0">
      <w:pPr>
        <w:shd w:val="clear" w:color="auto" w:fill="FFFFFF"/>
        <w:spacing w:line="360" w:lineRule="auto"/>
        <w:jc w:val="both"/>
        <w:rPr>
          <w:rFonts w:ascii="Times New Roman" w:hAnsi="Times New Roman" w:cs="Times New Roman"/>
        </w:rPr>
      </w:pPr>
      <w:r w:rsidRPr="005459E6">
        <w:rPr>
          <w:rFonts w:ascii="Times New Roman" w:hAnsi="Times New Roman" w:cs="Times New Roman"/>
        </w:rPr>
        <w:t xml:space="preserve">When the insights into the data-driven models are encapsulated as an App (or software application) or embedded on a Web portal (as a website back-end), it presents a strong case to achieve “Platformization.”  Finally, </w:t>
      </w:r>
      <w:r w:rsidRPr="005459E6">
        <w:rPr>
          <w:rFonts w:ascii="Times New Roman" w:eastAsia="Garamond" w:hAnsi="Times New Roman" w:cs="Times New Roman"/>
        </w:rPr>
        <w:t>conceived with the notion of prevention, personalization, and prediction, eHealth is about setting itself up to support the next frontier enabling Psychological Well-being.</w:t>
      </w:r>
    </w:p>
    <w:p w14:paraId="0F6B5DD1"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77" w:name="_Hlk85110739"/>
      <w:bookmarkStart w:id="478" w:name="_Toc99910319"/>
      <w:bookmarkStart w:id="479" w:name="_Toc99912141"/>
      <w:bookmarkStart w:id="480" w:name="_Toc107248340"/>
      <w:r w:rsidRPr="005459E6">
        <w:rPr>
          <w:rFonts w:ascii="Times New Roman" w:hAnsi="Times New Roman" w:cs="Times New Roman"/>
          <w:color w:val="auto"/>
          <w:sz w:val="22"/>
          <w:szCs w:val="22"/>
        </w:rPr>
        <w:t>Positive Emotions</w:t>
      </w:r>
      <w:bookmarkEnd w:id="477"/>
      <w:bookmarkEnd w:id="478"/>
      <w:bookmarkEnd w:id="479"/>
      <w:bookmarkEnd w:id="480"/>
    </w:p>
    <w:p w14:paraId="24FADF43"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Data analysis suggests that there exists a significant impact of Individual Lifestyle, Age, and Emotional states on Stress. The results of the linear regression model were also significant, </w:t>
      </w:r>
      <w:r w:rsidRPr="005459E6">
        <w:rPr>
          <w:rFonts w:ascii="Times New Roman" w:hAnsi="Times New Roman" w:cs="Times New Roman"/>
          <w:i/>
          <w:iCs/>
        </w:rPr>
        <w:t>F</w:t>
      </w:r>
      <w:r w:rsidRPr="005459E6">
        <w:rPr>
          <w:rFonts w:ascii="Times New Roman" w:hAnsi="Times New Roman" w:cs="Times New Roman"/>
        </w:rPr>
        <w:t xml:space="preserve">(11,1510) = 1553.62, </w:t>
      </w:r>
      <w:r w:rsidRPr="005459E6">
        <w:rPr>
          <w:rFonts w:ascii="Times New Roman" w:hAnsi="Times New Roman" w:cs="Times New Roman"/>
          <w:i/>
          <w:iCs/>
        </w:rPr>
        <w:t>p</w:t>
      </w:r>
      <w:r w:rsidRPr="005459E6">
        <w:rPr>
          <w:rFonts w:ascii="Times New Roman" w:hAnsi="Times New Roman" w:cs="Times New Roman"/>
        </w:rPr>
        <w:t xml:space="preserve"> &lt; .001, </w:t>
      </w:r>
      <w:r w:rsidRPr="005459E6">
        <w:rPr>
          <w:rFonts w:ascii="Times New Roman" w:hAnsi="Times New Roman" w:cs="Times New Roman"/>
          <w:i/>
          <w:iCs/>
        </w:rPr>
        <w:t>R</w:t>
      </w:r>
      <w:r w:rsidRPr="005459E6">
        <w:rPr>
          <w:rFonts w:ascii="Times New Roman" w:hAnsi="Times New Roman" w:cs="Times New Roman"/>
          <w:vertAlign w:val="superscript"/>
        </w:rPr>
        <w:t>2</w:t>
      </w:r>
      <w:r w:rsidRPr="005459E6">
        <w:rPr>
          <w:rFonts w:ascii="Times New Roman" w:hAnsi="Times New Roman" w:cs="Times New Roman"/>
        </w:rPr>
        <w:t xml:space="preserve"> = 0.92, indicating that approximately 92% of the variance in Stress is explainable by Age, Gender, Lifestyle, Sleep, State of Health, Engagement, Excitement, Relaxation, Interest, Intervention usability, and Therapeutic Intervention. </w:t>
      </w:r>
    </w:p>
    <w:p w14:paraId="4753D9FE"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Based on the same, we can reject the null hypothesis (</w:t>
      </w:r>
      <w:r w:rsidRPr="005459E6">
        <w:rPr>
          <w:rFonts w:ascii="Times New Roman" w:hAnsi="Times New Roman" w:cs="Times New Roman"/>
          <w:i/>
          <w:iCs/>
        </w:rPr>
        <w:t>H0), confirming</w:t>
      </w:r>
      <w:r w:rsidRPr="005459E6">
        <w:rPr>
          <w:rFonts w:ascii="Times New Roman" w:hAnsi="Times New Roman" w:cs="Times New Roman"/>
        </w:rPr>
        <w:t xml:space="preserve"> that </w:t>
      </w:r>
      <w:r w:rsidRPr="005459E6">
        <w:rPr>
          <w:rFonts w:ascii="Times New Roman" w:hAnsi="Times New Roman" w:cs="Times New Roman"/>
          <w:i/>
          <w:iCs/>
        </w:rPr>
        <w:t>Individual Lifestyle, Age, and Emotional states do not significantly predict Stress.</w:t>
      </w:r>
      <w:r w:rsidRPr="005459E6">
        <w:rPr>
          <w:rFonts w:ascii="Times New Roman" w:hAnsi="Times New Roman" w:cs="Times New Roman"/>
        </w:rPr>
        <w:t xml:space="preserve"> At the same time, individual attributes such as Engagement, Relaxation, Interest, and Focus also affect Stress levels.  </w:t>
      </w:r>
    </w:p>
    <w:p w14:paraId="76DEB824"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As we derive an ML-based treatment protocol, the study presents two-fold applications as follows.</w:t>
      </w:r>
    </w:p>
    <w:p w14:paraId="594B393C" w14:textId="77777777" w:rsidR="00E56D87" w:rsidRPr="005459E6" w:rsidRDefault="00E56D87" w:rsidP="00042CB0">
      <w:pPr>
        <w:spacing w:line="360" w:lineRule="auto"/>
        <w:jc w:val="both"/>
        <w:rPr>
          <w:rFonts w:ascii="Times New Roman" w:hAnsi="Times New Roman" w:cs="Times New Roman"/>
        </w:rPr>
      </w:pPr>
    </w:p>
    <w:p w14:paraId="35DF8BE3" w14:textId="77777777" w:rsidR="00E56D87" w:rsidRPr="005459E6" w:rsidRDefault="00E56D87" w:rsidP="00042CB0">
      <w:pPr>
        <w:pStyle w:val="Paragrafoelenco"/>
        <w:numPr>
          <w:ilvl w:val="0"/>
          <w:numId w:val="27"/>
        </w:numPr>
        <w:spacing w:before="0" w:after="160" w:line="360" w:lineRule="auto"/>
        <w:jc w:val="both"/>
        <w:rPr>
          <w:rFonts w:ascii="Times New Roman" w:hAnsi="Times New Roman" w:cs="Times New Roman"/>
          <w:b/>
          <w:bCs/>
        </w:rPr>
      </w:pPr>
      <w:r w:rsidRPr="005459E6">
        <w:rPr>
          <w:rFonts w:ascii="Times New Roman" w:hAnsi="Times New Roman" w:cs="Times New Roman"/>
          <w:b/>
          <w:bCs/>
        </w:rPr>
        <w:t>For Patients</w:t>
      </w:r>
    </w:p>
    <w:p w14:paraId="5C065C2E"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We have already established that Technology can play a prominent role while dealing with Psychosomatic Health. In this study, the neural data (in the form of EEG) can be captured using a BCI for “self-tracking” purposes. They can be modeled when fed to AI to provide cognitive indicators also known as “Nudges,” which could keep a check on Psychological Well-being.</w:t>
      </w:r>
    </w:p>
    <w:p w14:paraId="7B0B2CF2" w14:textId="79044FC3"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Continuous self-tracking can make an individual aware of the health situation, while data-driven and AI-supported nudging can keep the person proactive toward his/her health. For a patient, the above process where the emotions are augmented dynamically—using ML in real-time—can give rise to the self-efficacy experienced by an individual who is facilitated by the role of technology.</w:t>
      </w:r>
    </w:p>
    <w:p w14:paraId="76C830C1" w14:textId="77777777" w:rsidR="00E56D87" w:rsidRPr="005459E6" w:rsidRDefault="00E56D87" w:rsidP="00042CB0">
      <w:pPr>
        <w:spacing w:line="360" w:lineRule="auto"/>
        <w:jc w:val="both"/>
        <w:rPr>
          <w:rFonts w:ascii="Times New Roman" w:hAnsi="Times New Roman" w:cs="Times New Roman"/>
        </w:rPr>
      </w:pPr>
    </w:p>
    <w:p w14:paraId="79034B3B" w14:textId="77777777" w:rsidR="00E56D87" w:rsidRPr="005459E6" w:rsidRDefault="00E56D87" w:rsidP="00042CB0">
      <w:pPr>
        <w:pStyle w:val="Paragrafoelenco"/>
        <w:numPr>
          <w:ilvl w:val="0"/>
          <w:numId w:val="27"/>
        </w:numPr>
        <w:spacing w:before="0" w:after="160" w:line="360" w:lineRule="auto"/>
        <w:jc w:val="both"/>
        <w:rPr>
          <w:rFonts w:ascii="Times New Roman" w:hAnsi="Times New Roman" w:cs="Times New Roman"/>
          <w:b/>
          <w:bCs/>
        </w:rPr>
      </w:pPr>
      <w:r w:rsidRPr="005459E6">
        <w:rPr>
          <w:rFonts w:ascii="Times New Roman" w:hAnsi="Times New Roman" w:cs="Times New Roman"/>
          <w:b/>
          <w:bCs/>
        </w:rPr>
        <w:t>For Therapist</w:t>
      </w:r>
    </w:p>
    <w:p w14:paraId="0E69FEAA" w14:textId="3574E72C"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The state of emotions retrieved via EEG can be fed to AI systems to generate an experimental treatment protocol. From a Therapist’s point of view, such a protocol can offer insights into patients’ emotional state</w:t>
      </w:r>
      <w:r w:rsidR="00F77D10" w:rsidRPr="005459E6">
        <w:rPr>
          <w:rFonts w:ascii="Times New Roman" w:hAnsi="Times New Roman" w:cs="Times New Roman"/>
        </w:rPr>
        <w:t>s</w:t>
      </w:r>
      <w:r w:rsidRPr="005459E6">
        <w:rPr>
          <w:rFonts w:ascii="Times New Roman" w:hAnsi="Times New Roman" w:cs="Times New Roman"/>
        </w:rPr>
        <w:t xml:space="preserve"> and help support/expedite their treatment plans based on cost and access.</w:t>
      </w:r>
    </w:p>
    <w:p w14:paraId="135B6659" w14:textId="77777777" w:rsidR="00E56D87" w:rsidRPr="005459E6" w:rsidRDefault="00E56D87" w:rsidP="00042CB0">
      <w:pPr>
        <w:spacing w:line="360" w:lineRule="auto"/>
        <w:jc w:val="both"/>
        <w:rPr>
          <w:rFonts w:ascii="Times New Roman" w:hAnsi="Times New Roman" w:cs="Times New Roman"/>
        </w:rPr>
      </w:pPr>
    </w:p>
    <w:p w14:paraId="34722CB7" w14:textId="77777777" w:rsidR="00E56D87" w:rsidRPr="005459E6" w:rsidRDefault="00E56D87" w:rsidP="00042CB0">
      <w:pPr>
        <w:spacing w:line="360" w:lineRule="auto"/>
        <w:jc w:val="both"/>
        <w:rPr>
          <w:rFonts w:ascii="Times New Roman" w:hAnsi="Times New Roman" w:cs="Times New Roman"/>
        </w:rPr>
      </w:pPr>
    </w:p>
    <w:p w14:paraId="1B2A2DCB" w14:textId="77777777" w:rsidR="00E56D87" w:rsidRPr="005459E6" w:rsidRDefault="00E56D87" w:rsidP="00042CB0">
      <w:pPr>
        <w:spacing w:line="360" w:lineRule="auto"/>
        <w:jc w:val="both"/>
        <w:rPr>
          <w:rFonts w:ascii="Times New Roman" w:hAnsi="Times New Roman" w:cs="Times New Roman"/>
        </w:rPr>
      </w:pPr>
    </w:p>
    <w:p w14:paraId="3C2B78E6" w14:textId="77777777" w:rsidR="00E56D87" w:rsidRPr="005459E6" w:rsidRDefault="00E56D87" w:rsidP="00042CB0">
      <w:pPr>
        <w:pStyle w:val="Titolo2"/>
        <w:spacing w:line="360" w:lineRule="auto"/>
        <w:jc w:val="both"/>
        <w:rPr>
          <w:rFonts w:ascii="Times New Roman" w:hAnsi="Times New Roman" w:cs="Times New Roman"/>
          <w:color w:val="auto"/>
          <w:sz w:val="22"/>
          <w:szCs w:val="22"/>
        </w:rPr>
      </w:pPr>
      <w:bookmarkStart w:id="481" w:name="_Toc99910320"/>
      <w:bookmarkStart w:id="482" w:name="_Toc99912142"/>
      <w:bookmarkStart w:id="483" w:name="_Toc107248341"/>
      <w:r w:rsidRPr="005459E6">
        <w:rPr>
          <w:rFonts w:ascii="Times New Roman" w:hAnsi="Times New Roman" w:cs="Times New Roman"/>
          <w:color w:val="auto"/>
          <w:sz w:val="22"/>
          <w:szCs w:val="22"/>
        </w:rPr>
        <w:t>Generating Value</w:t>
      </w:r>
      <w:bookmarkEnd w:id="481"/>
      <w:bookmarkEnd w:id="482"/>
      <w:bookmarkEnd w:id="483"/>
      <w:r w:rsidRPr="005459E6">
        <w:rPr>
          <w:rFonts w:ascii="Times New Roman" w:hAnsi="Times New Roman" w:cs="Times New Roman"/>
          <w:color w:val="auto"/>
          <w:sz w:val="22"/>
          <w:szCs w:val="22"/>
        </w:rPr>
        <w:t xml:space="preserve"> </w:t>
      </w:r>
    </w:p>
    <w:p w14:paraId="599CEEB0" w14:textId="1E4FA3F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Co-creation in health is a term used by service researchers to describe the resource integration process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{"citationItems":[{"id":"ITEM-1","itemData":{"author":[{"dropping-particle":"","family":"McColl-Kennedy","given":"Janet R","non-dropping-particle":"","parse-names":false,"suffix":""},{"dropping-particle":"","family":"Cheung","given":"Lilliemay","non-dropping-particle":"","parse-names":false,"suffix":""},{"dropping-particle":"","family":"Ferrier","given":"Elizabeth","non-dropping-particle":"","parse-names":false,"suffix":""}],"container-title":"Journal of Service Management","id":"ITEM-1","issue":"2","issued":{"date-parts":[["2015"]]},"page":"249-275","title":"Co-creating service experience practices","type":"article-journal","volume":"26"},"uris":["http://www.mendeley.com/documents/?uuid=427f8426-fc04-4b5a-a470-f93469f3af32"]}],"mendeley":{"formattedCitation":"(McColl-Kennedy et al., 2015)","plainTextFormattedCitation":"(McColl-Kennedy et al., 2015)","previouslyFormattedCitation":"(McColl-Kennedy et al., 2015)"},"properties":{"noteIndex":0},"schema":"https://github.com/citation-style-language/schema/raw/master/csl-citation.json"}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(McColl-Kennedy et al., 2015)</w:t>
      </w:r>
      <w:r w:rsidRPr="005459E6">
        <w:rPr>
          <w:rFonts w:ascii="Times New Roman" w:hAnsi="Times New Roman" w:cs="Times New Roman"/>
        </w:rPr>
        <w:fldChar w:fldCharType="end"/>
      </w:r>
      <w:r w:rsidRPr="005459E6">
        <w:rPr>
          <w:rFonts w:ascii="Times New Roman" w:hAnsi="Times New Roman" w:cs="Times New Roman"/>
        </w:rPr>
        <w:t xml:space="preserve"> that occurs between actors within a service ecosystem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Management","id":"ITEM-1","issued":{"date-parts":[["2016"]]},"page":"24-39","publisher":"Elsevier B.V.","title":"Co-creation practices: Their role in shaping a health care ecosystem","type":"article-journal","volume":"56"},"uris":["http://www.mendeley.com/documents/?uuid=5025b076-b108-4476-a65b-c3bceebbd2f2"]}],"mendeley":{"formattedCitation":"(Frow et al., 2016b)","plainTextFormattedCitation":"(Frow et al., 2016b)","previouslyFormattedCitation":"(Frow et al., 2016b)"},"properties":{"noteIndex":0},"schema":"https://github.com/citation-style-language/schema/raw/master/csl-citation.json"}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(Frow et al., 2016b)</w:t>
      </w:r>
      <w:r w:rsidRPr="005459E6">
        <w:rPr>
          <w:rFonts w:ascii="Times New Roman" w:hAnsi="Times New Roman" w:cs="Times New Roman"/>
        </w:rPr>
        <w:fldChar w:fldCharType="end"/>
      </w:r>
      <w:r w:rsidRPr="005459E6">
        <w:rPr>
          <w:rFonts w:ascii="Times New Roman" w:hAnsi="Times New Roman" w:cs="Times New Roman"/>
        </w:rPr>
        <w:t xml:space="preserve">. AI, together with IoT devices, is converging in many businesses with significant potential for elevating the use of data and other resources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9788793102958","author":[{"dropping-particle":"","family":"Vermesan","given":"Ovidiu","non-dropping-particle":"","parse-names":false,"suffix":""},{"dropping-particle":"","family":"Friess","given":"Peter","non-dropping-particle":"","parse-names":false,"suffix":""},{"dropping-particle":"","family":"Guillemin","given":"Patrick","non-dropping-particle":"","parse-names":false,"suffix":""},{"dropping-particle":"","family":"Sundmaeker","given":"Harald","non-dropping-particle":"","parse-names":false,"suffix":""},{"dropping-particle":"","family":"Eisenhauer","given":"Markus","non-dropping-particle":"","parse-names":false,"suffix":""},{"dropping-particle":"","family":"Moessner","given":"Klaus","non-dropping-particle":"","parse-names":false,"suffix":""},{"dropping-particle":"","family":"Arndt","given":"Marilyn","non-dropping-particle":"","parse-names":false,"suffix":""},{"dropping-particle":"","family":"Spirito","given":"Maurizio","non-dropping-particle":"","parse-names":false,"suffix":""},{"dropping-particle":"","family":"Medagliani","given":"Paolo","non-dropping-particle":"","parse-names":false,"suffix":""},{"dropping-particle":"","family":"Giaffreda","given":"Raffaele","non-dropping-particle":"","parse-names":false,"suffix":""},{"dropping-particle":"","family":"Gusmeroli","given":"Sergio","non-dropping-particle":"","parse-names":false,"suffix":""},{"dropping-particle":"","family":"Ladid","given":"Latif","non-dropping-particle":"","parse-names":false,"suffix":""},{"dropping-particle":"","family":"Serrano","given":"Martin","non-dropping-particle":"","parse-names":false,"suffix":""},{"dropping-particle":"","family":"Hauswirth","given":"Manfred","non-dropping-particle":"","parse-names":false,"suffix":""},{"dropping-particle":"","family":"Baldini","given":"Gianmarco","non-dropping-particle":"","parse-names":false,"suffix":""}],"container-title":"Internet of Things Applications: From Research and Innovation to Market Deployment","id":"ITEM-1","issued":{"date-parts":[["2014"]]},"page":"7-142","title":"Internet of Things strategic research and innovation Agenda","type":"article-journal"},"uris":["http://www.mendeley.com/documents/?uuid=d2a72936-be2d-4a04-9d14-8693166353c0"]}],"mendeley":{"formattedCitation":"(Vermesan et al., 2014)","plainTextFormattedCitation":"(Vermesan et al., 2014)","previouslyFormattedCitation":"(Vermesan et al., 2014)"},"properties":{"noteIndex":0},"schema":"https://github.com/citation-style-language/schema/raw/master/csl-citation.json"}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(Vermesan et al., 2014)</w:t>
      </w:r>
      <w:r w:rsidRPr="005459E6">
        <w:rPr>
          <w:rFonts w:ascii="Times New Roman" w:hAnsi="Times New Roman" w:cs="Times New Roman"/>
        </w:rPr>
        <w:fldChar w:fldCharType="end"/>
      </w:r>
      <w:r w:rsidRPr="005459E6">
        <w:rPr>
          <w:rFonts w:ascii="Times New Roman" w:hAnsi="Times New Roman" w:cs="Times New Roman"/>
        </w:rPr>
        <w:t xml:space="preserv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{"citationItems":[{"id":"ITEM-1","itemData":{"DOI":"10.2147/ieh.s93473","ISSN":"2324-5905","abstract":"Consumers value health and a sense of well-being. The health care system cannot supply these values, but only “products” such as hospitalization, ambulatory care, medica- tions, procedures, and preventative care. These components of health care represent neither the value within the system nor the desired final output. Nonetheless, the health care system has focused inordinately on the products, to the point of suggesting that they have intrinsic value. We link this situation to the concept of goods-dominant logic, which has dominated business and managerial thinking since the Industrial Revolution. We then explain why and how moving to service-dominant logic is essential for consumers and providers to better cocreate value from products which are not intrinsically valuable. The challenge of cocreating value is confounded by information asymmetry, and by the myriad factors in the health care ecosystem that contribute to or detract from health and well-being. A new lexicon, emanating from service-dominant logic, is suggested to facilitate the move away from a goods-dominant mindset.","author":[{"dropping-particle":"","family":"Joiner","given":"Keith","non-dropping-particle":"","parse-names":false,"suffix":""},{"dropping-particle":"","family":"Lusch","given":"Robert","non-dropping-particle":"","parse-names":false,"suffix":""}],"container-title":"Innovation and Entrepreneurship in Health","id":"ITEM-1","issued":{"date-parts":[["2016"]]},"page":"25","title":"Evolving to a new service-dominant logic for health care","type":"article-journal"},"uris":["http://www.mendeley.com/documents/?uuid=9ea58e15-5e88-4b60-8943-1f7edca95c26"]}],"mendeley":{"formattedCitation":"(Joiner &amp; Lusch, 2016)","manualFormatting":"Joiner &amp; Lusch (2016)","plainTextFormattedCitation":"(Joiner &amp; Lusch, 2016)","previouslyFormattedCitation":"(Joiner &amp; Lusch, 2016)"},"properties":{"noteIndex":0},"schema":"https://github.com/citation-style-language/schema/raw/master/csl-citation.json"}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Joiner &amp; Lusch (2016)</w:t>
      </w:r>
      <w:r w:rsidRPr="005459E6">
        <w:rPr>
          <w:rFonts w:ascii="Times New Roman" w:hAnsi="Times New Roman" w:cs="Times New Roman"/>
        </w:rPr>
        <w:fldChar w:fldCharType="end"/>
      </w:r>
      <w:r w:rsidRPr="005459E6">
        <w:rPr>
          <w:rFonts w:ascii="Times New Roman" w:hAnsi="Times New Roman" w:cs="Times New Roman"/>
        </w:rPr>
        <w:t xml:space="preserve"> have highlighted the potential role of smart devices in health services as they improve consumer self-efficacy. The future of smart systems will present social and physical offerings that will result in improved service in a given context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{"citationItems":[{"id":"ITEM-1","itemData":{"ISSN":"0167-8116","author":[{"dropping-particle":"","family":"Ng","given":"Irene C L","non-dropping-particle":"","parse-names":false,"suffix":""},{"dropping-particle":"","family":"Wakenshaw","given":"Susan Y L","non-dropping-particle":"","parse-names":false,"suffix":""}],"container-title":"International Journal of Research in Marketing","id":"ITEM-1","issue":"1","issued":{"date-parts":[["2017"]]},"page":"3-21","publisher":"Elsevier","title":"The Internet-of-Things: Review and research directions","type":"article-journal","volume":"34"},"uris":["http://www.mendeley.com/documents/?uuid=8112edfb-94ef-4b02-80ed-962f3115c718"]}],"mendeley":{"formattedCitation":"(Ng &amp; Wakenshaw, 2017)","plainTextFormattedCitation":"(Ng &amp; Wakenshaw, 2017)","previouslyFormattedCitation":"(Ng &amp; Wakenshaw,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(Ng &amp; Wakenshaw, 2017)</w:t>
      </w:r>
      <w:r w:rsidRPr="005459E6">
        <w:rPr>
          <w:rFonts w:ascii="Times New Roman" w:hAnsi="Times New Roman" w:cs="Times New Roman"/>
        </w:rPr>
        <w:fldChar w:fldCharType="end"/>
      </w:r>
      <w:r w:rsidRPr="005459E6">
        <w:rPr>
          <w:rFonts w:ascii="Times New Roman" w:hAnsi="Times New Roman" w:cs="Times New Roman"/>
        </w:rPr>
        <w:t>.</w:t>
      </w:r>
      <w:r w:rsidR="00CE2E18" w:rsidRPr="005459E6">
        <w:rPr>
          <w:rFonts w:ascii="Times New Roman" w:hAnsi="Times New Roman" w:cs="Times New Roman"/>
        </w:rPr>
        <w:t xml:space="preserve"> </w:t>
      </w:r>
      <w:r w:rsidRPr="005459E6">
        <w:rPr>
          <w:rFonts w:ascii="Times New Roman" w:hAnsi="Times New Roman" w:cs="Times New Roman"/>
        </w:rPr>
        <w:t>The given study reflects on the actors (stressors/interventions) that affect psychopathic health and evolves into a resource integration process (using AI) to fulfill value co-creation (in terms of betterment of health). The application of ML can leverage on brain-related (EEG) data and address complexities in the system to enhance the overall resource density. Considering several permutations and combinations presented by psychological barriers, and identifying the physical factors associated with the state of mental health and leveraging technology, the proposed research helps in faster implementation of therapy.</w:t>
      </w:r>
    </w:p>
    <w:p w14:paraId="747DB64B" w14:textId="77777777" w:rsidR="00E56D87" w:rsidRPr="005459E6" w:rsidRDefault="00E56D87" w:rsidP="00042CB0">
      <w:pPr>
        <w:spacing w:line="360" w:lineRule="auto"/>
        <w:jc w:val="both"/>
        <w:rPr>
          <w:rFonts w:ascii="Times New Roman" w:hAnsi="Times New Roman" w:cs="Times New Roman"/>
          <w:u w:val="single"/>
        </w:rPr>
      </w:pPr>
      <w:r w:rsidRPr="005459E6">
        <w:rPr>
          <w:rFonts w:ascii="Times New Roman" w:hAnsi="Times New Roman" w:cs="Times New Roman"/>
          <w:u w:val="single"/>
        </w:rPr>
        <w:t>The value can be co-created at three different levels:</w:t>
      </w:r>
    </w:p>
    <w:p w14:paraId="15C74BB7" w14:textId="77777777" w:rsidR="00E56D87" w:rsidRPr="005459E6" w:rsidRDefault="00E56D87" w:rsidP="00042CB0">
      <w:pPr>
        <w:numPr>
          <w:ilvl w:val="0"/>
          <w:numId w:val="16"/>
        </w:numPr>
        <w:spacing w:line="360" w:lineRule="auto"/>
        <w:jc w:val="both"/>
        <w:rPr>
          <w:rFonts w:ascii="Times New Roman" w:hAnsi="Times New Roman" w:cs="Times New Roman"/>
        </w:rPr>
      </w:pPr>
      <w:r w:rsidRPr="005459E6">
        <w:rPr>
          <w:rFonts w:ascii="Times New Roman" w:hAnsi="Times New Roman" w:cs="Times New Roman"/>
        </w:rPr>
        <w:t>For an Individual, Stressors can be mitigated through specific actors to manage stress for the betterment of Psychological Well-being.</w:t>
      </w:r>
    </w:p>
    <w:p w14:paraId="19B077AF" w14:textId="77777777" w:rsidR="00E56D87" w:rsidRPr="005459E6" w:rsidRDefault="00E56D87" w:rsidP="00042CB0">
      <w:pPr>
        <w:numPr>
          <w:ilvl w:val="0"/>
          <w:numId w:val="16"/>
        </w:numPr>
        <w:spacing w:line="360" w:lineRule="auto"/>
        <w:jc w:val="both"/>
        <w:rPr>
          <w:rFonts w:ascii="Times New Roman" w:hAnsi="Times New Roman" w:cs="Times New Roman"/>
        </w:rPr>
      </w:pPr>
      <w:r w:rsidRPr="005459E6">
        <w:rPr>
          <w:rFonts w:ascii="Times New Roman" w:hAnsi="Times New Roman" w:cs="Times New Roman"/>
        </w:rPr>
        <w:t>For an Organization, an Individual's Well-being can lead to higher Workplace Productivity. In the long term, this can also reflect on Organizational Performance.</w:t>
      </w:r>
    </w:p>
    <w:p w14:paraId="7FF97C27" w14:textId="0ED724A0" w:rsidR="00E56D87" w:rsidRPr="005459E6" w:rsidRDefault="00E56D87" w:rsidP="00042CB0">
      <w:pPr>
        <w:numPr>
          <w:ilvl w:val="0"/>
          <w:numId w:val="16"/>
        </w:numPr>
        <w:spacing w:line="360" w:lineRule="auto"/>
        <w:jc w:val="both"/>
        <w:rPr>
          <w:rFonts w:ascii="Times New Roman" w:hAnsi="Times New Roman" w:cs="Times New Roman"/>
        </w:rPr>
      </w:pPr>
      <w:r w:rsidRPr="005459E6">
        <w:rPr>
          <w:rFonts w:ascii="Times New Roman" w:hAnsi="Times New Roman" w:cs="Times New Roman"/>
        </w:rPr>
        <w:t>For the Healthcare ecosystem, the (In-house) Therapists may be able to use technology and to adapt New Normal for stress management to enhance Psychological Well-being.</w:t>
      </w:r>
    </w:p>
    <w:p w14:paraId="6BFC07A2" w14:textId="70D91151" w:rsidR="00E56D87" w:rsidRPr="005459E6" w:rsidRDefault="00E56D87" w:rsidP="00042CB0">
      <w:pPr>
        <w:spacing w:line="360" w:lineRule="auto"/>
        <w:jc w:val="both"/>
        <w:rPr>
          <w:rFonts w:ascii="Times New Roman" w:hAnsi="Times New Roman" w:cs="Times New Roman"/>
          <w:i/>
          <w:iCs/>
        </w:rPr>
      </w:pPr>
      <w:r w:rsidRPr="005459E6">
        <w:rPr>
          <w:rFonts w:ascii="Times New Roman" w:hAnsi="Times New Roman" w:cs="Times New Roman"/>
          <w:i/>
          <w:iCs/>
        </w:rPr>
        <w:t>Spatial flexibility offered through the act of self-tracking can facilitate cognitive assistance using the nudging mechanism, which could facilitate self-quantification leading to self-efficacy.</w:t>
      </w:r>
      <w:r w:rsidR="00CE2E18" w:rsidRPr="005459E6">
        <w:rPr>
          <w:rFonts w:ascii="Times New Roman" w:hAnsi="Times New Roman" w:cs="Times New Roman"/>
          <w:i/>
          <w:iCs/>
        </w:rPr>
        <w:t xml:space="preserve"> </w:t>
      </w:r>
      <w:r w:rsidRPr="005459E6">
        <w:rPr>
          <w:rFonts w:ascii="Times New Roman" w:hAnsi="Times New Roman" w:cs="Times New Roman"/>
          <w:i/>
          <w:iCs/>
        </w:rPr>
        <w:t>This process can support an individual to stay in control where he/she can check the biofeedback, act on it if required, and adapt to it. In the process, the individual can be supported by the health professional or technology.</w:t>
      </w:r>
    </w:p>
    <w:p w14:paraId="2B21A7DE" w14:textId="219556D3" w:rsidR="00CE2E18" w:rsidRPr="005459E6" w:rsidRDefault="0076422A" w:rsidP="00042CB0">
      <w:pPr>
        <w:spacing w:line="360" w:lineRule="auto"/>
        <w:jc w:val="both"/>
        <w:rPr>
          <w:rFonts w:ascii="Times New Roman" w:hAnsi="Times New Roman" w:cs="Times New Roman"/>
        </w:rPr>
      </w:pPr>
      <w:r w:rsidRPr="005459E6">
        <w:rPr>
          <w:rFonts w:ascii="Times New Roman" w:hAnsi="Times New Roman" w:cs="Times New Roman"/>
        </w:rPr>
        <w:t xml:space="preserve">Thus </w:t>
      </w:r>
      <w:r w:rsidR="00CE2E18" w:rsidRPr="005459E6">
        <w:rPr>
          <w:rFonts w:ascii="Times New Roman" w:hAnsi="Times New Roman" w:cs="Times New Roman"/>
        </w:rPr>
        <w:t>Observation</w:t>
      </w:r>
      <w:r w:rsidRPr="005459E6">
        <w:rPr>
          <w:rFonts w:ascii="Times New Roman" w:hAnsi="Times New Roman" w:cs="Times New Roman"/>
        </w:rPr>
        <w:t xml:space="preserve"> in the given study</w:t>
      </w:r>
      <w:r w:rsidR="00CE2E18" w:rsidRPr="005459E6">
        <w:rPr>
          <w:rFonts w:ascii="Times New Roman" w:hAnsi="Times New Roman" w:cs="Times New Roman"/>
        </w:rPr>
        <w:t xml:space="preserve"> mainly consists of Cognitive Attributes, State of Mind &amp; Well-being achieved through technology. It indicates that a feed of EEG signal can be directed to ML model using Brain Computer Interface. With practice such as ‘Self Quantification’ a state of mind can be determined through the provision of cognitive indicators. The ‘Nudging’ makes emotions being augmented dynamically to act as smart Nudges through the process of Artificial intelligence. The process results in improved Well-being, ultimately enhancing workplace productivity.</w:t>
      </w:r>
    </w:p>
    <w:p w14:paraId="65D0F04F" w14:textId="77777777" w:rsidR="00E56D87" w:rsidRPr="005459E6" w:rsidRDefault="00E56D87" w:rsidP="00042CB0">
      <w:pPr>
        <w:pStyle w:val="Titolo1"/>
        <w:spacing w:line="360" w:lineRule="auto"/>
        <w:jc w:val="both"/>
        <w:rPr>
          <w:rFonts w:ascii="Times New Roman" w:hAnsi="Times New Roman" w:cs="Times New Roman"/>
          <w:b/>
          <w:bCs/>
          <w:color w:val="auto"/>
          <w:sz w:val="22"/>
          <w:szCs w:val="22"/>
        </w:rPr>
      </w:pPr>
      <w:bookmarkStart w:id="484" w:name="_Toc99912143"/>
      <w:bookmarkStart w:id="485" w:name="_Toc107248342"/>
      <w:r w:rsidRPr="005459E6">
        <w:rPr>
          <w:rFonts w:ascii="Times New Roman" w:hAnsi="Times New Roman" w:cs="Times New Roman"/>
          <w:b/>
          <w:bCs/>
          <w:color w:val="auto"/>
          <w:sz w:val="22"/>
          <w:szCs w:val="22"/>
        </w:rPr>
        <w:t>DISCUSSIONS</w:t>
      </w:r>
      <w:bookmarkEnd w:id="484"/>
      <w:bookmarkEnd w:id="485"/>
    </w:p>
    <w:p w14:paraId="45F8AB9C" w14:textId="5C44379A" w:rsidR="0091007E" w:rsidRPr="005459E6" w:rsidRDefault="00A271FE" w:rsidP="00042CB0">
      <w:pPr>
        <w:spacing w:line="360" w:lineRule="auto"/>
        <w:jc w:val="both"/>
        <w:rPr>
          <w:rFonts w:ascii="Times New Roman" w:hAnsi="Times New Roman" w:cs="Times New Roman"/>
        </w:rPr>
      </w:pPr>
      <w:r w:rsidRPr="005459E6">
        <w:rPr>
          <w:rFonts w:ascii="Times New Roman" w:hAnsi="Times New Roman" w:cs="Times New Roman"/>
        </w:rPr>
        <w:t xml:space="preserve">In services research, </w:t>
      </w:r>
      <w:r w:rsidR="0028066C" w:rsidRPr="005459E6">
        <w:rPr>
          <w:rFonts w:ascii="Times New Roman" w:hAnsi="Times New Roman" w:cs="Times New Roman"/>
        </w:rPr>
        <w:t>t</w:t>
      </w:r>
      <w:r w:rsidRPr="005459E6">
        <w:rPr>
          <w:rFonts w:ascii="Times New Roman" w:hAnsi="Times New Roman" w:cs="Times New Roman"/>
        </w:rPr>
        <w:t xml:space="preserve">echnology (such as AI) can impact psychological well-being (which is nothing but a reflection of psychological health.) Through </w:t>
      </w:r>
      <w:r w:rsidR="00F77D10" w:rsidRPr="005459E6">
        <w:rPr>
          <w:rFonts w:ascii="Times New Roman" w:hAnsi="Times New Roman" w:cs="Times New Roman"/>
        </w:rPr>
        <w:t xml:space="preserve">the </w:t>
      </w:r>
      <w:r w:rsidRPr="005459E6">
        <w:rPr>
          <w:rFonts w:ascii="Times New Roman" w:hAnsi="Times New Roman" w:cs="Times New Roman"/>
        </w:rPr>
        <w:t>SD-L lens comprising actors and resource integrators</w:t>
      </w:r>
      <w:r w:rsidR="00F77D10" w:rsidRPr="005459E6">
        <w:rPr>
          <w:rFonts w:ascii="Times New Roman" w:hAnsi="Times New Roman" w:cs="Times New Roman"/>
        </w:rPr>
        <w:t>,</w:t>
      </w:r>
      <w:r w:rsidRPr="005459E6">
        <w:rPr>
          <w:rFonts w:ascii="Times New Roman" w:hAnsi="Times New Roman" w:cs="Times New Roman"/>
        </w:rPr>
        <w:t xml:space="preserve"> it can be achieved by ‘Self</w:t>
      </w:r>
      <w:r w:rsidR="00F77D10" w:rsidRPr="005459E6">
        <w:rPr>
          <w:rFonts w:ascii="Times New Roman" w:hAnsi="Times New Roman" w:cs="Times New Roman"/>
        </w:rPr>
        <w:t>-</w:t>
      </w:r>
      <w:r w:rsidRPr="005459E6">
        <w:rPr>
          <w:rFonts w:ascii="Times New Roman" w:hAnsi="Times New Roman" w:cs="Times New Roman"/>
        </w:rPr>
        <w:t xml:space="preserve">tracking’ and ‘Nudging’. The process involves </w:t>
      </w:r>
      <w:r w:rsidR="00F77D10" w:rsidRPr="005459E6">
        <w:rPr>
          <w:rFonts w:ascii="Times New Roman" w:hAnsi="Times New Roman" w:cs="Times New Roman"/>
        </w:rPr>
        <w:t xml:space="preserve">the </w:t>
      </w:r>
      <w:r w:rsidRPr="005459E6">
        <w:rPr>
          <w:rFonts w:ascii="Times New Roman" w:hAnsi="Times New Roman" w:cs="Times New Roman"/>
        </w:rPr>
        <w:t>interplay of actors and self-quantification leading to improved psychological health &amp; wellbeing. The actors (Age/Gender/Sleep/BMI/Lifestyle/State of Health) along with emotional states (ENGAGEMENT, EXCITEMENT, RELAXATION, INTEREST, FOCUS &amp; STRESS)</w:t>
      </w:r>
      <w:r w:rsidR="00F61C4A" w:rsidRPr="005459E6">
        <w:rPr>
          <w:rFonts w:ascii="Times New Roman" w:hAnsi="Times New Roman" w:cs="Times New Roman"/>
        </w:rPr>
        <w:t xml:space="preserve"> fulfill</w:t>
      </w:r>
      <w:r w:rsidRPr="005459E6">
        <w:rPr>
          <w:rFonts w:ascii="Times New Roman" w:hAnsi="Times New Roman" w:cs="Times New Roman"/>
        </w:rPr>
        <w:t xml:space="preserve"> resource Integrators (IoMT and AI) </w:t>
      </w:r>
      <w:r w:rsidR="00652B55" w:rsidRPr="005459E6">
        <w:rPr>
          <w:rFonts w:ascii="Times New Roman" w:hAnsi="Times New Roman" w:cs="Times New Roman"/>
        </w:rPr>
        <w:t>to</w:t>
      </w:r>
      <w:r w:rsidRPr="005459E6">
        <w:rPr>
          <w:rFonts w:ascii="Times New Roman" w:hAnsi="Times New Roman" w:cs="Times New Roman"/>
        </w:rPr>
        <w:t xml:space="preserve"> enhance the Resource Density. The dynamics involved in achieving psychological well</w:t>
      </w:r>
      <w:r w:rsidR="00F77D10" w:rsidRPr="005459E6">
        <w:rPr>
          <w:rFonts w:ascii="Times New Roman" w:hAnsi="Times New Roman" w:cs="Times New Roman"/>
        </w:rPr>
        <w:t>-</w:t>
      </w:r>
      <w:r w:rsidRPr="005459E6">
        <w:rPr>
          <w:rFonts w:ascii="Times New Roman" w:hAnsi="Times New Roman" w:cs="Times New Roman"/>
        </w:rPr>
        <w:t xml:space="preserve">being reflect positively on workplace productivity as </w:t>
      </w:r>
      <w:r w:rsidR="00F77D10" w:rsidRPr="005459E6">
        <w:rPr>
          <w:rFonts w:ascii="Times New Roman" w:hAnsi="Times New Roman" w:cs="Times New Roman"/>
        </w:rPr>
        <w:t xml:space="preserve">a </w:t>
      </w:r>
      <w:r w:rsidRPr="005459E6">
        <w:rPr>
          <w:rFonts w:ascii="Times New Roman" w:hAnsi="Times New Roman" w:cs="Times New Roman"/>
        </w:rPr>
        <w:t xml:space="preserve">co-created value. </w:t>
      </w:r>
    </w:p>
    <w:p w14:paraId="1B9FE569" w14:textId="61A6874D" w:rsidR="00E56D87" w:rsidRPr="005459E6" w:rsidRDefault="0091007E" w:rsidP="00042CB0">
      <w:pPr>
        <w:spacing w:line="360" w:lineRule="auto"/>
        <w:jc w:val="both"/>
        <w:rPr>
          <w:rFonts w:ascii="Times New Roman" w:hAnsi="Times New Roman" w:cs="Times New Roman"/>
        </w:rPr>
      </w:pPr>
      <w:r w:rsidRPr="005459E6">
        <w:rPr>
          <w:rFonts w:ascii="Times New Roman" w:hAnsi="Times New Roman" w:cs="Times New Roman"/>
        </w:rPr>
        <w:t>Actors are entities that are part of a system and are either actively or passively involved in contextual practices. According to a wide range of literature, an actor can assist another actor in improving their capabilities and integrating new resources through shared practices. Technologies (as one of the actors) can change the broad scope of practices by reconfiguring human participation to present a new context. Furthermore, rather than simply reproducing reality, such practices continuously shape and format the reality. The actors are influenced by technological and social contexts and engage in resource-integrating interactions and collaboratively create value for the beneficiaries, both directly and indirectly.</w:t>
      </w:r>
    </w:p>
    <w:p w14:paraId="6030B766" w14:textId="20E237AD"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In the present study, the patient is treated as one of the active actors and technology </w:t>
      </w:r>
      <w:r w:rsidR="00521904" w:rsidRPr="005459E6">
        <w:rPr>
          <w:rFonts w:ascii="Times New Roman" w:hAnsi="Times New Roman" w:cs="Times New Roman"/>
        </w:rPr>
        <w:t>is</w:t>
      </w:r>
      <w:r w:rsidRPr="005459E6">
        <w:rPr>
          <w:rFonts w:ascii="Times New Roman" w:hAnsi="Times New Roman" w:cs="Times New Roman"/>
        </w:rPr>
        <w:t xml:space="preserve"> another significant one that engages in resource integration. </w:t>
      </w:r>
      <w:bookmarkStart w:id="486" w:name="_Hlk85568040"/>
      <w:r w:rsidRPr="005459E6">
        <w:rPr>
          <w:rFonts w:ascii="Times New Roman" w:hAnsi="Times New Roman" w:cs="Times New Roman"/>
        </w:rPr>
        <w:t xml:space="preserve">As </w:t>
      </w:r>
      <w:r w:rsidRPr="005459E6">
        <w:rPr>
          <w:rFonts w:ascii="Times New Roman" w:hAnsi="Times New Roman" w:cs="Times New Roman"/>
          <w:b/>
          <w:bCs/>
        </w:rPr>
        <w:t>Figure 32</w:t>
      </w:r>
      <w:r w:rsidRPr="005459E6">
        <w:rPr>
          <w:rFonts w:ascii="Times New Roman" w:hAnsi="Times New Roman" w:cs="Times New Roman"/>
        </w:rPr>
        <w:t xml:space="preserve"> shows, the relationship between Interest and Relaxation indicated by the ML model could be helpful in effectively managing stress levels to drive positive outcomes (in the form of optimal stress). Apart from “Relaxation,” research also suggests considering “Interest” as a significant factor. </w:t>
      </w:r>
    </w:p>
    <w:p w14:paraId="47F89E1E"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noProof/>
          <w:lang w:val="en-IN" w:eastAsia="en-IN"/>
        </w:rPr>
        <w:drawing>
          <wp:inline distT="0" distB="0" distL="0" distR="0" wp14:anchorId="5692553B" wp14:editId="4D3A06E7">
            <wp:extent cx="5130800" cy="2400300"/>
            <wp:effectExtent l="0" t="0" r="0" b="0"/>
            <wp:docPr id="61" name="Picture 6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histogram&#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t="11751" b="6564"/>
                    <a:stretch>
                      <a:fillRect/>
                    </a:stretch>
                  </pic:blipFill>
                  <pic:spPr bwMode="auto">
                    <a:xfrm>
                      <a:off x="0" y="0"/>
                      <a:ext cx="5179393" cy="2423033"/>
                    </a:xfrm>
                    <a:prstGeom prst="rect">
                      <a:avLst/>
                    </a:prstGeom>
                    <a:noFill/>
                    <a:ln>
                      <a:noFill/>
                    </a:ln>
                  </pic:spPr>
                </pic:pic>
              </a:graphicData>
            </a:graphic>
          </wp:inline>
        </w:drawing>
      </w:r>
    </w:p>
    <w:p w14:paraId="27D6CB7A" w14:textId="0CAA3FB5" w:rsidR="00E56D87" w:rsidRPr="005459E6" w:rsidRDefault="00E56D87" w:rsidP="00042CB0">
      <w:pPr>
        <w:pStyle w:val="Sommario1"/>
        <w:rPr>
          <w:rFonts w:ascii="Times New Roman" w:hAnsi="Times New Roman" w:cs="Times New Roman"/>
        </w:rPr>
      </w:pPr>
      <w:bookmarkStart w:id="487" w:name="_Toc96343326"/>
      <w:bookmarkStart w:id="488" w:name="_Toc99916001"/>
      <w:bookmarkStart w:id="489" w:name="_Toc104968818"/>
      <w:r w:rsidRPr="005459E6">
        <w:rPr>
          <w:rFonts w:ascii="Times New Roman" w:hAnsi="Times New Roman" w:cs="Times New Roman"/>
        </w:rPr>
        <w:t xml:space="preserve">Figure </w:t>
      </w:r>
      <w:r w:rsidR="00A07B59" w:rsidRPr="005459E6">
        <w:rPr>
          <w:rFonts w:ascii="Times New Roman" w:hAnsi="Times New Roman" w:cs="Times New Roman"/>
        </w:rPr>
        <w:fldChar w:fldCharType="begin"/>
      </w:r>
      <w:r w:rsidR="00A07B59" w:rsidRPr="005459E6">
        <w:rPr>
          <w:rFonts w:ascii="Times New Roman" w:hAnsi="Times New Roman" w:cs="Times New Roman"/>
        </w:rPr>
        <w:instrText xml:space="preserve"> SEQ Figure \* ARABIC </w:instrText>
      </w:r>
      <w:r w:rsidR="00A07B59" w:rsidRPr="005459E6">
        <w:rPr>
          <w:rFonts w:ascii="Times New Roman" w:hAnsi="Times New Roman" w:cs="Times New Roman"/>
        </w:rPr>
        <w:fldChar w:fldCharType="separate"/>
      </w:r>
      <w:r w:rsidR="006C645B">
        <w:rPr>
          <w:rFonts w:ascii="Times New Roman" w:hAnsi="Times New Roman" w:cs="Times New Roman"/>
          <w:noProof/>
        </w:rPr>
        <w:t>32</w:t>
      </w:r>
      <w:r w:rsidR="00A07B59" w:rsidRPr="005459E6">
        <w:rPr>
          <w:rFonts w:ascii="Times New Roman" w:hAnsi="Times New Roman" w:cs="Times New Roman"/>
          <w:noProof/>
        </w:rPr>
        <w:fldChar w:fldCharType="end"/>
      </w:r>
      <w:r w:rsidRPr="005459E6">
        <w:rPr>
          <w:rFonts w:ascii="Times New Roman" w:hAnsi="Times New Roman" w:cs="Times New Roman"/>
        </w:rPr>
        <w:t>: Decision tree field importance model summary</w:t>
      </w:r>
      <w:bookmarkEnd w:id="487"/>
      <w:bookmarkEnd w:id="488"/>
      <w:r w:rsidRPr="005459E6">
        <w:rPr>
          <w:rFonts w:ascii="Times New Roman" w:hAnsi="Times New Roman" w:cs="Times New Roman"/>
        </w:rPr>
        <w:t>.</w:t>
      </w:r>
      <w:bookmarkEnd w:id="489"/>
    </w:p>
    <w:p w14:paraId="7648D458"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A patient-centered approach extends the range of collaborative activities to include those offering Psychological Well-being. It is believed that technologies can reinvent the dynamics within healthcare by providing greater access to the patients as well as healthcare providers.  Technologies such as IoMT and AI provide access to a resource with abundant “unbundleability” and “liquification.”  </w:t>
      </w:r>
    </w:p>
    <w:p w14:paraId="6255F699" w14:textId="10C91473"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Using a similar approach, the Therapist could also gauge the emotional states to be able to realize a treatment to manage stress and, in turn, Psychological Well-being. The use of ML modeling facilitates the right treatment with more reachability by medical practitioners.  For an individual, learning from their own data can personalize the performance window, which could be used for achieving Workplace Productivity. The performance of the ML model can be improved by feeding more data and with the fusion of ML models. It could be utilized to achieve the desired mental state using healthcare IoT devices to maintain Psychological Well-being. Along similar lines, it can be extended for enhancing Workplace Productivity. Here the role of </w:t>
      </w:r>
      <w:r w:rsidR="00521904" w:rsidRPr="005459E6">
        <w:rPr>
          <w:rFonts w:ascii="Times New Roman" w:hAnsi="Times New Roman" w:cs="Times New Roman"/>
        </w:rPr>
        <w:t xml:space="preserve">the </w:t>
      </w:r>
      <w:r w:rsidRPr="005459E6">
        <w:rPr>
          <w:rFonts w:ascii="Times New Roman" w:hAnsi="Times New Roman" w:cs="Times New Roman"/>
        </w:rPr>
        <w:t>IoMT device changes from data aggregators to nudging device</w:t>
      </w:r>
      <w:r w:rsidR="00521904" w:rsidRPr="005459E6">
        <w:rPr>
          <w:rFonts w:ascii="Times New Roman" w:hAnsi="Times New Roman" w:cs="Times New Roman"/>
        </w:rPr>
        <w:t>s</w:t>
      </w:r>
      <w:r w:rsidRPr="005459E6">
        <w:rPr>
          <w:rFonts w:ascii="Times New Roman" w:hAnsi="Times New Roman" w:cs="Times New Roman"/>
        </w:rPr>
        <w:t>.</w:t>
      </w:r>
      <w:bookmarkEnd w:id="486"/>
      <w:r w:rsidRPr="005459E6">
        <w:rPr>
          <w:rFonts w:ascii="Times New Roman" w:hAnsi="Times New Roman" w:cs="Times New Roman"/>
        </w:rPr>
        <w:t xml:space="preserve"> These physical and technical resources interact with each other for data sharing. As a collaborative effort, resources end up enhancing the resource density of actors. When actors attain optimal resource density, the value is co-created. All such encounters take place within a system of internal and external factors that have interdependent relationships.</w:t>
      </w:r>
    </w:p>
    <w:p w14:paraId="16E22DF7" w14:textId="0D22331B"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In this study, human actors include the individuals who reflect certain brain patterns (EEG) in the form of various metrics, while nonhuman factors are the technologies such as AI that expedite the process of interactions. Such an interaction—leveraging the resource density of actors on the network—fulfills resource integration. These actors enhance resource integration using the data from prior medical research, ongoing clinical trials, and futuristic technologies. The social realm is defined by the interactions among actors through different interfaces, which are getting increasingly nonhuman (or in the form of technologies such as AI or IoMT).</w:t>
      </w:r>
    </w:p>
    <w:p w14:paraId="50C00F79" w14:textId="116162F4" w:rsidR="00BC1CF4"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Considering Lifestyle and Emotional states as actor(s) and their interplay with Self-Quantification (using IoMT devices) can induce Resource integration. The application of AI (by identifying patterns) can enhance the Resource density and offer proactive Nudging (via predictive modeling).  The entanglement of actors takes place in a progressive manner where such “Self-Quantification” and “Nudging” result in the betterment of Psychological Well-being. Value co-creation further reflects the form of enhanced Workplace Productivity individually and collectively on Organizational Performance. </w:t>
      </w:r>
      <w:r w:rsidR="00BE4BE6" w:rsidRPr="005459E6">
        <w:rPr>
          <w:rFonts w:ascii="Times New Roman" w:hAnsi="Times New Roman" w:cs="Times New Roman"/>
        </w:rPr>
        <w:t xml:space="preserve"> </w:t>
      </w:r>
      <w:r w:rsidR="00BC1CF4" w:rsidRPr="005459E6">
        <w:rPr>
          <w:rFonts w:ascii="Times New Roman" w:hAnsi="Times New Roman" w:cs="Times New Roman"/>
        </w:rPr>
        <w:t xml:space="preserve">The critical role of resource integration facilitates how resource integrators (actors) co-create phenomenologically determined value. It </w:t>
      </w:r>
      <w:r w:rsidR="00D245C1" w:rsidRPr="005459E6">
        <w:rPr>
          <w:rFonts w:ascii="Times New Roman" w:hAnsi="Times New Roman" w:cs="Times New Roman"/>
        </w:rPr>
        <w:t>i</w:t>
      </w:r>
      <w:r w:rsidR="00BC1CF4" w:rsidRPr="005459E6">
        <w:rPr>
          <w:rFonts w:ascii="Times New Roman" w:hAnsi="Times New Roman" w:cs="Times New Roman"/>
        </w:rPr>
        <w:t>s greatly dependent on the availability of the resource in terms of time and space and can be accelerated th</w:t>
      </w:r>
      <w:r w:rsidR="00D245C1" w:rsidRPr="005459E6">
        <w:rPr>
          <w:rFonts w:ascii="Times New Roman" w:hAnsi="Times New Roman" w:cs="Times New Roman"/>
        </w:rPr>
        <w:t>r</w:t>
      </w:r>
      <w:r w:rsidR="00BC1CF4" w:rsidRPr="005459E6">
        <w:rPr>
          <w:rFonts w:ascii="Times New Roman" w:hAnsi="Times New Roman" w:cs="Times New Roman"/>
        </w:rPr>
        <w:t>ough suitable technological platforms or infrastructure. Ultimately value co-creation is an outcome of mobilized resources &amp; their capabilities that are integrated at the right time and place.</w:t>
      </w:r>
    </w:p>
    <w:p w14:paraId="276C1F37" w14:textId="77777777" w:rsidR="00E56D87" w:rsidRPr="005459E6" w:rsidRDefault="00E56D87" w:rsidP="00042CB0">
      <w:pPr>
        <w:spacing w:line="360" w:lineRule="auto"/>
        <w:jc w:val="both"/>
        <w:rPr>
          <w:rFonts w:ascii="Times New Roman" w:hAnsi="Times New Roman" w:cs="Times New Roman"/>
        </w:rPr>
      </w:pPr>
    </w:p>
    <w:p w14:paraId="79F6519A"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Thus, co-created value through the resource integration process can be explained as follows:</w:t>
      </w:r>
    </w:p>
    <w:p w14:paraId="79A56BDD" w14:textId="77777777"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The ability to keep track of vitals by self-tracking can offer liberty and choices to an individual in the form of “Spatial Flexibility.” This can also help offer personalized treatment options to the individuals along with maximizing access, thanks to the role of healthcare IoT devices. When supported by an AI unit, it can make use of data-driven ML models to be able to establish Cognitive Assistance.  The technological prowess offered by the convergence of AI and IoMT can be used for expedited therapy.</w:t>
      </w:r>
    </w:p>
    <w:p w14:paraId="5A280547" w14:textId="0B77F422"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Resource density reinforces resource integration. In this study, it is enhanced with the help of technologies such as Healthcare IoT and AI. While Healthcare IoT collects EEG data generated in the form of various brainwaves (via BCI), ML models can process brain signals to be able to indicate attributes such as Interest, Relaxation, Focus, and Engagement of an individual. The entanglement between mediators of Stress and Productivity presents a complex level of interaction. Brainwaves represent a unique state of psychological health, and </w:t>
      </w:r>
      <w:r w:rsidR="00D245C1" w:rsidRPr="005459E6">
        <w:rPr>
          <w:rFonts w:ascii="Times New Roman" w:hAnsi="Times New Roman" w:cs="Times New Roman"/>
          <w:sz w:val="22"/>
          <w:szCs w:val="22"/>
        </w:rPr>
        <w:t>their</w:t>
      </w:r>
      <w:r w:rsidRPr="005459E6">
        <w:rPr>
          <w:rFonts w:ascii="Times New Roman" w:hAnsi="Times New Roman" w:cs="Times New Roman"/>
          <w:sz w:val="22"/>
          <w:szCs w:val="22"/>
        </w:rPr>
        <w:t xml:space="preserve"> holistic understanding across different brain cortices can help determine Stress levels. </w:t>
      </w:r>
      <w:r w:rsidR="00521904" w:rsidRPr="005459E6">
        <w:rPr>
          <w:rFonts w:ascii="Times New Roman" w:hAnsi="Times New Roman" w:cs="Times New Roman"/>
          <w:sz w:val="22"/>
          <w:szCs w:val="22"/>
        </w:rPr>
        <w:t>In</w:t>
      </w:r>
      <w:r w:rsidRPr="005459E6">
        <w:rPr>
          <w:rFonts w:ascii="Times New Roman" w:hAnsi="Times New Roman" w:cs="Times New Roman"/>
          <w:sz w:val="22"/>
          <w:szCs w:val="22"/>
        </w:rPr>
        <w:t xml:space="preserve"> the same instance, Stress levels can depict a particular level of Focus and Engagement in a person.</w:t>
      </w:r>
    </w:p>
    <w:p w14:paraId="4C5F68B5" w14:textId="77777777"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In the given study, actors include age, gender, lifestyle, state of health, as well as height and weight of an individual. It further includes sleep patterns and Circadian rhythm experienced by a person. The resource integration takes place with the help of emotional states (psychological health) and Lifestyle (somatic health), giving rise to certain levels of stress. The stress generated via Psychosomatic health affects the productivity of an individual. </w:t>
      </w:r>
    </w:p>
    <w:p w14:paraId="0340C186" w14:textId="7A5DD61D"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 The co-creation process is the outcome of actors, and their resource integration process where the optimal levels of Stress and Energy of a person can give an indication of productivity demonstrated at the workplace. When the Workplace Productivity of a person reaches optimal levels, it w</w:t>
      </w:r>
      <w:r w:rsidR="00D245C1" w:rsidRPr="005459E6">
        <w:rPr>
          <w:rFonts w:ascii="Times New Roman" w:hAnsi="Times New Roman" w:cs="Times New Roman"/>
          <w:sz w:val="22"/>
          <w:szCs w:val="22"/>
        </w:rPr>
        <w:t>ill</w:t>
      </w:r>
      <w:r w:rsidRPr="005459E6">
        <w:rPr>
          <w:rFonts w:ascii="Times New Roman" w:hAnsi="Times New Roman" w:cs="Times New Roman"/>
          <w:sz w:val="22"/>
          <w:szCs w:val="22"/>
        </w:rPr>
        <w:t xml:space="preserve"> support greater organizational productivity.</w:t>
      </w:r>
    </w:p>
    <w:p w14:paraId="664CD605" w14:textId="47E30CEA"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 xml:space="preserve">When such a process is repeated in line with nudge theory, it keeps pushing individuals to better control their health and further enhance self-efficacy. Such self-efficacy can positively affect individuals and their well-being. The access granted by the use of ML can be </w:t>
      </w:r>
      <w:r w:rsidR="00912E50" w:rsidRPr="005459E6">
        <w:rPr>
          <w:rFonts w:ascii="Times New Roman" w:hAnsi="Times New Roman" w:cs="Times New Roman"/>
          <w:sz w:val="22"/>
          <w:szCs w:val="22"/>
        </w:rPr>
        <w:t>modelled</w:t>
      </w:r>
      <w:r w:rsidRPr="005459E6">
        <w:rPr>
          <w:rFonts w:ascii="Times New Roman" w:hAnsi="Times New Roman" w:cs="Times New Roman"/>
          <w:sz w:val="22"/>
          <w:szCs w:val="22"/>
        </w:rPr>
        <w:t xml:space="preserve"> (with utmost validity and reliability) and can be extended to a set of people and/or organizations.</w:t>
      </w:r>
    </w:p>
    <w:p w14:paraId="2CBB5B55" w14:textId="7CEC0949" w:rsidR="00E56D87" w:rsidRPr="005459E6" w:rsidRDefault="00E56D87" w:rsidP="00042CB0">
      <w:pPr>
        <w:pStyle w:val="Paragrafoelenco"/>
        <w:numPr>
          <w:ilvl w:val="0"/>
          <w:numId w:val="30"/>
        </w:numPr>
        <w:spacing w:before="0" w:after="160" w:line="360" w:lineRule="auto"/>
        <w:jc w:val="both"/>
        <w:rPr>
          <w:rFonts w:ascii="Times New Roman" w:hAnsi="Times New Roman" w:cs="Times New Roman"/>
        </w:rPr>
      </w:pPr>
      <w:r w:rsidRPr="005459E6">
        <w:rPr>
          <w:rFonts w:ascii="Times New Roman" w:hAnsi="Times New Roman" w:cs="Times New Roman"/>
          <w:sz w:val="22"/>
          <w:szCs w:val="22"/>
        </w:rPr>
        <w:t>The technology can provide greater access and real-time monitoring with predictive analysis and facilitate a non</w:t>
      </w:r>
      <w:r w:rsidR="00A20F6F" w:rsidRPr="005459E6">
        <w:rPr>
          <w:rFonts w:ascii="Times New Roman" w:hAnsi="Times New Roman" w:cs="Times New Roman"/>
          <w:sz w:val="22"/>
          <w:szCs w:val="22"/>
        </w:rPr>
        <w:t>-</w:t>
      </w:r>
      <w:r w:rsidRPr="005459E6">
        <w:rPr>
          <w:rFonts w:ascii="Times New Roman" w:hAnsi="Times New Roman" w:cs="Times New Roman"/>
          <w:sz w:val="22"/>
          <w:szCs w:val="22"/>
        </w:rPr>
        <w:t>evasive and proactive approach to tackling stressors. The technological support facilitated by IoMT and AI can enhance individuals’ capability to effectively deal with stress. Such impact could get multi</w:t>
      </w:r>
      <w:r w:rsidR="00D245C1" w:rsidRPr="005459E6">
        <w:rPr>
          <w:rFonts w:ascii="Times New Roman" w:hAnsi="Times New Roman" w:cs="Times New Roman"/>
          <w:sz w:val="22"/>
          <w:szCs w:val="22"/>
        </w:rPr>
        <w:t>-</w:t>
      </w:r>
      <w:r w:rsidRPr="005459E6">
        <w:rPr>
          <w:rFonts w:ascii="Times New Roman" w:hAnsi="Times New Roman" w:cs="Times New Roman"/>
          <w:sz w:val="22"/>
          <w:szCs w:val="22"/>
        </w:rPr>
        <w:t>folded and help enhance well-being.</w:t>
      </w:r>
    </w:p>
    <w:p w14:paraId="2AAB8A5F" w14:textId="77777777" w:rsidR="00E56D87" w:rsidRPr="005459E6" w:rsidRDefault="00E56D87" w:rsidP="00042CB0">
      <w:pPr>
        <w:spacing w:line="360" w:lineRule="auto"/>
        <w:jc w:val="both"/>
        <w:rPr>
          <w:rFonts w:ascii="Times New Roman" w:hAnsi="Times New Roman" w:cs="Times New Roman"/>
        </w:rPr>
      </w:pPr>
    </w:p>
    <w:p w14:paraId="11E824B9" w14:textId="77777777"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study reflected on the actors (such as stressors/interventions) that can augment Psychosomatic health by resource integration (using AI technologies) to fulfill value co-creation (betterment of health).  </w:t>
      </w:r>
    </w:p>
    <w:p w14:paraId="11D58841" w14:textId="0DA120E8" w:rsidR="00E56D87" w:rsidRPr="005459E6" w:rsidRDefault="00E56D87" w:rsidP="00042CB0">
      <w:pPr>
        <w:spacing w:line="360" w:lineRule="auto"/>
        <w:jc w:val="both"/>
        <w:rPr>
          <w:rFonts w:ascii="Times New Roman" w:hAnsi="Times New Roman" w:cs="Times New Roman"/>
        </w:rPr>
      </w:pPr>
      <w:r w:rsidRPr="005459E6">
        <w:rPr>
          <w:rFonts w:ascii="Times New Roman" w:hAnsi="Times New Roman" w:cs="Times New Roman"/>
        </w:rPr>
        <w:t xml:space="preserve">The ML model obtained from BCI (refer to </w:t>
      </w:r>
      <w:r w:rsidRPr="005459E6">
        <w:rPr>
          <w:rFonts w:ascii="Times New Roman" w:hAnsi="Times New Roman" w:cs="Times New Roman"/>
          <w:b/>
        </w:rPr>
        <w:t>APPENDIX D</w:t>
      </w:r>
      <w:r w:rsidRPr="005459E6">
        <w:rPr>
          <w:rFonts w:ascii="Times New Roman" w:hAnsi="Times New Roman" w:cs="Times New Roman"/>
        </w:rPr>
        <w:t xml:space="preserve">) can be used in real-time for treatment by Therapists. Actors engage in resource integration activities to increase their resource density, and resources are accessible for a combination of a specific actor, time, and situation. Also, in the present study, it was shown that the effective use of technology offers greater resource density leveraging </w:t>
      </w:r>
      <w:r w:rsidR="00D245C1" w:rsidRPr="005459E6">
        <w:rPr>
          <w:rFonts w:ascii="Times New Roman" w:hAnsi="Times New Roman" w:cs="Times New Roman"/>
        </w:rPr>
        <w:t xml:space="preserve">the </w:t>
      </w:r>
      <w:r w:rsidRPr="005459E6">
        <w:rPr>
          <w:rFonts w:ascii="Times New Roman" w:hAnsi="Times New Roman" w:cs="Times New Roman"/>
        </w:rPr>
        <w:t>sensors-based capabilities it possesses.  Organizations can make use of in-house therapists or telemedicine to be able to enhance their overall efficiency. Based on the data model created in this study:</w:t>
      </w:r>
    </w:p>
    <w:p w14:paraId="47D8DE2F" w14:textId="77777777" w:rsidR="00E56D87" w:rsidRPr="005459E6" w:rsidRDefault="00E56D87" w:rsidP="00042CB0">
      <w:pPr>
        <w:spacing w:line="360" w:lineRule="auto"/>
        <w:jc w:val="both"/>
        <w:rPr>
          <w:rFonts w:ascii="Times New Roman" w:hAnsi="Times New Roman" w:cs="Times New Roman"/>
        </w:rPr>
      </w:pPr>
    </w:p>
    <w:p w14:paraId="65D0903B" w14:textId="79782DB5" w:rsidR="00E56D87" w:rsidRPr="005459E6" w:rsidRDefault="00E56D87" w:rsidP="00042CB0">
      <w:pPr>
        <w:numPr>
          <w:ilvl w:val="0"/>
          <w:numId w:val="13"/>
        </w:numPr>
        <w:spacing w:line="360" w:lineRule="auto"/>
        <w:jc w:val="both"/>
        <w:rPr>
          <w:rFonts w:ascii="Times New Roman" w:hAnsi="Times New Roman" w:cs="Times New Roman"/>
          <w:i/>
          <w:iCs/>
        </w:rPr>
      </w:pPr>
      <w:r w:rsidRPr="005459E6">
        <w:rPr>
          <w:rFonts w:ascii="Times New Roman" w:hAnsi="Times New Roman" w:cs="Times New Roman"/>
          <w:i/>
          <w:iCs/>
        </w:rPr>
        <w:t>One can avoid unproductive territory at the workplace.</w:t>
      </w:r>
      <w:r w:rsidRPr="005459E6">
        <w:rPr>
          <w:rFonts w:ascii="Times New Roman" w:hAnsi="Times New Roman" w:cs="Times New Roman"/>
          <w:i/>
          <w:iCs/>
        </w:rPr>
        <w:tab/>
      </w:r>
      <w:r w:rsidRPr="005459E6">
        <w:rPr>
          <w:rFonts w:ascii="Times New Roman" w:hAnsi="Times New Roman" w:cs="Times New Roman"/>
          <w:i/>
          <w:iCs/>
        </w:rPr>
        <w:tab/>
      </w:r>
      <w:r w:rsidRPr="005459E6">
        <w:rPr>
          <w:rFonts w:ascii="Times New Roman" w:hAnsi="Times New Roman" w:cs="Times New Roman"/>
          <w:i/>
          <w:iCs/>
        </w:rPr>
        <w:tab/>
      </w:r>
    </w:p>
    <w:p w14:paraId="0D3A1B80" w14:textId="18FEA03C" w:rsidR="00E56D87" w:rsidRPr="005459E6" w:rsidRDefault="00D245C1" w:rsidP="00042CB0">
      <w:pPr>
        <w:numPr>
          <w:ilvl w:val="0"/>
          <w:numId w:val="13"/>
        </w:numPr>
        <w:spacing w:line="360" w:lineRule="auto"/>
        <w:jc w:val="both"/>
        <w:rPr>
          <w:rFonts w:ascii="Times New Roman" w:hAnsi="Times New Roman" w:cs="Times New Roman"/>
          <w:i/>
          <w:iCs/>
        </w:rPr>
      </w:pPr>
      <w:r w:rsidRPr="005459E6">
        <w:rPr>
          <w:rFonts w:ascii="Times New Roman" w:hAnsi="Times New Roman" w:cs="Times New Roman"/>
          <w:i/>
          <w:iCs/>
        </w:rPr>
        <w:t>A p</w:t>
      </w:r>
      <w:r w:rsidR="00E56D87" w:rsidRPr="005459E6">
        <w:rPr>
          <w:rFonts w:ascii="Times New Roman" w:hAnsi="Times New Roman" w:cs="Times New Roman"/>
          <w:i/>
          <w:iCs/>
        </w:rPr>
        <w:t>ersonalized performance window can be predicted.</w:t>
      </w:r>
      <w:r w:rsidR="00E56D87" w:rsidRPr="005459E6">
        <w:rPr>
          <w:rFonts w:ascii="Times New Roman" w:hAnsi="Times New Roman" w:cs="Times New Roman"/>
          <w:i/>
          <w:iCs/>
        </w:rPr>
        <w:tab/>
        <w:t xml:space="preserve">                    </w:t>
      </w:r>
    </w:p>
    <w:p w14:paraId="093DBED7" w14:textId="77777777" w:rsidR="00E56D87" w:rsidRPr="005459E6" w:rsidRDefault="00E56D87" w:rsidP="00042CB0">
      <w:pPr>
        <w:numPr>
          <w:ilvl w:val="0"/>
          <w:numId w:val="13"/>
        </w:numPr>
        <w:spacing w:line="360" w:lineRule="auto"/>
        <w:jc w:val="both"/>
        <w:rPr>
          <w:rFonts w:ascii="Times New Roman" w:hAnsi="Times New Roman" w:cs="Times New Roman"/>
          <w:i/>
          <w:iCs/>
        </w:rPr>
      </w:pPr>
      <w:r w:rsidRPr="005459E6">
        <w:rPr>
          <w:rFonts w:ascii="Times New Roman" w:hAnsi="Times New Roman" w:cs="Times New Roman"/>
          <w:i/>
          <w:iCs/>
        </w:rPr>
        <w:t>The optimal level of Stress can be reached.</w:t>
      </w:r>
    </w:p>
    <w:p w14:paraId="20CF0092" w14:textId="77777777" w:rsidR="00E56D87" w:rsidRPr="005459E6" w:rsidRDefault="00E56D87" w:rsidP="00042CB0">
      <w:pPr>
        <w:numPr>
          <w:ilvl w:val="0"/>
          <w:numId w:val="13"/>
        </w:numPr>
        <w:spacing w:line="360" w:lineRule="auto"/>
        <w:jc w:val="both"/>
        <w:rPr>
          <w:rFonts w:ascii="Times New Roman" w:hAnsi="Times New Roman" w:cs="Times New Roman"/>
          <w:i/>
          <w:iCs/>
        </w:rPr>
      </w:pPr>
      <w:r w:rsidRPr="005459E6">
        <w:rPr>
          <w:rFonts w:ascii="Times New Roman" w:hAnsi="Times New Roman" w:cs="Times New Roman"/>
          <w:i/>
          <w:iCs/>
        </w:rPr>
        <w:t>Its accumulative effect can enhance Workplace Productivity.</w:t>
      </w:r>
      <w:r w:rsidRPr="005459E6">
        <w:rPr>
          <w:rFonts w:ascii="Times New Roman" w:hAnsi="Times New Roman" w:cs="Times New Roman"/>
          <w:i/>
          <w:iCs/>
        </w:rPr>
        <w:tab/>
      </w:r>
    </w:p>
    <w:p w14:paraId="405598F0" w14:textId="77777777" w:rsidR="00E56D87" w:rsidRPr="005459E6" w:rsidRDefault="00E56D87" w:rsidP="00042CB0">
      <w:pPr>
        <w:spacing w:line="360" w:lineRule="auto"/>
        <w:jc w:val="both"/>
        <w:rPr>
          <w:rFonts w:ascii="Times New Roman" w:hAnsi="Times New Roman" w:cs="Times New Roman"/>
        </w:rPr>
      </w:pPr>
    </w:p>
    <w:p w14:paraId="54CD1A4F" w14:textId="0D65C6B6" w:rsidR="00243E3F" w:rsidRPr="005459E6" w:rsidRDefault="00243E3F" w:rsidP="00243E3F">
      <w:pPr>
        <w:spacing w:line="360" w:lineRule="auto"/>
        <w:jc w:val="both"/>
        <w:rPr>
          <w:rFonts w:ascii="Times New Roman" w:hAnsi="Times New Roman" w:cs="Times New Roman"/>
        </w:rPr>
      </w:pPr>
      <w:r w:rsidRPr="005459E6">
        <w:rPr>
          <w:rFonts w:ascii="Times New Roman" w:hAnsi="Times New Roman" w:cs="Times New Roman"/>
        </w:rPr>
        <w:t>Enhanced productivity would reflect the improvement of the overall quality of work. Established performance windows would limit work-related burnouts that mostly happen due to working continuously with a low level of Focus and Engagement. When self-tracking is effectively carried out using IoMT devices, the collected data can be modeled using AI leveraging the nudge theory, where the role of an IoMT device—may be shifting from aggregators to actuators</w:t>
      </w:r>
      <w:r w:rsidR="0049396E" w:rsidRPr="005459E6">
        <w:rPr>
          <w:rFonts w:ascii="Times New Roman" w:hAnsi="Times New Roman" w:cs="Times New Roman"/>
        </w:rPr>
        <w:t xml:space="preserve"> - </w:t>
      </w:r>
      <w:r w:rsidRPr="005459E6">
        <w:rPr>
          <w:rFonts w:ascii="Times New Roman" w:hAnsi="Times New Roman" w:cs="Times New Roman"/>
        </w:rPr>
        <w:t>can be utilized for enhancing Workplace Productivity. It could result in almost no burnout during working days, thus generating better work quality.</w:t>
      </w:r>
    </w:p>
    <w:p w14:paraId="578ED073" w14:textId="3D6DB1D1" w:rsidR="001D6297" w:rsidRPr="005459E6" w:rsidRDefault="00243E3F" w:rsidP="00042CB0">
      <w:pPr>
        <w:spacing w:line="360" w:lineRule="auto"/>
        <w:jc w:val="both"/>
        <w:rPr>
          <w:rFonts w:ascii="Times New Roman" w:hAnsi="Times New Roman" w:cs="Times New Roman"/>
        </w:rPr>
      </w:pPr>
      <w:r w:rsidRPr="005459E6">
        <w:rPr>
          <w:rFonts w:ascii="Times New Roman" w:hAnsi="Times New Roman" w:cs="Times New Roman"/>
        </w:rPr>
        <w:t xml:space="preserve">In the presented thesis </w:t>
      </w:r>
      <w:r w:rsidR="009A10E5" w:rsidRPr="005459E6">
        <w:rPr>
          <w:rFonts w:ascii="Times New Roman" w:hAnsi="Times New Roman" w:cs="Times New Roman"/>
        </w:rPr>
        <w:t>t</w:t>
      </w:r>
      <w:r w:rsidRPr="005459E6">
        <w:rPr>
          <w:rFonts w:ascii="Times New Roman" w:hAnsi="Times New Roman" w:cs="Times New Roman"/>
        </w:rPr>
        <w:t xml:space="preserve">heory development is carried out with the help of 3 theories where </w:t>
      </w:r>
      <w:r w:rsidR="009A10E5" w:rsidRPr="005459E6">
        <w:rPr>
          <w:rFonts w:ascii="Times New Roman" w:hAnsi="Times New Roman" w:cs="Times New Roman"/>
        </w:rPr>
        <w:t>f</w:t>
      </w:r>
      <w:r w:rsidRPr="005459E6">
        <w:rPr>
          <w:rFonts w:ascii="Times New Roman" w:hAnsi="Times New Roman" w:cs="Times New Roman"/>
        </w:rPr>
        <w:t>irst theory adopt</w:t>
      </w:r>
      <w:r w:rsidR="004E240C" w:rsidRPr="005459E6">
        <w:rPr>
          <w:rFonts w:ascii="Times New Roman" w:hAnsi="Times New Roman" w:cs="Times New Roman"/>
        </w:rPr>
        <w:t>s</w:t>
      </w:r>
      <w:r w:rsidRPr="005459E6">
        <w:rPr>
          <w:rFonts w:ascii="Times New Roman" w:hAnsi="Times New Roman" w:cs="Times New Roman"/>
        </w:rPr>
        <w:t xml:space="preserve"> </w:t>
      </w:r>
      <w:r w:rsidR="004E240C" w:rsidRPr="005459E6">
        <w:rPr>
          <w:rFonts w:ascii="Times New Roman" w:hAnsi="Times New Roman" w:cs="Times New Roman"/>
        </w:rPr>
        <w:t xml:space="preserve">the </w:t>
      </w:r>
      <w:r w:rsidRPr="005459E6">
        <w:rPr>
          <w:rFonts w:ascii="Times New Roman" w:hAnsi="Times New Roman" w:cs="Times New Roman"/>
        </w:rPr>
        <w:t xml:space="preserve">SD-L lens to depict technology can play </w:t>
      </w:r>
      <w:r w:rsidR="004E240C" w:rsidRPr="005459E6">
        <w:rPr>
          <w:rFonts w:ascii="Times New Roman" w:hAnsi="Times New Roman" w:cs="Times New Roman"/>
        </w:rPr>
        <w:t xml:space="preserve">a </w:t>
      </w:r>
      <w:r w:rsidRPr="005459E6">
        <w:rPr>
          <w:rFonts w:ascii="Times New Roman" w:hAnsi="Times New Roman" w:cs="Times New Roman"/>
        </w:rPr>
        <w:t xml:space="preserve">major role </w:t>
      </w:r>
      <w:r w:rsidR="004E240C" w:rsidRPr="005459E6">
        <w:rPr>
          <w:rFonts w:ascii="Times New Roman" w:hAnsi="Times New Roman" w:cs="Times New Roman"/>
        </w:rPr>
        <w:t>in</w:t>
      </w:r>
      <w:r w:rsidRPr="005459E6">
        <w:rPr>
          <w:rFonts w:ascii="Times New Roman" w:hAnsi="Times New Roman" w:cs="Times New Roman"/>
        </w:rPr>
        <w:t xml:space="preserve"> the betterment of psychological well-being. The second part of </w:t>
      </w:r>
      <w:r w:rsidR="004E240C" w:rsidRPr="005459E6">
        <w:rPr>
          <w:rFonts w:ascii="Times New Roman" w:hAnsi="Times New Roman" w:cs="Times New Roman"/>
        </w:rPr>
        <w:t xml:space="preserve">the </w:t>
      </w:r>
      <w:r w:rsidRPr="005459E6">
        <w:rPr>
          <w:rFonts w:ascii="Times New Roman" w:hAnsi="Times New Roman" w:cs="Times New Roman"/>
        </w:rPr>
        <w:t>theory highlight</w:t>
      </w:r>
      <w:r w:rsidR="004E240C" w:rsidRPr="005459E6">
        <w:rPr>
          <w:rFonts w:ascii="Times New Roman" w:hAnsi="Times New Roman" w:cs="Times New Roman"/>
        </w:rPr>
        <w:t>s</w:t>
      </w:r>
      <w:r w:rsidRPr="005459E6">
        <w:rPr>
          <w:rFonts w:ascii="Times New Roman" w:hAnsi="Times New Roman" w:cs="Times New Roman"/>
        </w:rPr>
        <w:t xml:space="preserve"> </w:t>
      </w:r>
      <w:r w:rsidR="004E240C" w:rsidRPr="005459E6">
        <w:rPr>
          <w:rFonts w:ascii="Times New Roman" w:hAnsi="Times New Roman" w:cs="Times New Roman"/>
        </w:rPr>
        <w:t xml:space="preserve">the </w:t>
      </w:r>
      <w:r w:rsidRPr="005459E6">
        <w:rPr>
          <w:rFonts w:ascii="Times New Roman" w:hAnsi="Times New Roman" w:cs="Times New Roman"/>
        </w:rPr>
        <w:t xml:space="preserve">value </w:t>
      </w:r>
      <w:r w:rsidR="004E240C" w:rsidRPr="005459E6">
        <w:rPr>
          <w:rFonts w:ascii="Times New Roman" w:hAnsi="Times New Roman" w:cs="Times New Roman"/>
        </w:rPr>
        <w:t xml:space="preserve">of the </w:t>
      </w:r>
      <w:r w:rsidRPr="005459E6">
        <w:rPr>
          <w:rFonts w:ascii="Times New Roman" w:hAnsi="Times New Roman" w:cs="Times New Roman"/>
        </w:rPr>
        <w:t xml:space="preserve">co-creation process where </w:t>
      </w:r>
      <w:r w:rsidR="009A10E5" w:rsidRPr="005459E6">
        <w:rPr>
          <w:rFonts w:ascii="Times New Roman" w:hAnsi="Times New Roman" w:cs="Times New Roman"/>
        </w:rPr>
        <w:t>p</w:t>
      </w:r>
      <w:r w:rsidRPr="005459E6">
        <w:rPr>
          <w:rFonts w:ascii="Times New Roman" w:hAnsi="Times New Roman" w:cs="Times New Roman"/>
        </w:rPr>
        <w:t xml:space="preserve">sychological </w:t>
      </w:r>
      <w:r w:rsidR="004E240C" w:rsidRPr="005459E6">
        <w:rPr>
          <w:rFonts w:ascii="Times New Roman" w:hAnsi="Times New Roman" w:cs="Times New Roman"/>
        </w:rPr>
        <w:t>well-</w:t>
      </w:r>
      <w:r w:rsidRPr="005459E6">
        <w:rPr>
          <w:rFonts w:ascii="Times New Roman" w:hAnsi="Times New Roman" w:cs="Times New Roman"/>
        </w:rPr>
        <w:t>being emerges when ‘Self</w:t>
      </w:r>
      <w:r w:rsidR="004E240C" w:rsidRPr="005459E6">
        <w:rPr>
          <w:rFonts w:ascii="Times New Roman" w:hAnsi="Times New Roman" w:cs="Times New Roman"/>
        </w:rPr>
        <w:t>-</w:t>
      </w:r>
      <w:r w:rsidRPr="005459E6">
        <w:rPr>
          <w:rFonts w:ascii="Times New Roman" w:hAnsi="Times New Roman" w:cs="Times New Roman"/>
        </w:rPr>
        <w:t>tracking’ and ‘Nudging’ is carried out with the help of technology. T</w:t>
      </w:r>
      <w:r w:rsidR="004E240C" w:rsidRPr="005459E6">
        <w:rPr>
          <w:rFonts w:ascii="Times New Roman" w:hAnsi="Times New Roman" w:cs="Times New Roman"/>
        </w:rPr>
        <w:t>he t</w:t>
      </w:r>
      <w:r w:rsidRPr="005459E6">
        <w:rPr>
          <w:rFonts w:ascii="Times New Roman" w:hAnsi="Times New Roman" w:cs="Times New Roman"/>
        </w:rPr>
        <w:t xml:space="preserve">hird part of the theory development explains the phenomena of enhanced </w:t>
      </w:r>
      <w:r w:rsidR="009A10E5" w:rsidRPr="005459E6">
        <w:rPr>
          <w:rFonts w:ascii="Times New Roman" w:hAnsi="Times New Roman" w:cs="Times New Roman"/>
        </w:rPr>
        <w:t>w</w:t>
      </w:r>
      <w:r w:rsidRPr="005459E6">
        <w:rPr>
          <w:rFonts w:ascii="Times New Roman" w:hAnsi="Times New Roman" w:cs="Times New Roman"/>
        </w:rPr>
        <w:t xml:space="preserve">orkplace </w:t>
      </w:r>
      <w:r w:rsidR="009A10E5" w:rsidRPr="005459E6">
        <w:rPr>
          <w:rFonts w:ascii="Times New Roman" w:hAnsi="Times New Roman" w:cs="Times New Roman"/>
        </w:rPr>
        <w:t>p</w:t>
      </w:r>
      <w:r w:rsidRPr="005459E6">
        <w:rPr>
          <w:rFonts w:ascii="Times New Roman" w:hAnsi="Times New Roman" w:cs="Times New Roman"/>
        </w:rPr>
        <w:t xml:space="preserve">roductivity as an outcome of </w:t>
      </w:r>
      <w:r w:rsidR="001968A4" w:rsidRPr="005459E6">
        <w:rPr>
          <w:rFonts w:ascii="Times New Roman" w:hAnsi="Times New Roman" w:cs="Times New Roman"/>
        </w:rPr>
        <w:t>improved</w:t>
      </w:r>
      <w:r w:rsidRPr="005459E6">
        <w:rPr>
          <w:rFonts w:ascii="Times New Roman" w:hAnsi="Times New Roman" w:cs="Times New Roman"/>
        </w:rPr>
        <w:t xml:space="preserve"> </w:t>
      </w:r>
      <w:r w:rsidR="001968A4" w:rsidRPr="005459E6">
        <w:rPr>
          <w:rFonts w:ascii="Times New Roman" w:hAnsi="Times New Roman" w:cs="Times New Roman"/>
        </w:rPr>
        <w:t>p</w:t>
      </w:r>
      <w:r w:rsidRPr="005459E6">
        <w:rPr>
          <w:rFonts w:ascii="Times New Roman" w:hAnsi="Times New Roman" w:cs="Times New Roman"/>
        </w:rPr>
        <w:t xml:space="preserve">sychological </w:t>
      </w:r>
      <w:r w:rsidR="001968A4" w:rsidRPr="005459E6">
        <w:rPr>
          <w:rFonts w:ascii="Times New Roman" w:hAnsi="Times New Roman" w:cs="Times New Roman"/>
        </w:rPr>
        <w:t>w</w:t>
      </w:r>
      <w:r w:rsidRPr="005459E6">
        <w:rPr>
          <w:rFonts w:ascii="Times New Roman" w:hAnsi="Times New Roman" w:cs="Times New Roman"/>
        </w:rPr>
        <w:t>ell</w:t>
      </w:r>
      <w:r w:rsidR="004E240C" w:rsidRPr="005459E6">
        <w:rPr>
          <w:rFonts w:ascii="Times New Roman" w:hAnsi="Times New Roman" w:cs="Times New Roman"/>
        </w:rPr>
        <w:t>-</w:t>
      </w:r>
      <w:r w:rsidRPr="005459E6">
        <w:rPr>
          <w:rFonts w:ascii="Times New Roman" w:hAnsi="Times New Roman" w:cs="Times New Roman"/>
        </w:rPr>
        <w:t>being.</w:t>
      </w:r>
    </w:p>
    <w:p w14:paraId="25C2368C" w14:textId="77777777" w:rsidR="0049396E" w:rsidRPr="005459E6" w:rsidRDefault="0049396E" w:rsidP="00042CB0">
      <w:pPr>
        <w:spacing w:line="360" w:lineRule="auto"/>
        <w:jc w:val="both"/>
        <w:rPr>
          <w:rFonts w:ascii="Times New Roman" w:hAnsi="Times New Roman" w:cs="Times New Roman"/>
        </w:rPr>
      </w:pPr>
    </w:p>
    <w:p w14:paraId="027EB107" w14:textId="5DE24A4D" w:rsidR="0028786A" w:rsidRPr="005459E6" w:rsidRDefault="00864DC8" w:rsidP="00042CB0">
      <w:pPr>
        <w:pStyle w:val="Titolo1"/>
        <w:spacing w:line="360" w:lineRule="auto"/>
        <w:jc w:val="both"/>
        <w:rPr>
          <w:rFonts w:ascii="Times New Roman" w:hAnsi="Times New Roman" w:cs="Times New Roman"/>
          <w:b/>
          <w:bCs/>
          <w:color w:val="auto"/>
          <w:sz w:val="22"/>
          <w:szCs w:val="22"/>
        </w:rPr>
      </w:pPr>
      <w:bookmarkStart w:id="490" w:name="_Toc87349559"/>
      <w:bookmarkStart w:id="491" w:name="_Toc87349672"/>
      <w:bookmarkStart w:id="492" w:name="_Toc87349779"/>
      <w:bookmarkStart w:id="493" w:name="_Toc107248343"/>
      <w:bookmarkEnd w:id="422"/>
      <w:bookmarkEnd w:id="423"/>
      <w:bookmarkEnd w:id="424"/>
      <w:bookmarkEnd w:id="425"/>
      <w:r w:rsidRPr="005459E6">
        <w:rPr>
          <w:rFonts w:ascii="Times New Roman" w:hAnsi="Times New Roman" w:cs="Times New Roman"/>
          <w:b/>
          <w:bCs/>
          <w:color w:val="auto"/>
          <w:sz w:val="22"/>
          <w:szCs w:val="22"/>
        </w:rPr>
        <w:t>IMPLICATIONS</w:t>
      </w:r>
      <w:bookmarkStart w:id="494" w:name="_Toc87349562"/>
      <w:bookmarkStart w:id="495" w:name="_Toc87349675"/>
      <w:bookmarkStart w:id="496" w:name="_Toc87349782"/>
      <w:bookmarkEnd w:id="490"/>
      <w:bookmarkEnd w:id="491"/>
      <w:bookmarkEnd w:id="492"/>
      <w:bookmarkEnd w:id="493"/>
    </w:p>
    <w:p w14:paraId="5DD47110" w14:textId="2DEA9B88" w:rsidR="003162FA" w:rsidRPr="005459E6" w:rsidRDefault="003162FA" w:rsidP="003162FA">
      <w:pPr>
        <w:spacing w:line="360" w:lineRule="auto"/>
        <w:jc w:val="both"/>
        <w:rPr>
          <w:rFonts w:ascii="Times New Roman" w:hAnsi="Times New Roman" w:cs="Times New Roman"/>
        </w:rPr>
      </w:pPr>
      <w:bookmarkStart w:id="497" w:name="_Toc87349560"/>
      <w:bookmarkStart w:id="498" w:name="_Toc87349673"/>
      <w:bookmarkStart w:id="499" w:name="_Toc87349780"/>
      <w:bookmarkStart w:id="500" w:name="_Toc88376772"/>
      <w:r w:rsidRPr="005459E6">
        <w:rPr>
          <w:rFonts w:ascii="Times New Roman" w:hAnsi="Times New Roman" w:cs="Times New Roman"/>
        </w:rPr>
        <w:t>The implication of this research can encompass two (2) levels.</w:t>
      </w:r>
    </w:p>
    <w:p w14:paraId="3A025CC3" w14:textId="77777777" w:rsidR="003162FA" w:rsidRPr="005459E6" w:rsidRDefault="003162FA" w:rsidP="003162FA">
      <w:pPr>
        <w:spacing w:line="360" w:lineRule="auto"/>
        <w:jc w:val="both"/>
        <w:rPr>
          <w:rFonts w:ascii="Times New Roman" w:hAnsi="Times New Roman" w:cs="Times New Roman"/>
          <w:b/>
          <w:bCs/>
        </w:rPr>
      </w:pPr>
      <w:r w:rsidRPr="005459E6">
        <w:rPr>
          <w:rFonts w:ascii="Times New Roman" w:hAnsi="Times New Roman" w:cs="Times New Roman"/>
          <w:b/>
          <w:bCs/>
        </w:rPr>
        <w:t>(1) INDIVIDUAL LEVEL</w:t>
      </w:r>
    </w:p>
    <w:p w14:paraId="07AD788A" w14:textId="77777777" w:rsidR="003162FA" w:rsidRPr="005459E6" w:rsidRDefault="003162FA" w:rsidP="003162FA">
      <w:pPr>
        <w:spacing w:line="360" w:lineRule="auto"/>
        <w:jc w:val="both"/>
        <w:rPr>
          <w:rFonts w:ascii="Times New Roman" w:hAnsi="Times New Roman" w:cs="Times New Roman"/>
          <w:b/>
          <w:bCs/>
        </w:rPr>
      </w:pPr>
      <w:r w:rsidRPr="005459E6">
        <w:rPr>
          <w:rFonts w:ascii="Times New Roman" w:hAnsi="Times New Roman" w:cs="Times New Roman"/>
          <w:b/>
          <w:bCs/>
        </w:rPr>
        <w:t>Personalized Approach</w:t>
      </w:r>
    </w:p>
    <w:p w14:paraId="0AD78E76" w14:textId="4FFEFE59"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The insights drawn from the study can study individual indicators of health.  Based on the same it can facilitate a personalized approach to psychosomatic health. </w:t>
      </w:r>
      <w:r w:rsidR="00AD7B9B" w:rsidRPr="005459E6">
        <w:rPr>
          <w:rFonts w:ascii="Times New Roman" w:hAnsi="Times New Roman" w:cs="Times New Roman"/>
        </w:rPr>
        <w:t xml:space="preserve"> </w:t>
      </w:r>
      <w:r w:rsidRPr="005459E6">
        <w:rPr>
          <w:rFonts w:ascii="Times New Roman" w:hAnsi="Times New Roman" w:cs="Times New Roman"/>
        </w:rPr>
        <w:t xml:space="preserve">An IoMT device can be programmed with </w:t>
      </w:r>
      <w:r w:rsidR="00584A30" w:rsidRPr="005459E6">
        <w:rPr>
          <w:rFonts w:ascii="Times New Roman" w:hAnsi="Times New Roman" w:cs="Times New Roman"/>
        </w:rPr>
        <w:t xml:space="preserve">an </w:t>
      </w:r>
      <w:r w:rsidRPr="005459E6">
        <w:rPr>
          <w:rFonts w:ascii="Times New Roman" w:hAnsi="Times New Roman" w:cs="Times New Roman"/>
        </w:rPr>
        <w:t>ML model to provide indications or nudges to indicate the stress levels along with other mediators to enhance psychological well-being.</w:t>
      </w:r>
    </w:p>
    <w:p w14:paraId="0A80F460" w14:textId="77777777"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Using the STRESS and ENERGY of an individual as a benchmark and utilizing EEG biofeedback as an approach Such approach can also be used to predict the FOCUS &amp; ENGAGEMENT levels of an individual.  This mechanism could be made real-time and automated to provide a trigger (or a signal) indicating that a person has STRESS or FOCUS Levels.</w:t>
      </w:r>
    </w:p>
    <w:p w14:paraId="798495C2" w14:textId="4E874332"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The understanding sought from the real-time stress levels, sleep patterns and circadian rhythm could help individuals understand their levels of focus and engagement dynamically. It could bring about a possibility to gain more control over the Work-Life Balance. </w:t>
      </w:r>
      <w:r w:rsidR="00AD7B9B" w:rsidRPr="005459E6">
        <w:rPr>
          <w:rFonts w:ascii="Times New Roman" w:hAnsi="Times New Roman" w:cs="Times New Roman"/>
        </w:rPr>
        <w:t xml:space="preserve"> </w:t>
      </w:r>
      <w:r w:rsidRPr="005459E6">
        <w:rPr>
          <w:rFonts w:ascii="Times New Roman" w:hAnsi="Times New Roman" w:cs="Times New Roman"/>
        </w:rPr>
        <w:t xml:space="preserve">From individuals’ point of view, this approach can offer a personalized approach for the betterment of Psychological Well-being at the same time for an organization; it could lead to enhanced Workplace Productivity. </w:t>
      </w:r>
    </w:p>
    <w:p w14:paraId="580087CC" w14:textId="77777777" w:rsidR="003162FA" w:rsidRPr="005459E6" w:rsidRDefault="003162FA" w:rsidP="003162FA">
      <w:pPr>
        <w:spacing w:line="360" w:lineRule="auto"/>
        <w:jc w:val="both"/>
        <w:rPr>
          <w:rFonts w:ascii="Times New Roman" w:hAnsi="Times New Roman" w:cs="Times New Roman"/>
        </w:rPr>
      </w:pPr>
    </w:p>
    <w:p w14:paraId="27667082" w14:textId="77777777" w:rsidR="003162FA" w:rsidRPr="005459E6" w:rsidRDefault="003162FA" w:rsidP="003162FA">
      <w:pPr>
        <w:spacing w:line="360" w:lineRule="auto"/>
        <w:jc w:val="both"/>
        <w:rPr>
          <w:rFonts w:ascii="Times New Roman" w:hAnsi="Times New Roman" w:cs="Times New Roman"/>
          <w:b/>
          <w:bCs/>
        </w:rPr>
      </w:pPr>
      <w:r w:rsidRPr="005459E6">
        <w:rPr>
          <w:rFonts w:ascii="Times New Roman" w:hAnsi="Times New Roman" w:cs="Times New Roman"/>
          <w:b/>
          <w:bCs/>
        </w:rPr>
        <w:t>Enhanced Self-efficacy</w:t>
      </w:r>
    </w:p>
    <w:p w14:paraId="1FF6E513" w14:textId="77777777"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With the help of wearable technology, this personalized data flow can be used for smart nudging to improve individual wellbeing. The ability conferred with the application of technology offers greater self-efficacy.</w:t>
      </w:r>
    </w:p>
    <w:p w14:paraId="5DBEC611" w14:textId="77777777"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The predictive power offered by Machine Learning (ML) can offer expedited therapy. Such analytics can also facilitate health professionals to provide 'cognitive assistance'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{"citationItems":[{"id":"ITEM-1","itemData":{"DOI":"10.1016/j.ijmedinf.2019.04.024","ISSN":"18728243","PMID":"31445250","abstract":"To assist medical professional in better treatment of diseases, and improve patient outcomes, healthcare has brought about a cognitive computing revolution. The cognitive computing system processes enormous amounts of data instantly to answer specific queries and makes customized intelligent recommendations. Cognitive computing in healthcare links the functioning of human and machines where computers and the human brain truly overlap to improve human decision-making. In regard to this convergence, this systematic literature review (SLR) provides comprehensive information of the prior research related to cognitive computing in healthcare. The SLR focused on methods, algorithms, applications, results, strengths, and limitation using different research articles collected from leading international databases using linear and citation chaining search. The main outcomes of the SLR include proposal on future research direction, challenges faced by researchers, capabilities and the impact of cognitive computing on healthcare outcome and a conceptual model, showcasing the better utilization of cognitive computing in healthcare domain. This study concludes with managerial implications, limitations and scope for future work.","author":[{"dropping-particle":"","family":"Behera","given":"Rajat Kumar","non-dropping-particle":"","parse-names":false,"suffix":""},{"dropping-particle":"","family":"Bala","given":"Pradip Kumar","non-dropping-particle":"","parse-names":false,"suffix":""},{"dropping-particle":"","family":"Dhir","given":"Amandeep","non-dropping-particle":"","parse-names":false,"suffix":""}],"container-title":"International Journal of Medical Informatics","id":"ITEM-1","issue":"July","issued":{"date-parts":[["2019"]]},"page":"154-166","title":"The emerging role of cognitive computing in healthcare: A systematic literature review","type":"article-journal","volume":"129"},"uris":["http://www.mendeley.com/documents/?uuid=988f7e34-c671-493c-80f2-4f95b3a13674"]}],"mendeley":{"formattedCitation":"(Behera et al., 2019)","plainTextFormattedCitation":"(Behera et al., 2019)","previouslyFormattedCitation":"(Behera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(Behera et al., 2019)</w:t>
      </w:r>
      <w:r w:rsidRPr="005459E6">
        <w:rPr>
          <w:rFonts w:ascii="Times New Roman" w:hAnsi="Times New Roman" w:cs="Times New Roman"/>
        </w:rPr>
        <w:fldChar w:fldCharType="end"/>
      </w:r>
      <w:r w:rsidRPr="005459E6">
        <w:rPr>
          <w:rFonts w:ascii="Times New Roman" w:hAnsi="Times New Roman" w:cs="Times New Roman"/>
        </w:rPr>
        <w:t>.</w:t>
      </w:r>
    </w:p>
    <w:p w14:paraId="18857975" w14:textId="77777777" w:rsidR="00AD7B9B"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Further, such a model can also be scaled and used (as an App) by the patient for stress management. Insights on therapeutic interventions could help low-cost design applications and personalized approaches to help people enhance 'Self-Efficacy’. People can make use of such personalized approaches to enhance 'self-efficacy'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{"citationItems":[{"id":"ITEM-1","itemData":{"DOI":"10.1007/s40037-018-0411-3","ISSN":"2212277X","PMID":"29484552","abstract":"Introduction: Self-efficacy is a theoretically and empirically robust motivation belief that has been shown to play an important role in the learning and development of new skills and knowledge. In this article, we critically review research on the self-efficacy beliefs of medical students, with a goal to evaluate the existing research and to strengthen future work. In particular, we sought to describe the state of research on medical student self-efficacy and to critically examine the conceptualization and measurement of the construct. Finally, we aimed to provide directions for future self-efficacy research. Methods: We critically reviewed 74 published articles that included measures of self-efficacy beliefs of medical students. Results: Our review showed that (a) research on the self-efficacy beliefs of medical students is growing and is becoming increasingly international, and (b) that nearly half (46%) of self-efficacy measures showed conceptual and operational flaws. Discussion: Our critical review of 74 research studies on self-efficacy of medical students found that although research in the field is increasing, nearly half of measures labelled as self-efficacy were incongruent with the conceptual guidelines set by self-efficacy experts. We provide five suggestions for future research on the self-efficacy of medical students.","author":[{"dropping-particle":"","family":"Klassen","given":"Robert M.","non-dropping-particle":"","parse-names":false,"suffix":""},{"dropping-particle":"","family":"Klassen","given":"Joel R.L.","non-dropping-particle":"","parse-names":false,"suffix":""}],"container-title":"Perspectives on Medical Education","id":"ITEM-1","issue":"2","issued":{"date-parts":[["2018"]]},"page":"76-82","title":"Self-efficacy beliefs of medical students: a critical review","type":"article-journal","volume":"7"},"uris":["http://www.mendeley.com/documents/?uuid=601e5427-be1e-4027-8675-af5c9b2bb7f1"]}],"mendeley":{"formattedCitation":"(Klassen &amp; Klassen, 2018)","plainTextFormattedCitation":"(Klassen &amp; Klassen, 2018)","previouslyFormattedCitation":"(Klassen &amp; Klassen,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(Klassen &amp; Klassen, 2018)</w:t>
      </w:r>
      <w:r w:rsidRPr="005459E6">
        <w:rPr>
          <w:rFonts w:ascii="Times New Roman" w:hAnsi="Times New Roman" w:cs="Times New Roman"/>
        </w:rPr>
        <w:fldChar w:fldCharType="end"/>
      </w:r>
      <w:r w:rsidRPr="005459E6">
        <w:rPr>
          <w:rFonts w:ascii="Times New Roman" w:hAnsi="Times New Roman" w:cs="Times New Roman"/>
        </w:rPr>
        <w:t xml:space="preserve"> while managing stress. Ultimately such a model can be extended in the form of a web portal to enhance access to the healthcare ecosystem. As it could go beyond time and place, it may offer ‘Spatial Flexibility'. </w:t>
      </w:r>
    </w:p>
    <w:p w14:paraId="0691ED85" w14:textId="77777777" w:rsidR="00AD7B9B" w:rsidRPr="005459E6" w:rsidRDefault="00AD7B9B" w:rsidP="003162FA">
      <w:pPr>
        <w:spacing w:line="360" w:lineRule="auto"/>
        <w:jc w:val="both"/>
        <w:rPr>
          <w:rFonts w:ascii="Times New Roman" w:hAnsi="Times New Roman" w:cs="Times New Roman"/>
        </w:rPr>
      </w:pPr>
    </w:p>
    <w:p w14:paraId="7AC174E8" w14:textId="539141B0"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Insights on Therapeutic Interventions could help develop low-cost applications. The access to people can be extended by the use of technology &amp; could facilitate 'Spatial Flexibility'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{"citationItems":[{"id":"ITEM-1","itemData":{"DOI":"10.3390/ijerph17145080","ISBN":"4401332592670","ISSN":"16604601","PMID":"32674518","abstract":"Digitalization of knowledge work is essential for today’s organizations, responding to diversified employee needs. Many organizations are already implementing some form of flexibility to help workers perform work and non-work duties, while maintaining high productivity. While these changes in workplaces, “New Ways of Working (NWW)”, have been discussed in the literature, a systematic appraisal of evidence of NWW has not been conducted. Relating to poor work-related mental health worldwide, this systematic review analyzed the psychological impacts of NWW, and the quality and quantity of NWW research. Following the preferred reporting items for systematic reviews and meta-analysis (PRISMA) guidelines, NWW studies targeting psychological outcomes were evaluated. Initial literature search on ProQuest, PsycINFO, Science Direct, and Google Scholar retrieved 308 titles, from which seven articles fulfilled all inclusion criteria. Our appraisal revealed that NWW research evaluated diverse psychological outcomes. While NWW can help workers’ engagement, work-related flow, and connectivity among staff, NWW can also increase blurred work-home boundary, fatigue, and mental demands. The quality of NWW research was overall medium, needing more rigorous studies. Our findings can inform decision-makers in the workplace to effectively implement NWW, and researchers to improve the quality and the usefulness of future NWW studies.","author":[{"dropping-particle":"","family":"Kotera","given":"Yasuhiro","non-dropping-particle":"","parse-names":false,"suffix":""},{"dropping-particle":"","family":"Vione","given":"Katia Correa","non-dropping-particle":"","parse-names":false,"suffix":""}],"container-title":"International Journal of Environmental Research and Public Health","id":"ITEM-1","issue":"14","issued":{"date-parts":[["2020"]]},"page":"1-13","title":"Psychological impacts of the new ways of working (NWW): A systematic review","type":"article-journal","volume":"17"},"uris":["http://www.mendeley.com/documents/?uuid=64e00156-464d-416a-9275-8d742f04d26e"]}],"mendeley":{"formattedCitation":"(Kotera &amp; Vione, 2020)","plainTextFormattedCitation":"(Kotera &amp; Vione, 2020)","previouslyFormattedCitation":"(Kotera &amp; Vione,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(Kotera &amp; Vione, 2020)</w:t>
      </w:r>
      <w:r w:rsidRPr="005459E6">
        <w:rPr>
          <w:rFonts w:ascii="Times New Roman" w:hAnsi="Times New Roman" w:cs="Times New Roman"/>
        </w:rPr>
        <w:fldChar w:fldCharType="end"/>
      </w:r>
      <w:r w:rsidRPr="005459E6">
        <w:rPr>
          <w:rFonts w:ascii="Times New Roman" w:hAnsi="Times New Roman" w:cs="Times New Roman"/>
        </w:rPr>
        <w:t xml:space="preserve"> in the Healthcare ecosystem. </w:t>
      </w:r>
    </w:p>
    <w:p w14:paraId="6AAED659" w14:textId="77777777"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The Spatial Flexibility offered by IoMT, along with the Cognitive Assistance facilitated by AI, can provide insightful information to the individual and in line with Nudge theory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{"citationItems":[{"id":"ITEM-1","itemData":{"ISBN":"014311526X","author":[{"dropping-particle":"","family":"Thaler","given":"Richard H","non-dropping-particle":"","parse-names":false,"suffix":""},{"dropping-particle":"","family":"Sunstein","given":"Cass R","non-dropping-particle":"","parse-names":false,"suffix":""}],"id":"ITEM-1","issued":{"date-parts":[["2009"]]},"publisher":"Penguin","title":"Nudge: Improving decisions about health, wealth, and happiness","type":"book"},"uris":["http://www.mendeley.com/documents/?uuid=43dae2a0-0931-4f79-a5db-26607af9ef55"]}],"mendeley":{"formattedCitation":"(Thaler &amp; Sunstein, 2009)","plainTextFormattedCitation":"(Thaler &amp; Sunstein, 2009)","previouslyFormattedCitation":"(Thaler &amp; Sunstein, 2009)"},"properties":{"noteIndex":0},"schema":"https://github.com/citation-style-language/schema/raw/master/csl-citation.json"}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(Thaler &amp; Sunstein, 2009)</w:t>
      </w:r>
      <w:r w:rsidRPr="005459E6">
        <w:rPr>
          <w:rFonts w:ascii="Times New Roman" w:hAnsi="Times New Roman" w:cs="Times New Roman"/>
        </w:rPr>
        <w:fldChar w:fldCharType="end"/>
      </w:r>
      <w:r w:rsidRPr="005459E6">
        <w:rPr>
          <w:rFonts w:ascii="Times New Roman" w:hAnsi="Times New Roman" w:cs="Times New Roman"/>
        </w:rPr>
        <w:t>, can go on to enhance self-efficacy improving individuals' well-being.</w:t>
      </w:r>
    </w:p>
    <w:p w14:paraId="50620E17" w14:textId="77777777" w:rsidR="003162FA" w:rsidRPr="005459E6" w:rsidRDefault="003162FA" w:rsidP="003162FA">
      <w:pPr>
        <w:spacing w:line="360" w:lineRule="auto"/>
        <w:ind w:left="720"/>
        <w:jc w:val="both"/>
        <w:rPr>
          <w:rFonts w:ascii="Times New Roman" w:hAnsi="Times New Roman" w:cs="Times New Roman"/>
          <w:b/>
          <w:bCs/>
        </w:rPr>
      </w:pPr>
    </w:p>
    <w:p w14:paraId="5CC36890" w14:textId="77777777" w:rsidR="003162FA" w:rsidRPr="005459E6" w:rsidRDefault="003162FA" w:rsidP="003162FA">
      <w:pPr>
        <w:spacing w:line="360" w:lineRule="auto"/>
        <w:jc w:val="both"/>
        <w:rPr>
          <w:rFonts w:ascii="Times New Roman" w:hAnsi="Times New Roman" w:cs="Times New Roman"/>
          <w:b/>
          <w:bCs/>
        </w:rPr>
      </w:pPr>
      <w:r w:rsidRPr="005459E6">
        <w:rPr>
          <w:rFonts w:ascii="Times New Roman" w:hAnsi="Times New Roman" w:cs="Times New Roman"/>
          <w:b/>
          <w:bCs/>
        </w:rPr>
        <w:t>Effective Treatment</w:t>
      </w:r>
    </w:p>
    <w:p w14:paraId="4F8F3ED8" w14:textId="77777777"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The creation of a Machine Learning (ML) driven-based model could offer real-time insights on Psychosomatic health to be able to minimize ‘Time’ and grant greater ‘Access’ to the individual.</w:t>
      </w:r>
    </w:p>
    <w:p w14:paraId="456AB8D7" w14:textId="77777777" w:rsidR="003162FA" w:rsidRPr="005459E6" w:rsidRDefault="003162FA" w:rsidP="003162FA">
      <w:pPr>
        <w:numPr>
          <w:ilvl w:val="0"/>
          <w:numId w:val="14"/>
        </w:numPr>
        <w:spacing w:line="360" w:lineRule="auto"/>
        <w:jc w:val="both"/>
        <w:rPr>
          <w:rFonts w:ascii="Times New Roman" w:hAnsi="Times New Roman" w:cs="Times New Roman"/>
        </w:rPr>
      </w:pPr>
      <w:r w:rsidRPr="005459E6">
        <w:rPr>
          <w:rFonts w:ascii="Times New Roman" w:hAnsi="Times New Roman" w:cs="Times New Roman"/>
        </w:rPr>
        <w:t>ACCESS: Extension by Portal or Apps (using the ML model)</w:t>
      </w:r>
      <w:r w:rsidRPr="005459E6">
        <w:rPr>
          <w:rFonts w:ascii="Times New Roman" w:hAnsi="Times New Roman" w:cs="Times New Roman"/>
        </w:rPr>
        <w:tab/>
      </w:r>
      <w:r w:rsidRPr="005459E6">
        <w:rPr>
          <w:rFonts w:ascii="Times New Roman" w:hAnsi="Times New Roman" w:cs="Times New Roman"/>
        </w:rPr>
        <w:tab/>
      </w:r>
      <w:r w:rsidRPr="005459E6">
        <w:rPr>
          <w:rFonts w:ascii="Times New Roman" w:hAnsi="Times New Roman" w:cs="Times New Roman"/>
        </w:rPr>
        <w:tab/>
      </w:r>
    </w:p>
    <w:p w14:paraId="2A41D7D0" w14:textId="77777777" w:rsidR="003162FA" w:rsidRPr="005459E6" w:rsidRDefault="003162FA" w:rsidP="003162FA">
      <w:pPr>
        <w:numPr>
          <w:ilvl w:val="0"/>
          <w:numId w:val="14"/>
        </w:numPr>
        <w:spacing w:line="360" w:lineRule="auto"/>
        <w:jc w:val="both"/>
        <w:rPr>
          <w:rFonts w:ascii="Times New Roman" w:hAnsi="Times New Roman" w:cs="Times New Roman"/>
        </w:rPr>
      </w:pPr>
      <w:r w:rsidRPr="005459E6">
        <w:rPr>
          <w:rFonts w:ascii="Times New Roman" w:hAnsi="Times New Roman" w:cs="Times New Roman"/>
        </w:rPr>
        <w:t>TIME: Expedited Therapy (offered by the therapist)</w:t>
      </w:r>
    </w:p>
    <w:p w14:paraId="3B0119E2" w14:textId="77777777" w:rsidR="003162FA" w:rsidRPr="005459E6" w:rsidRDefault="003162FA" w:rsidP="003162FA">
      <w:pPr>
        <w:numPr>
          <w:ilvl w:val="0"/>
          <w:numId w:val="14"/>
        </w:numPr>
        <w:spacing w:line="360" w:lineRule="auto"/>
        <w:jc w:val="both"/>
        <w:rPr>
          <w:rFonts w:ascii="Times New Roman" w:hAnsi="Times New Roman" w:cs="Times New Roman"/>
        </w:rPr>
      </w:pPr>
      <w:r w:rsidRPr="005459E6">
        <w:rPr>
          <w:rFonts w:ascii="Times New Roman" w:hAnsi="Times New Roman" w:cs="Times New Roman"/>
        </w:rPr>
        <w:t>COST: Replication of ML model (facilitated by the ecosystem)</w:t>
      </w:r>
    </w:p>
    <w:p w14:paraId="344ACC58" w14:textId="77777777" w:rsidR="003162FA" w:rsidRPr="005459E6" w:rsidRDefault="003162FA" w:rsidP="003162FA">
      <w:pPr>
        <w:spacing w:line="360" w:lineRule="auto"/>
        <w:jc w:val="both"/>
        <w:rPr>
          <w:rFonts w:ascii="Times New Roman" w:hAnsi="Times New Roman" w:cs="Times New Roman"/>
        </w:rPr>
      </w:pPr>
    </w:p>
    <w:p w14:paraId="348E0C42" w14:textId="06F4941A"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 xml:space="preserve">The Machine Learning model derived from Brain Computer Interaction (BCI) can be used in real-time and can reduce the time required for </w:t>
      </w:r>
      <w:r w:rsidR="008A7834" w:rsidRPr="005459E6">
        <w:rPr>
          <w:rFonts w:ascii="Times New Roman" w:hAnsi="Times New Roman" w:cs="Times New Roman"/>
        </w:rPr>
        <w:t>p</w:t>
      </w:r>
      <w:r w:rsidRPr="005459E6">
        <w:rPr>
          <w:rFonts w:ascii="Times New Roman" w:hAnsi="Times New Roman" w:cs="Times New Roman"/>
        </w:rPr>
        <w:t xml:space="preserve">sychosomatic treatment by the therapists. Further use of the validated model can also be scaled beyond and can be used by the patient for the betterment of their health, reducing the associated costs. </w:t>
      </w:r>
    </w:p>
    <w:p w14:paraId="487913F9" w14:textId="601DE48F" w:rsidR="003162FA" w:rsidRPr="005459E6" w:rsidRDefault="003162FA" w:rsidP="003162FA">
      <w:pPr>
        <w:spacing w:line="360" w:lineRule="auto"/>
        <w:jc w:val="both"/>
        <w:rPr>
          <w:rFonts w:ascii="Times New Roman" w:hAnsi="Times New Roman" w:cs="Times New Roman"/>
        </w:rPr>
      </w:pPr>
      <w:r w:rsidRPr="005459E6">
        <w:rPr>
          <w:rFonts w:ascii="Times New Roman" w:hAnsi="Times New Roman" w:cs="Times New Roman"/>
        </w:rPr>
        <w:t>Eventually</w:t>
      </w:r>
      <w:r w:rsidR="008E1F4A" w:rsidRPr="005459E6">
        <w:rPr>
          <w:rFonts w:ascii="Times New Roman" w:hAnsi="Times New Roman" w:cs="Times New Roman"/>
        </w:rPr>
        <w:t>,</w:t>
      </w:r>
      <w:r w:rsidRPr="005459E6">
        <w:rPr>
          <w:rFonts w:ascii="Times New Roman" w:hAnsi="Times New Roman" w:cs="Times New Roman"/>
        </w:rPr>
        <w:t xml:space="preserve"> such a model can be extended in the form of a ‘Web portal’ to enhance access to the healthcare ecosystem.</w:t>
      </w:r>
      <w:r w:rsidR="008A7834" w:rsidRPr="005459E6">
        <w:rPr>
          <w:rFonts w:ascii="Times New Roman" w:hAnsi="Times New Roman" w:cs="Times New Roman"/>
        </w:rPr>
        <w:t xml:space="preserve"> </w:t>
      </w:r>
      <w:r w:rsidR="008E1F4A" w:rsidRPr="005459E6">
        <w:rPr>
          <w:rFonts w:ascii="Times New Roman" w:hAnsi="Times New Roman" w:cs="Times New Roman"/>
        </w:rPr>
        <w:t>T</w:t>
      </w:r>
      <w:r w:rsidRPr="005459E6">
        <w:rPr>
          <w:rFonts w:ascii="Times New Roman" w:hAnsi="Times New Roman" w:cs="Times New Roman"/>
        </w:rPr>
        <w:t xml:space="preserve">he Machine Learning model expedites and optimizes the process of augmenting psychosomatic health. In the process, the value is created by the interaction of </w:t>
      </w:r>
      <w:r w:rsidR="00963227" w:rsidRPr="005459E6">
        <w:rPr>
          <w:rFonts w:ascii="Times New Roman" w:hAnsi="Times New Roman" w:cs="Times New Roman"/>
        </w:rPr>
        <w:t>a</w:t>
      </w:r>
      <w:r w:rsidRPr="005459E6">
        <w:rPr>
          <w:rFonts w:ascii="Times New Roman" w:hAnsi="Times New Roman" w:cs="Times New Roman"/>
        </w:rPr>
        <w:t xml:space="preserve">ctors in healthcare, where such type of </w:t>
      </w:r>
      <w:r w:rsidR="00963227" w:rsidRPr="005459E6">
        <w:rPr>
          <w:rFonts w:ascii="Times New Roman" w:hAnsi="Times New Roman" w:cs="Times New Roman"/>
        </w:rPr>
        <w:t>p</w:t>
      </w:r>
      <w:r w:rsidRPr="005459E6">
        <w:rPr>
          <w:rFonts w:ascii="Times New Roman" w:hAnsi="Times New Roman" w:cs="Times New Roman"/>
        </w:rPr>
        <w:t xml:space="preserve">sychotherapy can be performed with minimal time and lower costs with the application of the proposed ML model. Additionally, greater access can be granted to </w:t>
      </w:r>
      <w:r w:rsidR="00F42435" w:rsidRPr="005459E6">
        <w:rPr>
          <w:rFonts w:ascii="Times New Roman" w:hAnsi="Times New Roman" w:cs="Times New Roman"/>
        </w:rPr>
        <w:t xml:space="preserve">the </w:t>
      </w:r>
      <w:r w:rsidR="00963227" w:rsidRPr="005459E6">
        <w:rPr>
          <w:rFonts w:ascii="Times New Roman" w:hAnsi="Times New Roman" w:cs="Times New Roman"/>
        </w:rPr>
        <w:t>h</w:t>
      </w:r>
      <w:r w:rsidRPr="005459E6">
        <w:rPr>
          <w:rFonts w:ascii="Times New Roman" w:hAnsi="Times New Roman" w:cs="Times New Roman"/>
        </w:rPr>
        <w:t xml:space="preserve">ealthcare </w:t>
      </w:r>
      <w:r w:rsidR="00963227" w:rsidRPr="005459E6">
        <w:rPr>
          <w:rFonts w:ascii="Times New Roman" w:hAnsi="Times New Roman" w:cs="Times New Roman"/>
        </w:rPr>
        <w:t>e</w:t>
      </w:r>
      <w:r w:rsidRPr="005459E6">
        <w:rPr>
          <w:rFonts w:ascii="Times New Roman" w:hAnsi="Times New Roman" w:cs="Times New Roman"/>
        </w:rPr>
        <w:t xml:space="preserve">cosystem by scaling the model in the form of a </w:t>
      </w:r>
      <w:r w:rsidR="00963227" w:rsidRPr="005459E6">
        <w:rPr>
          <w:rFonts w:ascii="Times New Roman" w:hAnsi="Times New Roman" w:cs="Times New Roman"/>
        </w:rPr>
        <w:t>s</w:t>
      </w:r>
      <w:r w:rsidRPr="005459E6">
        <w:rPr>
          <w:rFonts w:ascii="Times New Roman" w:hAnsi="Times New Roman" w:cs="Times New Roman"/>
        </w:rPr>
        <w:t xml:space="preserve">martphone </w:t>
      </w:r>
      <w:r w:rsidR="00963227" w:rsidRPr="005459E6">
        <w:rPr>
          <w:rFonts w:ascii="Times New Roman" w:hAnsi="Times New Roman" w:cs="Times New Roman"/>
        </w:rPr>
        <w:t>a</w:t>
      </w:r>
      <w:r w:rsidRPr="005459E6">
        <w:rPr>
          <w:rFonts w:ascii="Times New Roman" w:hAnsi="Times New Roman" w:cs="Times New Roman"/>
        </w:rPr>
        <w:t xml:space="preserve">pp and </w:t>
      </w:r>
      <w:r w:rsidR="00837ABF" w:rsidRPr="005459E6">
        <w:rPr>
          <w:rFonts w:ascii="Times New Roman" w:hAnsi="Times New Roman" w:cs="Times New Roman"/>
        </w:rPr>
        <w:t>w</w:t>
      </w:r>
      <w:r w:rsidRPr="005459E6">
        <w:rPr>
          <w:rFonts w:ascii="Times New Roman" w:hAnsi="Times New Roman" w:cs="Times New Roman"/>
        </w:rPr>
        <w:t>eb</w:t>
      </w:r>
      <w:r w:rsidR="00F42435" w:rsidRPr="005459E6">
        <w:rPr>
          <w:rFonts w:ascii="Times New Roman" w:hAnsi="Times New Roman" w:cs="Times New Roman"/>
        </w:rPr>
        <w:t xml:space="preserve"> </w:t>
      </w:r>
      <w:r w:rsidRPr="005459E6">
        <w:rPr>
          <w:rFonts w:ascii="Times New Roman" w:hAnsi="Times New Roman" w:cs="Times New Roman"/>
        </w:rPr>
        <w:t xml:space="preserve">portals. These possibilities offered by </w:t>
      </w:r>
      <w:r w:rsidR="002C74A8">
        <w:rPr>
          <w:rFonts w:ascii="Times New Roman" w:hAnsi="Times New Roman" w:cs="Times New Roman"/>
        </w:rPr>
        <w:t xml:space="preserve">the </w:t>
      </w:r>
      <w:r w:rsidRPr="005459E6">
        <w:rPr>
          <w:rFonts w:ascii="Times New Roman" w:hAnsi="Times New Roman" w:cs="Times New Roman"/>
        </w:rPr>
        <w:t>ML model in terms of time, cost and access could different effective psychosomatic treatment</w:t>
      </w:r>
      <w:r w:rsidR="008E1F4A" w:rsidRPr="005459E6">
        <w:rPr>
          <w:rFonts w:ascii="Times New Roman" w:hAnsi="Times New Roman" w:cs="Times New Roman"/>
        </w:rPr>
        <w:t>s</w:t>
      </w:r>
      <w:r w:rsidRPr="005459E6">
        <w:rPr>
          <w:rFonts w:ascii="Times New Roman" w:hAnsi="Times New Roman" w:cs="Times New Roman"/>
        </w:rPr>
        <w:t xml:space="preserve"> to drive positive outcomes.</w:t>
      </w:r>
    </w:p>
    <w:p w14:paraId="680002AF" w14:textId="77777777" w:rsidR="003162FA" w:rsidRPr="005459E6" w:rsidRDefault="003162FA" w:rsidP="003162FA">
      <w:pPr>
        <w:spacing w:line="360" w:lineRule="auto"/>
        <w:jc w:val="both"/>
        <w:rPr>
          <w:rFonts w:ascii="Times New Roman" w:hAnsi="Times New Roman" w:cs="Times New Roman"/>
          <w:b/>
          <w:bCs/>
        </w:rPr>
      </w:pPr>
    </w:p>
    <w:p w14:paraId="06CEA683" w14:textId="7CC78A46" w:rsidR="00E614A8" w:rsidRPr="005459E6" w:rsidRDefault="00E614A8" w:rsidP="00E614A8">
      <w:pPr>
        <w:spacing w:line="360" w:lineRule="auto"/>
        <w:jc w:val="both"/>
        <w:rPr>
          <w:rFonts w:ascii="Times New Roman" w:hAnsi="Times New Roman" w:cs="Times New Roman"/>
          <w:b/>
          <w:bCs/>
        </w:rPr>
      </w:pPr>
      <w:r w:rsidRPr="005459E6">
        <w:rPr>
          <w:rFonts w:ascii="Times New Roman" w:hAnsi="Times New Roman" w:cs="Times New Roman"/>
          <w:b/>
          <w:bCs/>
        </w:rPr>
        <w:t>(2) ORGANIZATIONAL LEVEL</w:t>
      </w:r>
    </w:p>
    <w:p w14:paraId="40D6B400" w14:textId="77777777" w:rsidR="00E614A8" w:rsidRPr="005459E6" w:rsidRDefault="00E614A8" w:rsidP="00E614A8">
      <w:pPr>
        <w:spacing w:line="360" w:lineRule="auto"/>
        <w:jc w:val="both"/>
        <w:rPr>
          <w:rFonts w:ascii="Times New Roman" w:hAnsi="Times New Roman" w:cs="Times New Roman"/>
          <w:b/>
          <w:bCs/>
        </w:rPr>
      </w:pPr>
      <w:r w:rsidRPr="005459E6">
        <w:rPr>
          <w:rFonts w:ascii="Times New Roman" w:hAnsi="Times New Roman" w:cs="Times New Roman"/>
          <w:b/>
          <w:bCs/>
        </w:rPr>
        <w:t>Work-Life Balance at Workplaces</w:t>
      </w:r>
    </w:p>
    <w:p w14:paraId="07C437A0" w14:textId="77777777" w:rsidR="00E614A8" w:rsidRPr="005459E6" w:rsidRDefault="00E614A8" w:rsidP="00E614A8">
      <w:pPr>
        <w:spacing w:line="360" w:lineRule="auto"/>
        <w:jc w:val="both"/>
        <w:rPr>
          <w:rFonts w:ascii="Times New Roman" w:hAnsi="Times New Roman" w:cs="Times New Roman"/>
        </w:rPr>
      </w:pPr>
      <w:r w:rsidRPr="005459E6">
        <w:rPr>
          <w:rFonts w:ascii="Times New Roman" w:hAnsi="Times New Roman" w:cs="Times New Roman"/>
        </w:rPr>
        <w:t>Presented research provides insights concerning psychosomatic health and its individual as well as organizational effects. At an organizational level, enhanced workplace productivity leads to efficient Organizational performance. Other fields such as Human Resource Management, Systems Management and Operations management can benchmark and draw ideal Workplan allotment and offer exceptional ambiance for working. Ultimately it is expected to lead to optimal Work-Life Balance.</w:t>
      </w:r>
    </w:p>
    <w:p w14:paraId="0D969D84" w14:textId="77777777" w:rsidR="00E614A8" w:rsidRPr="005459E6" w:rsidRDefault="00E614A8" w:rsidP="00E614A8">
      <w:pPr>
        <w:spacing w:line="360" w:lineRule="auto"/>
        <w:ind w:left="720"/>
        <w:jc w:val="both"/>
        <w:rPr>
          <w:rFonts w:ascii="Times New Roman" w:hAnsi="Times New Roman" w:cs="Times New Roman"/>
        </w:rPr>
      </w:pPr>
    </w:p>
    <w:p w14:paraId="662580C1" w14:textId="77777777" w:rsidR="00E614A8" w:rsidRPr="005459E6" w:rsidRDefault="00E614A8" w:rsidP="00E614A8">
      <w:pPr>
        <w:spacing w:line="360" w:lineRule="auto"/>
        <w:jc w:val="both"/>
        <w:rPr>
          <w:rFonts w:ascii="Times New Roman" w:hAnsi="Times New Roman" w:cs="Times New Roman"/>
        </w:rPr>
      </w:pPr>
      <w:r w:rsidRPr="005459E6">
        <w:rPr>
          <w:rFonts w:ascii="Times New Roman" w:hAnsi="Times New Roman" w:cs="Times New Roman"/>
          <w:b/>
          <w:bCs/>
        </w:rPr>
        <w:t>Replication of Service-Dominant Logic for technology development</w:t>
      </w:r>
    </w:p>
    <w:p w14:paraId="47C967F8" w14:textId="75D62B72" w:rsidR="00E614A8" w:rsidRPr="005459E6" w:rsidRDefault="00E614A8" w:rsidP="00E614A8">
      <w:pPr>
        <w:spacing w:line="360" w:lineRule="auto"/>
        <w:jc w:val="both"/>
        <w:rPr>
          <w:rFonts w:ascii="Times New Roman" w:hAnsi="Times New Roman" w:cs="Times New Roman"/>
        </w:rPr>
      </w:pPr>
      <w:r w:rsidRPr="005459E6">
        <w:rPr>
          <w:rFonts w:ascii="Times New Roman" w:hAnsi="Times New Roman" w:cs="Times New Roman"/>
        </w:rPr>
        <w:t xml:space="preserve">Research shows that Brain Computer Interface and Artificial Intelligence can be resource integrated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10.1080/0267257X.2019.1600572","ISSN":"0267-257X","author":[{"dropping-particle":"","family":"Sklyar","given":"Alexey","non-dropping-particle":"","parse-names":false,"suffix":""},{"dropping-particle":"","family":"Kowalkowski","given":"Christian","non-dropping-particle":"","parse-names":false,"suffix":""},{"dropping-particle":"","family":"Sörhammar","given":"David","non-dropping-particle":"","parse-names":false,"suffix":""},{"dropping-particle":"","family":"Tronvoll","given":"Bård","non-dropping-particle":"","parse-names":false,"suffix":""},{"dropping-particle":"","family":"Kowalkowski","given":"Christian","non-dropping-particle":"","parse-names":false,"suffix":""}],"container-title":"Journal of Marketing Management","id":"ITEM-1","issue":"11-12","issued":{"date-parts":[["2019"]]},"page":"974-991","publisher":"Routledge","title":"Resource integration through digitalisation : a service ecosystem perspective","type":"article-journal","volume":"35"},"uris":["http://www.mendeley.com/documents/?uuid=570bf460-a7fa-4768-8804-e88f54759dc4"]},{"id":"ITEM-2","itemData":{"DOI":"10.1177/1470593111429512","ISSN":"14705931","author":[{"dropping-particle":"","family":"Kleinaltenkamp","given":"Michael","non-dropping-particle":"","parse-names":false,"suffix":""},{"dropping-particle":"","family":"Brodie","given":"Roderick J.","non-dropping-particle":"","parse-names":false,"suffix":""},{"dropping-particle":"","family":"Frow","given":"Pennie","non-dropping-particle":"","parse-names":false,"suffix":""},{"dropping-particle":"","family":"Hughes","given":"Tim","non-dropping-particle":"","parse-names":false,"suffix":""},{"dropping-particle":"","family":"Peters","given":"Linda D.","non-dropping-particle":"","parse-names":false,"suffix":""},{"dropping-particle":"","family":"Woratschek","given":"Herbert","non-dropping-particle":"","parse-names":false,"suffix":""}],"container-title":"Marketing Theory","id":"ITEM-2","issue":"2","issued":{"date-parts":[["2012"]]},"page":"201-205","title":"Resource integration","type":"article-journal","volume":"12"},"uris":["http://www.mendeley.com/documents/?uuid=b5795d49-02ad-4cc3-84cc-28b950d6b7cd"]},{"id":"ITEM-3","itemData":{"DOI":"10.1016/j.indmarman.2016.03.007","ISSN":"00198501","abstract":"Co-creation is described as a resource integration process involving actors that are linked within a service ecosystem. This process occurs when value propositions attract actors to share their resources during collaborative activities and interactions, termed co-creation practices. The purpose of this paper is three-fold: (1) to develop a typology of co-creation practices that shape a dynamic health care service ecosystem, identifying those practices that have positive effects, those that have negative effects, and those that can have either positive or negative effects on the service ecosystem; (2) to provide indicative measures of co-creation practices; and (3) to offer a compelling research agenda. Actors assess their resources and seek to address resource gaps, engaging in co-creation practices that offer access to valued resources. As such, we argue that co-creation practices play a central role in shaping the service ecosystem, influencing which resources are available, when they are employed, and how they are integrated. We develop a typology consisting of eight co-creation practices, illustrating these in the context of a health care ecosystem. We provide a set of indicative measures, identifying how co-creation practices can impact the well-being of the ecosystem, and develop a research agenda calling for further studies in this important area.","author":[{"dropping-particle":"","family":"Frow","given":"Pennie","non-dropping-particle":"","parse-names":false,"suffix":""},{"dropping-particle":"","family":"McColl-Kennedy","given":"Janet R.","non-dropping-particle":"","parse-names":false,"suffix":""},{"dropping-particle":"","family":"Payne","given":"Adrian","non-dropping-particle":"","parse-names":false,"suffix":""}],"container-title":"Industrial Marketing Management","id":"ITEM-3","issued":{"date-parts":[["2016"]]},"page":"24-39","publisher":"Elsevier B.V.","title":"Co-creation practices: Their role in shaping a health care ecosystem","type":"article-journal","volume":"56"},"uris":["http://www.mendeley.com/documents/?uuid=f6611695-a0f9-3e4e-a593-3879dc585cce"]}],"mendeley":{"formattedCitation":"(Frow et al., 2016a; Kleinaltenkamp et al., 2012; Sklyar et al., 2019)","plainTextFormattedCitation":"(Frow et al., 2016a; Kleinaltenkamp et al., 2012; Sklyar et al., 2019)","previouslyFormattedCitation":"(Frow et al., 2016a; Kleinaltenkamp et al., 2012; Sklyar et al., 2019)"},"properties":{"noteIndex":0},"schema":"https://github.com/citation-style-language/schema/raw/master/csl-citation.json"}</w:instrText>
      </w:r>
      <w:r w:rsidRPr="005459E6">
        <w:rPr>
          <w:rFonts w:ascii="Times New Roman" w:hAnsi="Times New Roman" w:cs="Times New Roman"/>
        </w:rPr>
        <w:fldChar w:fldCharType="separate"/>
      </w:r>
      <w:r w:rsidR="005D2728" w:rsidRPr="005D2728">
        <w:rPr>
          <w:rFonts w:ascii="Times New Roman" w:hAnsi="Times New Roman" w:cs="Times New Roman"/>
          <w:noProof/>
        </w:rPr>
        <w:t>(Frow et al., 2016a; Kleinaltenkamp et al., 2012; Sklyar et al., 2019)</w:t>
      </w:r>
      <w:r w:rsidRPr="005459E6">
        <w:rPr>
          <w:rFonts w:ascii="Times New Roman" w:hAnsi="Times New Roman" w:cs="Times New Roman"/>
        </w:rPr>
        <w:fldChar w:fldCharType="end"/>
      </w:r>
      <w:r w:rsidRPr="005459E6">
        <w:rPr>
          <w:rFonts w:ascii="Times New Roman" w:hAnsi="Times New Roman" w:cs="Times New Roman"/>
        </w:rPr>
        <w:t xml:space="preserve"> with respective capabilities to process complex brain signals and data modelling for co-creating value in the form of Enhanced Psychosomatic Health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{"citationItems":[{"id":"ITEM-1","itemData":{"DOI":"10.1108/17566691011026603","ISSN":"17566703","abstract":"Purpose – The purpose of this paper is to analyse innovation in the light of service</w:instrText>
      </w:r>
      <w:r w:rsidRPr="005459E6">
        <w:rPr>
          <w:rFonts w:ascii="Times New Roman" w:hAnsi="Times New Roman" w:cs="Times New Roman" w:hint="eastAsia"/>
        </w:rPr>
        <w:instrText></w:instrText>
      </w:r>
      <w:r w:rsidRPr="005459E6">
        <w:rPr>
          <w:rFonts w:ascii="Times New Roman" w:hAnsi="Times New Roman" w:cs="Times New Roman"/>
        </w:rPr>
        <w:instrText>dominant (S</w:instrText>
      </w:r>
      <w:r w:rsidRPr="005459E6">
        <w:rPr>
          <w:rFonts w:ascii="Times New Roman" w:hAnsi="Times New Roman" w:cs="Times New Roman" w:hint="eastAsia"/>
        </w:rPr>
        <w:instrText></w:instrText>
      </w:r>
      <w:r w:rsidRPr="005459E6">
        <w:rPr>
          <w:rFonts w:ascii="Times New Roman" w:hAnsi="Times New Roman" w:cs="Times New Roman"/>
        </w:rPr>
        <w:instrText>D) logic and service science as a value</w:instrText>
      </w:r>
      <w:r w:rsidRPr="005459E6">
        <w:rPr>
          <w:rFonts w:ascii="Times New Roman" w:hAnsi="Times New Roman" w:cs="Times New Roman" w:hint="eastAsia"/>
        </w:rPr>
        <w:instrText></w:instrText>
      </w:r>
      <w:r w:rsidRPr="005459E6">
        <w:rPr>
          <w:rFonts w:ascii="Times New Roman" w:hAnsi="Times New Roman" w:cs="Times New Roman"/>
        </w:rPr>
        <w:instrText>creating process occurring through a many</w:instrText>
      </w:r>
      <w:r w:rsidRPr="005459E6">
        <w:rPr>
          <w:rFonts w:ascii="Times New Roman" w:hAnsi="Times New Roman" w:cs="Times New Roman" w:hint="eastAsia"/>
        </w:rPr>
        <w:instrText></w:instrText>
      </w:r>
      <w:r w:rsidRPr="005459E6">
        <w:rPr>
          <w:rFonts w:ascii="Times New Roman" w:hAnsi="Times New Roman" w:cs="Times New Roman"/>
        </w:rPr>
        <w:instrText>to</w:instrText>
      </w:r>
      <w:r w:rsidRPr="005459E6">
        <w:rPr>
          <w:rFonts w:ascii="Times New Roman" w:hAnsi="Times New Roman" w:cs="Times New Roman" w:hint="eastAsia"/>
        </w:rPr>
        <w:instrText></w:instrText>
      </w:r>
      <w:r w:rsidRPr="005459E6">
        <w:rPr>
          <w:rFonts w:ascii="Times New Roman" w:hAnsi="Times New Roman" w:cs="Times New Roman"/>
        </w:rPr>
        <w:instrText>many network resource integration. Design/methodology/approach – The paper utilises S</w:instrText>
      </w:r>
      <w:r w:rsidRPr="005459E6">
        <w:rPr>
          <w:rFonts w:ascii="Times New Roman" w:hAnsi="Times New Roman" w:cs="Times New Roman" w:hint="eastAsia"/>
        </w:rPr>
        <w:instrText></w:instrText>
      </w:r>
      <w:r w:rsidRPr="005459E6">
        <w:rPr>
          <w:rFonts w:ascii="Times New Roman" w:hAnsi="Times New Roman" w:cs="Times New Roman"/>
        </w:rPr>
        <w:instrText>D logic and network theory to present case study research of a highly innovative Italian firm. The study investigates three innovation projects and the processes of interaction and integration that take place among the members of the networks involved in each project. Findings – The traditional understanding of innovation, in which the supplier is the innovator and the customer is the recipient of (or perhaps the stimulus for) innovation, is replaced by an understanding of innovation based on S</w:instrText>
      </w:r>
      <w:r w:rsidRPr="005459E6">
        <w:rPr>
          <w:rFonts w:ascii="Times New Roman" w:hAnsi="Times New Roman" w:cs="Times New Roman" w:hint="eastAsia"/>
        </w:rPr>
        <w:instrText></w:instrText>
      </w:r>
      <w:r w:rsidRPr="005459E6">
        <w:rPr>
          <w:rFonts w:ascii="Times New Roman" w:hAnsi="Times New Roman" w:cs="Times New Roman"/>
        </w:rPr>
        <w:instrText>D logic in which customers and other stakeholders become real co</w:instrText>
      </w:r>
      <w:r w:rsidRPr="005459E6">
        <w:rPr>
          <w:rFonts w:ascii="Times New Roman" w:hAnsi="Times New Roman" w:cs="Times New Roman" w:hint="eastAsia"/>
        </w:rPr>
        <w:instrText></w:instrText>
      </w:r>
      <w:r w:rsidRPr="005459E6">
        <w:rPr>
          <w:rFonts w:ascii="Times New Roman" w:hAnsi="Times New Roman" w:cs="Times New Roman"/>
        </w:rPr>
        <w:instrText>innovators who exchange and integrate resources to co</w:instrText>
      </w:r>
      <w:r w:rsidRPr="005459E6">
        <w:rPr>
          <w:rFonts w:ascii="Times New Roman" w:hAnsi="Times New Roman" w:cs="Times New Roman" w:hint="eastAsia"/>
        </w:rPr>
        <w:instrText></w:instrText>
      </w:r>
      <w:r w:rsidRPr="005459E6">
        <w:rPr>
          <w:rFonts w:ascii="Times New Roman" w:hAnsi="Times New Roman" w:cs="Times New Roman"/>
        </w:rPr>
        <w:instrText>create value. Research limitations/implications – Future studies could examine the antecedents and implications of the interaction and integration processes of collaborative innovation. Practical implications – Innovation should be pursued as an open process in which all of the network's actors mobilise resources to become co</w:instrText>
      </w:r>
      <w:r w:rsidRPr="005459E6">
        <w:rPr>
          <w:rFonts w:ascii="Times New Roman" w:hAnsi="Times New Roman" w:cs="Times New Roman" w:hint="eastAsia"/>
        </w:rPr>
        <w:instrText></w:instrText>
      </w:r>
      <w:r w:rsidRPr="005459E6">
        <w:rPr>
          <w:rFonts w:ascii="Times New Roman" w:hAnsi="Times New Roman" w:cs="Times New Roman"/>
        </w:rPr>
        <w:instrText>innovators who co</w:instrText>
      </w:r>
      <w:r w:rsidRPr="005459E6">
        <w:rPr>
          <w:rFonts w:ascii="Times New Roman" w:hAnsi="Times New Roman" w:cs="Times New Roman" w:hint="eastAsia"/>
        </w:rPr>
        <w:instrText></w:instrText>
      </w:r>
      <w:r w:rsidRPr="005459E6">
        <w:rPr>
          <w:rFonts w:ascii="Times New Roman" w:hAnsi="Times New Roman" w:cs="Times New Roman"/>
        </w:rPr>
        <w:instrText>create value for themselves and other stakeholders. Originality/value – This paper offers a widened perspective of innovation by using S</w:instrText>
      </w:r>
      <w:r w:rsidRPr="005459E6">
        <w:rPr>
          <w:rFonts w:ascii="Times New Roman" w:hAnsi="Times New Roman" w:cs="Times New Roman" w:hint="eastAsia"/>
        </w:rPr>
        <w:instrText></w:instrText>
      </w:r>
      <w:r w:rsidRPr="005459E6">
        <w:rPr>
          <w:rFonts w:ascii="Times New Roman" w:hAnsi="Times New Roman" w:cs="Times New Roman"/>
        </w:rPr>
        <w:instrText>D logic to emphasise the role of the network and the many</w:instrText>
      </w:r>
      <w:r w:rsidRPr="005459E6">
        <w:rPr>
          <w:rFonts w:ascii="Times New Roman" w:hAnsi="Times New Roman" w:cs="Times New Roman" w:hint="eastAsia"/>
        </w:rPr>
        <w:instrText></w:instrText>
      </w:r>
      <w:r w:rsidRPr="005459E6">
        <w:rPr>
          <w:rFonts w:ascii="Times New Roman" w:hAnsi="Times New Roman" w:cs="Times New Roman"/>
        </w:rPr>
        <w:instrText>to</w:instrText>
      </w:r>
      <w:r w:rsidRPr="005459E6">
        <w:rPr>
          <w:rFonts w:ascii="Times New Roman" w:hAnsi="Times New Roman" w:cs="Times New Roman" w:hint="eastAsia"/>
        </w:rPr>
        <w:instrText></w:instrText>
      </w:r>
      <w:r w:rsidRPr="005459E6">
        <w:rPr>
          <w:rFonts w:ascii="Times New Roman" w:hAnsi="Times New Roman" w:cs="Times New Roman"/>
        </w:rPr>
        <w:instrText>many interaction between stakeholders in developing value</w:instrText>
      </w:r>
      <w:r w:rsidRPr="005459E6">
        <w:rPr>
          <w:rFonts w:ascii="Times New Roman" w:hAnsi="Times New Roman" w:cs="Times New Roman" w:hint="eastAsia"/>
        </w:rPr>
        <w:instrText></w:instrText>
      </w:r>
      <w:r w:rsidRPr="005459E6">
        <w:rPr>
          <w:rFonts w:ascii="Times New Roman" w:hAnsi="Times New Roman" w:cs="Times New Roman"/>
        </w:rPr>
        <w:instrText>creating innovation. © 2010, Emerald Group Publishing Limited","author":[{"dropping-particle":"","family":"Mele","given":"Cristina","non-dropping-particle":"","parse-names":false,"suffix":""},{"dropping-particle":"","family":"Spena","given":"Tiziana Russo","non-dropping-particle":"","parse-names":false,"suffix":""},{"dropping-particle":"","family":"Colurcio","given":"Maria","non-dropping-particle":"","parse-names":false,"suffix":""}],"container-title":"International Journal of Quality and Service Sciences","id":"ITEM-1","issue":"1","issued":{"date-parts":[["2010"]]},"page":"60-78","title":"Co-creating value innovation through resource integration","type":"article-journal","volume":"2"},"uris":["http://www.mendeley.com/documents/?uuid=2026b38d-81e3-4110-9ff6-1b69a8f0092c"]}],"mendeley":{"formattedCitation":"(Mele et al., 2010)","plainTextFormattedCitation":"(Mele et al., 2010)","previouslyFormattedCitation":"(Mele et al., 2010)"},"properties":{"noteIndex":0},"schema":"https://github.com/citation-style-language/schema/raw/master/csl-citation.json"}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(Mele et al., 2010)</w:t>
      </w:r>
      <w:r w:rsidRPr="005459E6">
        <w:rPr>
          <w:rFonts w:ascii="Times New Roman" w:hAnsi="Times New Roman" w:cs="Times New Roman"/>
        </w:rPr>
        <w:fldChar w:fldCharType="end"/>
      </w:r>
      <w:r w:rsidRPr="005459E6">
        <w:rPr>
          <w:rFonts w:ascii="Times New Roman" w:hAnsi="Times New Roman" w:cs="Times New Roman"/>
        </w:rPr>
        <w:t>. This demonstrates that SD-Logic can be used while executing Information Systems driven plans in organizations.</w:t>
      </w:r>
    </w:p>
    <w:p w14:paraId="14A6789A" w14:textId="77777777" w:rsidR="00E614A8" w:rsidRPr="005459E6" w:rsidRDefault="00E614A8" w:rsidP="00E614A8">
      <w:pPr>
        <w:spacing w:line="360" w:lineRule="auto"/>
        <w:jc w:val="both"/>
        <w:rPr>
          <w:rFonts w:ascii="Times New Roman" w:hAnsi="Times New Roman" w:cs="Times New Roman"/>
          <w:b/>
          <w:bCs/>
        </w:rPr>
      </w:pPr>
    </w:p>
    <w:p w14:paraId="516D67D0" w14:textId="77777777" w:rsidR="00E614A8" w:rsidRPr="005459E6" w:rsidRDefault="00E614A8" w:rsidP="00E614A8">
      <w:pPr>
        <w:spacing w:line="360" w:lineRule="auto"/>
        <w:jc w:val="both"/>
        <w:rPr>
          <w:rFonts w:ascii="Times New Roman" w:hAnsi="Times New Roman" w:cs="Times New Roman"/>
          <w:b/>
          <w:bCs/>
        </w:rPr>
      </w:pPr>
      <w:r w:rsidRPr="005459E6">
        <w:rPr>
          <w:rFonts w:ascii="Times New Roman" w:hAnsi="Times New Roman" w:cs="Times New Roman"/>
          <w:b/>
          <w:bCs/>
        </w:rPr>
        <w:t>ML model as supporting Utility for the healthcare ecosystem</w:t>
      </w:r>
    </w:p>
    <w:p w14:paraId="6D34756B" w14:textId="0A5D4F74" w:rsidR="00E614A8" w:rsidRPr="005459E6" w:rsidRDefault="00E614A8" w:rsidP="00E614A8">
      <w:pPr>
        <w:spacing w:line="360" w:lineRule="auto"/>
        <w:jc w:val="both"/>
        <w:rPr>
          <w:rFonts w:ascii="Times New Roman" w:hAnsi="Times New Roman" w:cs="Times New Roman"/>
        </w:rPr>
      </w:pPr>
      <w:r w:rsidRPr="005459E6">
        <w:rPr>
          <w:rFonts w:ascii="Times New Roman" w:hAnsi="Times New Roman" w:cs="Times New Roman"/>
        </w:rPr>
        <w:t xml:space="preserve">Given the value that the study provides for optimizing self-tracking, the application of IoMT becomes the next logical step for organizations. Practices centered on the miniaturization of IoMT devices can be accelerated to achieve Well-being. As stress has a direct impact on sleep quality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{"citationItems":[{"id":"ITEM-1","itemData":{"DOI":"10.3389/fpsyt.2019.00348","ISSN":"16640640","abstract":"Purpose: The aim of this study was to investigate the relationship between stressful life events and sleep quality and to probe the role of rumination and resilience in the relationship. Method: The Adolescent Self-Rating Life Events Checklist, Ruminative Responses Scale, Connor-Davidson Resilience Scale, and Pittsburgh Sleep Quality Index were used among 1,065 college students. Statistical Product and Service Solutions (SPSS) 20.0 and the SPSS macro Process, which were specifically developed for assessing complex models including both mediators and moderators, were used to analyze the data. Results: High scores of stressful life events predicted worse sleep quality. Rumination partially mediated the relations between stressful life events and sleep quality. Resilience moderated the direct and indirect paths leading from stressful life events to sleep quality. Conclusions: The results demonstrate that stressful life events can directly affect the sleep quality of college students and indirectly through rumination. Additionally, increasing psychological resilience could decrease both the direct effect and the indirect effect of stressful life events affecting sleep quality. The results of this study may contribute to a better understanding of the effects, as well as the paths and conditions, of stressful life events on sleep quality in college students. Moreover, these findings can provide constructive suggestions for improving college students' sleep quality.","author":[{"dropping-particle":"","family":"Li","given":"Yukun","non-dropping-particle":"","parse-names":false,"suffix":""},{"dropping-particle":"","family":"Gu","given":"Simeng","non-dropping-particle":"","parse-names":false,"suffix":""},{"dropping-particle":"","family":"Wang","given":"Zhutao","non-dropping-particle":"","parse-names":false,"suffix":""},{"dropping-particle":"","family":"Li","given":"Hongfan","non-dropping-particle":"","parse-names":false,"suffix":""},{"dropping-particle":"","family":"Xu","given":"Xiayue","non-dropping-particle":"","parse-names":false,"suffix":""},{"dropping-particle":"","family":"Zhu","given":"Huan","non-dropping-particle":"","parse-names":false,"suffix":""},{"dropping-particle":"","family":"Deng","given":"Shiji","non-dropping-particle":"","parse-names":false,"suffix":""},{"dropping-particle":"","family":"Ma","given":"Xianjun","non-dropping-particle":"","parse-names":false,"suffix":""},{"dropping-particle":"","family":"Feng","given":"Guangkui","non-dropping-particle":"","parse-names":false,"suffix":""},{"dropping-particle":"","family":"Wang","given":"Fushun","non-dropping-particle":"","parse-names":false,"suffix":""},{"dropping-particle":"","family":"Huang","given":"Jason H.","non-dropping-particle":"","parse-names":false,"suffix":""}],"container-title":"Frontiers in Psychiatry","id":"ITEM-1","issue":"MAY","issued":{"date-parts":[["2019"]]},"page":"1-9","title":"Relationship between stressful life events and sleep quality: Rumination as a mediator and resilience as a moderator","type":"article-journal","volume":"10"},"uris":["http://www.mendeley.com/documents/?uuid=b2de97b1-6f6c-439e-a952-2ae2a6a0c825"]}],"mendeley":{"formattedCitation":"(Y. Li et al., 2019)","plainTextFormattedCitation":"(Y. Li et al., 2019)","previouslyFormattedCitation":"(Y. Li et al., 2019)"},"properties":{"noteIndex":0},"schema":"https://github.com/citation-style-language/schema/raw/master/csl-citation.json"}</w:instrText>
      </w:r>
      <w:r w:rsidRPr="005459E6">
        <w:rPr>
          <w:rFonts w:ascii="Times New Roman" w:hAnsi="Times New Roman" w:cs="Times New Roman"/>
        </w:rPr>
        <w:fldChar w:fldCharType="separate"/>
      </w:r>
      <w:r w:rsidR="005D2728" w:rsidRPr="005D2728">
        <w:rPr>
          <w:rFonts w:ascii="Times New Roman" w:hAnsi="Times New Roman" w:cs="Times New Roman"/>
          <w:noProof/>
        </w:rPr>
        <w:t>(Y. Li et al., 2019)</w:t>
      </w:r>
      <w:r w:rsidRPr="005459E6">
        <w:rPr>
          <w:rFonts w:ascii="Times New Roman" w:hAnsi="Times New Roman" w:cs="Times New Roman"/>
        </w:rPr>
        <w:fldChar w:fldCharType="end"/>
      </w:r>
      <w:r w:rsidRPr="005459E6">
        <w:rPr>
          <w:rFonts w:ascii="Times New Roman" w:hAnsi="Times New Roman" w:cs="Times New Roman"/>
        </w:rPr>
        <w:t xml:space="preserve">, work-life balance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{"citationItems":[{"id":"ITEM-1","itemData":{"abstract":"Intention to quit is largely influenced by work stress, workload and work-life balance. These variables are factors that influence the i intention to quit and possible turnover in a company. The aim of this paper is to examine the impact of work stress, work load and work-life balance on intention to leave among 99 employees in an insurance company located in Klang Valley, Malaysia. This study employed census sampling method. The questionnaire was distributed online and analysed using SPSS Version 25 software. The findings show that workload and intention to leave have a positive relationship. However, work stress and work-life balance are not significant on the intention to leave. The recommendations will be discussed at the end of this paper.","author":[{"dropping-particle":"","family":"Omar","given":"Muhamad Khalil","non-dropping-particle":"","parse-names":false,"suffix":""},{"dropping-particle":"","family":"Aluwi","given":"Ainie Hairianie","non-dropping-particle":"","parse-names":false,"suffix":""},{"dropping-particle":"","family":"Fauzi","given":"Muna Wadhiha Mohd","non-dropping-particle":"","parse-names":false,"suffix":""},{"dropping-particle":"","family":"Hairpuddin","given":"Nurul Fatihah","non-dropping-particle":"","parse-names":false,"suffix":""}],"container-title":"International Journal of Business, Economics and Law","id":"ITEM-1","issue":"2","issued":{"date-parts":[["2020"]]},"page":"70-78","title":"Work stress, workload, work-life balance and intention to leave among employees of an insurance company in Malaysia","type":"article-journal","volume":"21"},"uris":["http://www.mendeley.com/documents/?uuid=984d9af7-51a8-4e8f-80b8-4b19752f8dd1"]},{"id":"ITEM-2","itemData":{"DOI":"10.4038/kalyani.v32i1-2.26","ISSN":"2012-6859","abstract":"This study was initiated with the primary objective of assessing the impact of work stress on work-life balance of custom officers serving for the Sri Lanka Customs Department. Further, to assess the moderating role of 'work-life support organizational culture' in the said context it was established as a secondary objective. The study is a basic research in which the researches attempted to answer a problem that is concerned with filling a contextual gap in the empirical knowledge. Deductive approach was predominantly applied, and the study is mainly explanatory. Hence, this was carried out as a cross-sectional, quantitative field-study among a sample of, randomly selected 200 custom officers. Primary data was collected through a standard questionnaire which has met the accepted standards of reliability and validity. It is found that work stress has a significant negative relationship (r =-0.695) with work-life balance of custom officers. The direct impact (r 2 = .476) of work stress on work life balance is also statistically significant (sig = 0.000) and which is further moderated (r 2 = .481) by the prevailing culture in the context. Moreover, the culture in Sri Lanka Customs is identified as a work-life support culture in which employees are empowered adequately to manage multiple roles in their lives, though the job is highly stressful. So that, it is recommended to encourage and maintain such a culture continuously in the Customs Department to help employees to manage multiple demands and expectations deriving from rest of life other than work. Further, it is suggested that the policies and initiatives put 47 forward to facilitate employees' work-life balance in the organization to be reviewed and appropriately modified frequently, aligning with the organizational culture to obtain the maximum outcomes from such policies and initiatives.","author":[{"dropping-particle":"","family":"Weerasinghe","given":"T.D.","non-dropping-particle":"","parse-names":false,"suffix":""},{"dropping-particle":"","family":"Dilhara","given":"M.G.D.","non-dropping-particle":"","parse-names":false,"suffix":""}],"container-title":"Kalyani: Journal of the University of Kelaniya","id":"ITEM-2","issue":"1-2","issued":{"date-parts":[["2018"]]},"page":"46","title":"Effect of Work Stress on Work Life Balance: Moderating Role of Work-Life Support Organizational Culture in Sri Lanka Customs Department","type":"article-journal","volume":"32"},"uris":["http://www.mendeley.com/documents/?uuid=e7bcb720-88af-4ca1-bddd-990cec5d4e22"]}],"mendeley":{"formattedCitation":"(Omar et al., 2020; Weerasinghe &amp; Dilhara, 2018)","plainTextFormattedCitation":"(Omar et al., 2020; Weerasinghe &amp; Dilhara, 2018)","previouslyFormattedCitation":"(Omar et al., 2020; Weerasinghe &amp; Dilhara,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(Omar et al., 2020; Weerasinghe &amp; Dilhara, 2018)</w:t>
      </w:r>
      <w:r w:rsidRPr="005459E6">
        <w:rPr>
          <w:rFonts w:ascii="Times New Roman" w:hAnsi="Times New Roman" w:cs="Times New Roman"/>
        </w:rPr>
        <w:fldChar w:fldCharType="end"/>
      </w:r>
      <w:r w:rsidRPr="005459E6">
        <w:rPr>
          <w:rFonts w:ascii="Times New Roman" w:hAnsi="Times New Roman" w:cs="Times New Roman"/>
        </w:rPr>
        <w:t xml:space="preserve"> and well-being </w:t>
      </w:r>
      <w:r w:rsidRPr="005459E6">
        <w:rPr>
          <w:rFonts w:ascii="Times New Roman" w:hAnsi="Times New Roman" w:cs="Times New Roman"/>
        </w:rPr>
        <w:fldChar w:fldCharType="begin" w:fldLock="1"/>
      </w:r>
      <w:r w:rsidR="00B75647">
        <w:rPr>
          <w:rFonts w:ascii="Times New Roman" w:hAnsi="Times New Roman" w:cs="Times New Roman"/>
        </w:rPr>
        <w:instrText>ADDIN CSL_CITATION {"citationItems":[{"id":"ITEM-1","itemData":{"DOI":"10.1016/j.ijchp.2017.09.002","ISSN":"16972600","abstract":"Background/Objective: Prolonged stress can overwhelm coping resources, leading people to seek mental health care. Acceptance and commitment therapy (ACT) is an intervention that enhances well-being and reduces distress, assumedly by means of increasing psychological flexibility (PF). We examined the association between a total increase in PF during an intervention and decreases in stress and increases in well-being during and after the intervention. Method: The intervention was a randomized controlled trial of an ACT-based self-help intervention. Participants were 91 individuals reporting elevated levels of work-related stress. Measurements were completed at preintervention, postintervention, and 3-month follow-up. Results: Structural equation models revealed that the total increase in PF during the intervention was negatively associated with a decrease in stress (b = -0.63, SE = 0.14, p &lt;.001) and positively associated with an increase in well-being during the intervention (b = 0.48, SE = 0.11, p &lt;.001), but not with a decrease in stress (b = 0.03, SE = 0.27, p &gt;.05) and well-being (b = -0.04, SE = 0.39, p &gt;.05) following the intervention. Conclusions: Our study provides empirical support for decreasing stress and promoting well-being through ACT and emphasizes the potential of PF in promoting well-being.","author":[{"dropping-particle":"","family":"Wersebe","given":"Hanna","non-dropping-particle":"","parse-names":false,"suffix":""},{"dropping-particle":"","family":"Lieb","given":"Roselind","non-dropping-particle":"","parse-names":false,"suffix":""},{"dropping-particle":"","family":"Meyer","given":"Andrea H.","non-dropping-particle":"","parse-names":false,"suffix":""},{"dropping-particle":"","family":"Hofer","given":"Patrizia","non-dropping-particle":"","parse-names":false,"suffix":""},{"dropping-particle":"","family":"Gloster","given":"Andrew T.","non-dropping-particle":"","parse-names":false,"suffix":""}],"container-title":"International Journal of Clinical and Health Psychology","id":"ITEM-1","issue":"1","issued":{"date-parts":[["2018"]]},"page":"60-68","publisher":"Asociación Española de Psicología Conductual","title":"The link between stress, well-being, and psychological flexibility during an Acceptance and Commitment Therapy self-help intervention","type":"article-journal","volume":"18"},"uris":["http://www.mendeley.com/documents/?uuid=a2a1c1b6-42a0-42fd-94a3-61c029005855"]},{"id":"ITEM-2","itemData":{"DOI":"10.17179/excli2017-480","ISBN":"9177948564","ISSN":"16112156","PMID":"28900385","abstract":"Any intrinsic or extrinsic stimulus that evokes a biological response is known as stress. The compensatory responses to these stresses are known as stress responses. Based on the type, timing and severity of the applied stimulus, stress can exert various actions on the body ranging from alterations in homeostasis to life-threatening effects and death. In many cases, the pathophysiological complications of disease arise from stress and the subjects exposed to stress, e.g. those that work or live in stressful environments, have a higher likelihood of many disorders. Stress can be either a triggering or aggravating factor for many diseases and pathological conditions. In this study, we have reviewed some of the major effects of stress on the primary physiological systems of humans.","author":[{"dropping-particle":"","family":"Yaribeygi","given":"Habib","non-dropping-particle":"","parse-names":false,"suffix":""},{"dropping-particle":"","family":"Panahi","given":"Yunes","non-dropping-particle":"","parse-names":false,"suffix":""},{"dropping-particle":"","family":"Sahraei","given":"Hedayat","non-dropping-particle":"","parse-names":false,"suffix":""},{"dropping-particle":"","family":"Johnston","given":"Thomas P.","non-dropping-particle":"","parse-names":false,"suffix":""},{"dropping-particle":"","family":"Sahebkar","given":"Amirhossein","non-dropping-particle":"","parse-names":false,"suffix":""}],"container-title":"EXCLI Journal","id":"ITEM-2","issued":{"date-parts":[["2017"]]},"page":"1057-1072","title":"The impact of stress on body function: A review","type":"article-journal","volume":"16"},"uris":["http://www.mendeley.com/documents/?uuid=8c9e2763-fa0c-4bd4-b969-6a5286f12dff"]}],"mendeley":{"formattedCitation":"(Wersebe et al., 2018a; Yaribeygi et al., 2017)","plainTextFormattedCitation":"(Wersebe et al., 2018a; Yaribeygi et al., 2017)","previouslyFormattedCitation":"(Wersebe et al., 2018a; Yaribeygi et al., 2017)"},"properties":{"noteIndex":0},"schema":"https://github.com/citation-style-language/schema/raw/master/csl-citation.json"}</w:instrText>
      </w:r>
      <w:r w:rsidRPr="005459E6">
        <w:rPr>
          <w:rFonts w:ascii="Times New Roman" w:hAnsi="Times New Roman" w:cs="Times New Roman"/>
        </w:rPr>
        <w:fldChar w:fldCharType="separate"/>
      </w:r>
      <w:r w:rsidR="005D2728" w:rsidRPr="005D2728">
        <w:rPr>
          <w:rFonts w:ascii="Times New Roman" w:hAnsi="Times New Roman" w:cs="Times New Roman"/>
          <w:noProof/>
        </w:rPr>
        <w:t>(Wersebe et al., 2018a; Yaribeygi et al., 2017)</w:t>
      </w:r>
      <w:r w:rsidRPr="005459E6">
        <w:rPr>
          <w:rFonts w:ascii="Times New Roman" w:hAnsi="Times New Roman" w:cs="Times New Roman"/>
        </w:rPr>
        <w:fldChar w:fldCharType="end"/>
      </w:r>
      <w:r w:rsidRPr="005459E6">
        <w:rPr>
          <w:rFonts w:ascii="Times New Roman" w:hAnsi="Times New Roman" w:cs="Times New Roman"/>
        </w:rPr>
        <w:t xml:space="preserve">. </w:t>
      </w:r>
    </w:p>
    <w:p w14:paraId="1089886E" w14:textId="77777777" w:rsidR="00E614A8" w:rsidRPr="005459E6" w:rsidRDefault="00E614A8" w:rsidP="00E614A8">
      <w:pPr>
        <w:spacing w:line="360" w:lineRule="auto"/>
        <w:jc w:val="both"/>
        <w:rPr>
          <w:rFonts w:ascii="Times New Roman" w:hAnsi="Times New Roman" w:cs="Times New Roman"/>
        </w:rPr>
      </w:pPr>
      <w:r w:rsidRPr="005459E6">
        <w:rPr>
          <w:rFonts w:ascii="Times New Roman" w:hAnsi="Times New Roman" w:cs="Times New Roman"/>
        </w:rPr>
        <w:t>BCI imaging devices can be used to manage stress levels, thereby improving Psychosomatic Health. This demonstrates that the research presented can serve as a resource for health professionals and, in some cases, facilitate online treatments with the advent of portable IoMT devices.</w:t>
      </w:r>
    </w:p>
    <w:p w14:paraId="19E5B17B" w14:textId="01FFF4B4" w:rsidR="003162FA" w:rsidRPr="005459E6" w:rsidRDefault="003162FA" w:rsidP="00E614A8">
      <w:pPr>
        <w:spacing w:line="360" w:lineRule="auto"/>
        <w:jc w:val="both"/>
        <w:rPr>
          <w:rFonts w:ascii="Times New Roman" w:hAnsi="Times New Roman" w:cs="Times New Roman"/>
          <w:b/>
          <w:bCs/>
        </w:rPr>
      </w:pPr>
    </w:p>
    <w:p w14:paraId="1BD68471" w14:textId="77777777" w:rsidR="003162FA" w:rsidRPr="005459E6" w:rsidRDefault="003162FA" w:rsidP="003162FA">
      <w:pPr>
        <w:spacing w:line="360" w:lineRule="auto"/>
        <w:ind w:left="720"/>
        <w:jc w:val="both"/>
        <w:rPr>
          <w:rFonts w:ascii="Times New Roman" w:hAnsi="Times New Roman" w:cs="Times New Roman"/>
        </w:rPr>
      </w:pPr>
    </w:p>
    <w:p w14:paraId="14DB58B5" w14:textId="77777777" w:rsidR="0094327E" w:rsidRPr="005459E6" w:rsidRDefault="0094327E" w:rsidP="00087F8F">
      <w:pPr>
        <w:spacing w:line="360" w:lineRule="auto"/>
        <w:jc w:val="both"/>
        <w:rPr>
          <w:rFonts w:ascii="Times New Roman" w:hAnsi="Times New Roman" w:cs="Times New Roman"/>
        </w:rPr>
      </w:pPr>
    </w:p>
    <w:p w14:paraId="77B92538" w14:textId="77777777" w:rsidR="0028786A" w:rsidRPr="005459E6" w:rsidRDefault="0028786A" w:rsidP="00042CB0">
      <w:pPr>
        <w:pStyle w:val="Titolo1"/>
        <w:spacing w:line="360" w:lineRule="auto"/>
        <w:jc w:val="both"/>
        <w:rPr>
          <w:rFonts w:ascii="Times New Roman" w:hAnsi="Times New Roman" w:cs="Times New Roman"/>
          <w:b/>
          <w:bCs/>
          <w:color w:val="auto"/>
          <w:sz w:val="22"/>
          <w:szCs w:val="22"/>
        </w:rPr>
      </w:pPr>
      <w:bookmarkStart w:id="501" w:name="_Toc107248344"/>
      <w:r w:rsidRPr="005459E6">
        <w:rPr>
          <w:rFonts w:ascii="Times New Roman" w:hAnsi="Times New Roman" w:cs="Times New Roman"/>
          <w:b/>
          <w:bCs/>
          <w:color w:val="auto"/>
          <w:sz w:val="22"/>
          <w:szCs w:val="22"/>
        </w:rPr>
        <w:t>LIMITATIONS</w:t>
      </w:r>
      <w:bookmarkEnd w:id="497"/>
      <w:bookmarkEnd w:id="498"/>
      <w:bookmarkEnd w:id="499"/>
      <w:bookmarkEnd w:id="500"/>
      <w:bookmarkEnd w:id="501"/>
    </w:p>
    <w:p w14:paraId="2F49B0E8" w14:textId="77777777" w:rsidR="0025324A" w:rsidRPr="005459E6" w:rsidRDefault="0025324A" w:rsidP="0025324A">
      <w:pPr>
        <w:spacing w:line="360" w:lineRule="auto"/>
        <w:jc w:val="both"/>
        <w:rPr>
          <w:rFonts w:ascii="Times New Roman" w:hAnsi="Times New Roman" w:cs="Times New Roman"/>
        </w:rPr>
      </w:pPr>
      <w:r w:rsidRPr="005459E6">
        <w:rPr>
          <w:rFonts w:ascii="Times New Roman" w:hAnsi="Times New Roman" w:cs="Times New Roman"/>
        </w:rPr>
        <w:t>Being a data-driven study, the accuracy was contingent on the quality of the data provided. The results given in this study are dependent on the dataset obtained, as data curation and preparation are essential for constructing a trustworthy model.</w:t>
      </w:r>
    </w:p>
    <w:p w14:paraId="218AD8D1" w14:textId="1A02B5C0" w:rsidR="00BC5C69" w:rsidRPr="005459E6" w:rsidRDefault="00BC5C69" w:rsidP="00BC5C69">
      <w:pPr>
        <w:spacing w:line="360" w:lineRule="auto"/>
        <w:jc w:val="both"/>
        <w:rPr>
          <w:rFonts w:ascii="Times New Roman" w:hAnsi="Times New Roman" w:cs="Times New Roman"/>
        </w:rPr>
      </w:pPr>
      <w:r w:rsidRPr="005459E6">
        <w:rPr>
          <w:rFonts w:ascii="Times New Roman" w:hAnsi="Times New Roman" w:cs="Times New Roman"/>
        </w:rPr>
        <w:t>Another limitation of this study pertains to the data collected using a Brain Computer Interface (BCI</w:t>
      </w:r>
      <w:r w:rsidR="00406A14" w:rsidRPr="005459E6">
        <w:rPr>
          <w:rFonts w:ascii="Times New Roman" w:hAnsi="Times New Roman" w:cs="Times New Roman"/>
        </w:rPr>
        <w:t>).</w:t>
      </w:r>
      <w:r w:rsidRPr="005459E6">
        <w:rPr>
          <w:rFonts w:ascii="Times New Roman" w:hAnsi="Times New Roman" w:cs="Times New Roman"/>
        </w:rPr>
        <w:t xml:space="preserve"> Human subjects tend to move, shift or shuffle during the experiment, this can result in a poor connection with the BCI electrodes and feed the ML model raw garbage data. Hence, it becomes necessary to establish a baseline at the start of the experiment and monitor contact quality during data collection.</w:t>
      </w:r>
    </w:p>
    <w:p w14:paraId="391489DA" w14:textId="0E19EE08" w:rsidR="0025324A" w:rsidRPr="005459E6" w:rsidRDefault="0025324A" w:rsidP="0025324A">
      <w:pPr>
        <w:spacing w:line="360" w:lineRule="auto"/>
        <w:jc w:val="both"/>
        <w:rPr>
          <w:rFonts w:ascii="Times New Roman" w:hAnsi="Times New Roman" w:cs="Times New Roman"/>
        </w:rPr>
      </w:pPr>
      <w:r w:rsidRPr="005459E6">
        <w:rPr>
          <w:rFonts w:ascii="Times New Roman" w:hAnsi="Times New Roman" w:cs="Times New Roman"/>
        </w:rPr>
        <w:t xml:space="preserve">While a lot of work has gone into accurate data modelling, overfitting data in Machine Learning may result in less clarity in the results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BN":"3030143228","author":[{"dropping-particle":"","family":"Nijholt","given":"Anton","non-dropping-particle":"","parse-names":false,"suffix":""}],"id":"ITEM-1","issued":{"date-parts":[["2019"]]},"publisher":"Springer","title":"Brain Art: Brain-computer Interfaces for Artistic Expression","type":"book"},"uris":["http://www.mendeley.com/documents/?uuid=37e0fddd-0df4-4c6c-b19d-e39895391e9d"]}],"mendeley":{"formattedCitation":"(Nijholt, 2019)","plainTextFormattedCitation":"(Nijholt, 2019)","previouslyFormattedCitation":"(Nijholt,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(Nijholt, 2019)</w:t>
      </w:r>
      <w:r w:rsidRPr="005459E6">
        <w:rPr>
          <w:rFonts w:ascii="Times New Roman" w:hAnsi="Times New Roman" w:cs="Times New Roman"/>
        </w:rPr>
        <w:fldChar w:fldCharType="end"/>
      </w:r>
      <w:r w:rsidRPr="005459E6">
        <w:rPr>
          <w:rFonts w:ascii="Times New Roman" w:hAnsi="Times New Roman" w:cs="Times New Roman"/>
        </w:rPr>
        <w:t xml:space="preserve">. Due to this, identifying relationships in the dataset that are not inherent to the predictions given may be difficult. Furthermore, because it draws data from a growing number of sources, it creates an enormously complicated collection of features that must be taken into account throughout the Machine Learning modelling process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{"citationItems":[{"id":"ITEM-1","itemData":{"DOI":"10.1007/978-3-319-69775-8_9","ISBN":"9783319697741","ISSN":"16113349","abstract":"From medical charts to national census, healthcare has traditionally operated under a paper-based paradigm. However, the past decade has marked a long and arduous transformation bringing healthcare into the digital age. Ranging from electronic health records, to digitized imaging and laboratory reports, to public health datasets, today, healthcare now generates an incredible amount of digital information. Such a wealth of data presents an exciting opportunity for integrated machine learning solutions to address problems across multiple facets of healthcare practice and administration. Unfortunately, the ability to derive accurate and informative insights requires more than the ability to execute machine learning models. Rather, a deeper understanding of the data on which the models are run is imperative for their success. While a significant effort has been undertaken to develop models able to process the volume of data obtained during the analysis of millions of digitalized patient records, it is important to remember that volume represents only one aspect of the data. In fact, drawing on data from an increasingly diverse set of sources, healthcare data presents an incredibly complex set of attributes that must be accounted for throughout the machine learning pipeline. This chapter focuses on highlighting such challenges, and is broken down into three distinct components, each representing a phase of the pipeline. We begin with attributes of the data accounted for during preprocessing, then move to considerations during model building, and end with challenges to the interpretation of model output. For each component, we present a discussion around data as it relates to the healthcare domain and offer insight into the challenges each may impose on the efficiency of machine learning techniques.","author":[{"dropping-particle":"","family":"Feldman","given":"Keith","non-dropping-particle":"","parse-names":false,"suffix":""},{"dropping-particle":"","family":"Faust","given":"Louis","non-dropping-particle":"","parse-names":false,"suffix":""},{"dropping-particle":"","family":"Wu","given":"Xian","non-dropping-particle":"","parse-names":false,"suffix":""},{"dropping-particle":"","family":"Huang","given":"Chao","non-dropping-particle":"","parse-names":false,"suffix":""},{"dropping-particle":"V.","family":"Chawla","given":"Nitesh","non-dropping-particle":"","parse-names":false,"suffix":""}],"container-title":"Lecture Notes in Computer Science (including subseries Lecture Notes in Artificial Intelligence and Lecture Notes in Bioinformatics)","id":"ITEM-1","issued":{"date-parts":[["2017"]]},"page":"150-169","title":"Beyond volume: The impact of complex healthcare data on the machine learning pipeline","type":"article-journal","volume":"10344 LNAI"},"uris":["http://www.mendeley.com/documents/?uuid=3c76adea-7edf-435f-a531-42a73b2d3749"]}],"mendeley":{"formattedCitation":"(Feldman et al., 2017)","plainTextFormattedCitation":"(Feldman et al., 2017)","previouslyFormattedCitation":"(Feldman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(Feldman et al., 2017)</w:t>
      </w:r>
      <w:r w:rsidRPr="005459E6">
        <w:rPr>
          <w:rFonts w:ascii="Times New Roman" w:hAnsi="Times New Roman" w:cs="Times New Roman"/>
        </w:rPr>
        <w:fldChar w:fldCharType="end"/>
      </w:r>
      <w:r w:rsidRPr="005459E6">
        <w:rPr>
          <w:rFonts w:ascii="Times New Roman" w:hAnsi="Times New Roman" w:cs="Times New Roman"/>
        </w:rPr>
        <w:t>.</w:t>
      </w:r>
    </w:p>
    <w:p w14:paraId="6A587272" w14:textId="3C07A2EC" w:rsidR="0025324A" w:rsidRPr="005459E6" w:rsidRDefault="0025324A" w:rsidP="0025324A">
      <w:pPr>
        <w:spacing w:line="360" w:lineRule="auto"/>
        <w:jc w:val="both"/>
        <w:rPr>
          <w:rFonts w:ascii="Times New Roman" w:hAnsi="Times New Roman" w:cs="Times New Roman"/>
        </w:rPr>
      </w:pPr>
      <w:r w:rsidRPr="005459E6">
        <w:rPr>
          <w:rFonts w:ascii="Times New Roman" w:hAnsi="Times New Roman" w:cs="Times New Roman"/>
        </w:rPr>
        <w:t xml:space="preserve">Further, as observed by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10.1001/jama.2017.7797","ISSN":"15383598","PMID":"28727867","author":[{"dropping-particle":"","family":"Cabitza","given":"Federico","non-dropping-particle":"","parse-names":false,"suffix":""},{"dropping-particle":"","family":"Rasoini","given":"Raffaele","non-dropping-particle":"","parse-names":false,"suffix":""},{"dropping-particle":"","family":"Gensini","given":"Gian Franco","non-dropping-particle":"","parse-names":false,"suffix":""}],"container-title":"JAMA - Journal of the American Medical Association","id":"ITEM-1","issue":"6","issued":{"date-parts":[["2017"]]},"page":"517-518","title":"Unintended consequences of machine learning in medicine","type":"article-journal","volume":"318"},"uris":["http://www.mendeley.com/documents/?uuid=5ed79cf6-fbd2-49e6-9cf7-1c34d56f2048"]}],"mendeley":{"formattedCitation":"(Cabitza et al., 2017)","manualFormatting":"Cabitza et al. (2017)","plainTextFormattedCitation":"(Cabitza et al., 2017)","previouslyFormattedCitation":"(Cabitza et al., 2017)"},"properties":{"noteIndex":0},"schema":"https://github.com/citation-style-language/schema/raw/master/csl-citation.json"}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Cabitza et al. (2017)</w:t>
      </w:r>
      <w:r w:rsidRPr="005459E6">
        <w:rPr>
          <w:rFonts w:ascii="Times New Roman" w:hAnsi="Times New Roman" w:cs="Times New Roman"/>
        </w:rPr>
        <w:fldChar w:fldCharType="end"/>
      </w:r>
      <w:r w:rsidRPr="005459E6">
        <w:rPr>
          <w:rFonts w:ascii="Times New Roman" w:hAnsi="Times New Roman" w:cs="Times New Roman"/>
        </w:rPr>
        <w:t xml:space="preserve"> distinguish, following the data-driven analytical modelling in Healthcare might have reduced the diagnostic sensitivity and information that cannot be fitted within ML models might stay out of focus. At the time, such Modelling may appear complex and multidimensional, with the danger of becoming untraceable and losing out on Observer variability. </w:t>
      </w:r>
      <w:r w:rsidR="000B1CA4" w:rsidRPr="005459E6">
        <w:rPr>
          <w:rFonts w:ascii="Times New Roman" w:hAnsi="Times New Roman" w:cs="Times New Roman"/>
        </w:rPr>
        <w:t xml:space="preserve"> </w:t>
      </w:r>
      <w:r w:rsidRPr="005459E6">
        <w:rPr>
          <w:rFonts w:ascii="Times New Roman" w:hAnsi="Times New Roman" w:cs="Times New Roman"/>
        </w:rPr>
        <w:t xml:space="preserve">The data modelling for this specific study utilized features from the available dataset; hence its accuracy depends on certain boundaries of 5-Channel Brain-Computer Interaction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{"citationItems":[{"id":"ITEM-1","itemData":{"DOI":"10.3389/fnbot.2020.00025","ISSN":"16625218","abstract":"Brain-Computer Interface (BCI), in essence, aims at controlling different assistive devices through the utilization of brain waves. It is worth noting that the application of BCI is not limited to medical applications, and hence, the research in this field has gained due attention. Moreover, the significant number of related publications over the past two decades further indicates the consistent improvements and breakthroughs that have been made in this particular field. Nonetheless, it is also worth mentioning that with these improvements, new challenges are constantly discovered. This article provides a comprehensive review of the state-of-the-art of a complete BCI system. First, a brief overview of electroencephalogram (EEG)-based BCI systems is given. Secondly, a considerable number of popular BCI applications are reviewed in terms of electrophysiological control signals, feature extraction, classification algorithms, and performance evaluation metrics. Finally, the challenges to the recent BCI systems are discussed, and possible solutions to mitigate the issues are recommended.","author":[{"dropping-particle":"","family":"Rashid","given":"Mamunur","non-dropping-particle":"","parse-names":false,"suffix":""},{"dropping-particle":"","family":"Sulaiman","given":"Norizam","non-dropping-particle":"","parse-names":false,"suffix":""},{"dropping-particle":"","family":"P. P. Abdul Majeed","given":"Anwar","non-dropping-particle":"","parse-names":false,"suffix":""},{"dropping-particle":"","family":"Musa","given":"Rabiu Muazu","non-dropping-particle":"","parse-names":false,"suffix":""},{"dropping-particle":"","family":"Ahmad","given":"Ahmad Fakhri","non-dropping-particle":"","parse-names":false,"suffix":""},{"dropping-particle":"","family":"Bari","given":"Bifta Sama","non-dropping-particle":"","parse-names":false,"suffix":""},{"dropping-particle":"","family":"Khatun","given":"Sabira","non-dropping-particle":"","parse-names":false,"suffix":""}],"container-title":"Frontiers in Neurorobotics","id":"ITEM-1","issue":"June","issued":{"date-parts":[["2020"]]},"page":"1-35","title":"Current Status, Challenges, and Possible Solutions of EEG-Based Brain-Computer Interface: A Comprehensive Review","type":"article-journal","volume":"14"},"uris":["http://www.mendeley.com/documents/?uuid=fbefc35e-0db3-4a15-a2d4-9c4ba9ea89dc"]}],"mendeley":{"formattedCitation":"(Rashid et al., 2020)","plainTextFormattedCitation":"(Rashid et al., 2020)","previouslyFormattedCitation":"(Rashid et al., 2020)"},"properties":{"noteIndex":0},"schema":"https://github.com/citation-style-language/schema/raw/master/csl-citation.json"}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(Rashid et al., 2020)</w:t>
      </w:r>
      <w:r w:rsidRPr="005459E6">
        <w:rPr>
          <w:rFonts w:ascii="Times New Roman" w:hAnsi="Times New Roman" w:cs="Times New Roman"/>
        </w:rPr>
        <w:fldChar w:fldCharType="end"/>
      </w:r>
      <w:r w:rsidRPr="005459E6">
        <w:rPr>
          <w:rFonts w:ascii="Times New Roman" w:hAnsi="Times New Roman" w:cs="Times New Roman"/>
        </w:rPr>
        <w:t>. The same can be enhanced by capturing neural data from 14-Channel or 32-Channel EEG devices.</w:t>
      </w:r>
    </w:p>
    <w:p w14:paraId="5E2B5EA5" w14:textId="77777777" w:rsidR="0025324A" w:rsidRPr="005459E6" w:rsidRDefault="0025324A" w:rsidP="0025324A">
      <w:pPr>
        <w:spacing w:line="360" w:lineRule="auto"/>
        <w:jc w:val="both"/>
        <w:rPr>
          <w:rFonts w:ascii="Times New Roman" w:hAnsi="Times New Roman" w:cs="Times New Roman"/>
        </w:rPr>
      </w:pPr>
      <w:r w:rsidRPr="005459E6">
        <w:rPr>
          <w:rFonts w:ascii="Times New Roman" w:hAnsi="Times New Roman" w:cs="Times New Roman"/>
        </w:rPr>
        <w:t>In this study, the measurement of Energy was self-reported. Further data collection was carried out during the daytime; the data on Ramp-up and Wind-down states of a person was limited. While this kind of data was Self-reported in this study, some of the measurements (such as Sleep and Energy) can be automated in future studies.</w:t>
      </w:r>
    </w:p>
    <w:p w14:paraId="40DADAF9" w14:textId="0B514A73" w:rsidR="0025324A" w:rsidRPr="005459E6" w:rsidRDefault="0025324A" w:rsidP="0025324A">
      <w:pPr>
        <w:spacing w:line="360" w:lineRule="auto"/>
        <w:jc w:val="both"/>
        <w:rPr>
          <w:rFonts w:ascii="Times New Roman" w:hAnsi="Times New Roman" w:cs="Times New Roman"/>
        </w:rPr>
      </w:pPr>
      <w:r w:rsidRPr="005459E6">
        <w:rPr>
          <w:rFonts w:ascii="Times New Roman" w:hAnsi="Times New Roman" w:cs="Times New Roman"/>
        </w:rPr>
        <w:t xml:space="preserve">The constructs of </w:t>
      </w:r>
      <w:r w:rsidR="00087F8F" w:rsidRPr="005459E6">
        <w:rPr>
          <w:rFonts w:ascii="Times New Roman" w:hAnsi="Times New Roman" w:cs="Times New Roman"/>
        </w:rPr>
        <w:t>well-</w:t>
      </w:r>
      <w:r w:rsidRPr="005459E6">
        <w:rPr>
          <w:rFonts w:ascii="Times New Roman" w:hAnsi="Times New Roman" w:cs="Times New Roman"/>
        </w:rPr>
        <w:t xml:space="preserve">being only </w:t>
      </w:r>
      <w:r w:rsidR="00920FA8" w:rsidRPr="005459E6">
        <w:rPr>
          <w:rFonts w:ascii="Times New Roman" w:hAnsi="Times New Roman" w:cs="Times New Roman"/>
        </w:rPr>
        <w:t>focused</w:t>
      </w:r>
      <w:r w:rsidRPr="005459E6">
        <w:rPr>
          <w:rFonts w:ascii="Times New Roman" w:hAnsi="Times New Roman" w:cs="Times New Roman"/>
        </w:rPr>
        <w:t xml:space="preserve"> on the </w:t>
      </w:r>
      <w:r w:rsidR="00F42435" w:rsidRPr="005459E6">
        <w:rPr>
          <w:rFonts w:ascii="Times New Roman" w:hAnsi="Times New Roman" w:cs="Times New Roman"/>
        </w:rPr>
        <w:t>‘</w:t>
      </w:r>
      <w:r w:rsidR="00703638" w:rsidRPr="005459E6">
        <w:rPr>
          <w:rFonts w:ascii="Times New Roman" w:hAnsi="Times New Roman" w:cs="Times New Roman"/>
        </w:rPr>
        <w:t>p</w:t>
      </w:r>
      <w:r w:rsidRPr="005459E6">
        <w:rPr>
          <w:rFonts w:ascii="Times New Roman" w:hAnsi="Times New Roman" w:cs="Times New Roman"/>
        </w:rPr>
        <w:t>ositive affect</w:t>
      </w:r>
      <w:r w:rsidR="00F42435" w:rsidRPr="005459E6">
        <w:rPr>
          <w:rFonts w:ascii="Times New Roman" w:hAnsi="Times New Roman" w:cs="Times New Roman"/>
        </w:rPr>
        <w:t>’</w:t>
      </w:r>
      <w:r w:rsidRPr="005459E6">
        <w:rPr>
          <w:rFonts w:ascii="Times New Roman" w:hAnsi="Times New Roman" w:cs="Times New Roman"/>
        </w:rPr>
        <w:t xml:space="preserve"> </w:t>
      </w:r>
      <w:r w:rsidR="00087F8F" w:rsidRPr="005459E6">
        <w:rPr>
          <w:rFonts w:ascii="Times New Roman" w:hAnsi="Times New Roman" w:cs="Times New Roman"/>
        </w:rPr>
        <w:t>of</w:t>
      </w:r>
      <w:r w:rsidRPr="005459E6">
        <w:rPr>
          <w:rFonts w:ascii="Times New Roman" w:hAnsi="Times New Roman" w:cs="Times New Roman"/>
        </w:rPr>
        <w:t xml:space="preserve"> Hedonic </w:t>
      </w:r>
      <w:r w:rsidR="00703638" w:rsidRPr="005459E6">
        <w:rPr>
          <w:rFonts w:ascii="Times New Roman" w:hAnsi="Times New Roman" w:cs="Times New Roman"/>
        </w:rPr>
        <w:t>w</w:t>
      </w:r>
      <w:r w:rsidRPr="005459E6">
        <w:rPr>
          <w:rFonts w:ascii="Times New Roman" w:hAnsi="Times New Roman" w:cs="Times New Roman"/>
        </w:rPr>
        <w:t>ell-being. While as per the neuroscience of positive emotions and well-being construct appear solid; however, it did not include other dimensions (such as happiness, hope and self-acceptance) in the given study.</w:t>
      </w:r>
    </w:p>
    <w:p w14:paraId="270F660A" w14:textId="77777777" w:rsidR="0025324A" w:rsidRPr="005459E6" w:rsidRDefault="0025324A" w:rsidP="0025324A">
      <w:pPr>
        <w:spacing w:line="360" w:lineRule="auto"/>
        <w:jc w:val="both"/>
        <w:rPr>
          <w:rFonts w:ascii="Times New Roman" w:hAnsi="Times New Roman" w:cs="Times New Roman"/>
        </w:rPr>
      </w:pPr>
    </w:p>
    <w:p w14:paraId="510B2894" w14:textId="77777777" w:rsidR="0028786A" w:rsidRPr="005459E6" w:rsidRDefault="0028786A" w:rsidP="00042CB0">
      <w:pPr>
        <w:spacing w:line="360" w:lineRule="auto"/>
        <w:jc w:val="both"/>
        <w:rPr>
          <w:rFonts w:ascii="Times New Roman" w:hAnsi="Times New Roman" w:cs="Times New Roman"/>
          <w:b/>
          <w:bCs/>
        </w:rPr>
      </w:pPr>
    </w:p>
    <w:p w14:paraId="34209932" w14:textId="4A9DAB20" w:rsidR="0028786A" w:rsidRPr="005459E6" w:rsidRDefault="0028786A" w:rsidP="00042CB0">
      <w:pPr>
        <w:pStyle w:val="Titolo1"/>
        <w:spacing w:line="360" w:lineRule="auto"/>
        <w:jc w:val="both"/>
        <w:rPr>
          <w:rFonts w:ascii="Times New Roman" w:hAnsi="Times New Roman" w:cs="Times New Roman"/>
          <w:b/>
          <w:bCs/>
          <w:color w:val="auto"/>
          <w:sz w:val="22"/>
          <w:szCs w:val="22"/>
        </w:rPr>
      </w:pPr>
      <w:bookmarkStart w:id="502" w:name="_Toc87349561"/>
      <w:bookmarkStart w:id="503" w:name="_Toc87349674"/>
      <w:bookmarkStart w:id="504" w:name="_Toc87349781"/>
      <w:bookmarkStart w:id="505" w:name="_Toc88376773"/>
      <w:bookmarkStart w:id="506" w:name="_Toc107248345"/>
      <w:r w:rsidRPr="005459E6">
        <w:rPr>
          <w:rFonts w:ascii="Times New Roman" w:hAnsi="Times New Roman" w:cs="Times New Roman"/>
          <w:b/>
          <w:bCs/>
          <w:color w:val="auto"/>
          <w:sz w:val="22"/>
          <w:szCs w:val="22"/>
        </w:rPr>
        <w:t>FUTURE SCOPE &amp; RECOMME</w:t>
      </w:r>
      <w:r w:rsidR="004970FE" w:rsidRPr="005459E6">
        <w:rPr>
          <w:rFonts w:ascii="Times New Roman" w:hAnsi="Times New Roman" w:cs="Times New Roman"/>
          <w:b/>
          <w:bCs/>
          <w:color w:val="auto"/>
          <w:sz w:val="22"/>
          <w:szCs w:val="22"/>
        </w:rPr>
        <w:t>N</w:t>
      </w:r>
      <w:r w:rsidRPr="005459E6">
        <w:rPr>
          <w:rFonts w:ascii="Times New Roman" w:hAnsi="Times New Roman" w:cs="Times New Roman"/>
          <w:b/>
          <w:bCs/>
          <w:color w:val="auto"/>
          <w:sz w:val="22"/>
          <w:szCs w:val="22"/>
        </w:rPr>
        <w:t>DATIONS</w:t>
      </w:r>
      <w:bookmarkEnd w:id="502"/>
      <w:bookmarkEnd w:id="503"/>
      <w:bookmarkEnd w:id="504"/>
      <w:bookmarkEnd w:id="505"/>
      <w:bookmarkEnd w:id="506"/>
    </w:p>
    <w:p w14:paraId="151CE60F" w14:textId="77777777"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 xml:space="preserve">In the future, as a Data-driven study is based on Decision Tree algorithms, it can be made robust using Ensemble modelling, Neural networks, and AutoML Classifiers. </w:t>
      </w:r>
    </w:p>
    <w:p w14:paraId="10B29323" w14:textId="2AF6A051"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 xml:space="preserve">When the proposed model is enhanced using silos of curated data, it is not only possible to diagnose the State of Health but also </w:t>
      </w:r>
      <w:r w:rsidR="00087F8F" w:rsidRPr="005459E6">
        <w:rPr>
          <w:rFonts w:ascii="Times New Roman" w:hAnsi="Times New Roman" w:cs="Times New Roman"/>
        </w:rPr>
        <w:t xml:space="preserve">to </w:t>
      </w:r>
      <w:r w:rsidRPr="005459E6">
        <w:rPr>
          <w:rFonts w:ascii="Times New Roman" w:hAnsi="Times New Roman" w:cs="Times New Roman"/>
        </w:rPr>
        <w:t>provide the prognosis of Psychosomatic Health a</w:t>
      </w:r>
      <w:r w:rsidR="00087F8F" w:rsidRPr="005459E6">
        <w:rPr>
          <w:rFonts w:ascii="Times New Roman" w:hAnsi="Times New Roman" w:cs="Times New Roman"/>
        </w:rPr>
        <w:t>t</w:t>
      </w:r>
      <w:r w:rsidRPr="005459E6">
        <w:rPr>
          <w:rFonts w:ascii="Times New Roman" w:hAnsi="Times New Roman" w:cs="Times New Roman"/>
        </w:rPr>
        <w:t xml:space="preserve"> the population level.  When the applicability of the proposed model is established for the masses, it can learn by itself and complement healthcare professionals or therapists, offering greater accuracy. </w:t>
      </w:r>
    </w:p>
    <w:p w14:paraId="2DC35658" w14:textId="77777777"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As research is based on a technological foundation defined by electroencephalograph (EEG), it can further be scaled for other healthcare applications and incorporated in ‘Digital Twins.’ From a service point of view, the research does not only develop an Artificial Intelligence (A.I.) based treatment protocol but also can be extended to the healthcare ecosystem for greater value.</w:t>
      </w:r>
    </w:p>
    <w:p w14:paraId="39D44363" w14:textId="5A4F1123"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 xml:space="preserve">The constructs of </w:t>
      </w:r>
      <w:r w:rsidR="00087F8F" w:rsidRPr="005459E6">
        <w:rPr>
          <w:rFonts w:ascii="Times New Roman" w:hAnsi="Times New Roman" w:cs="Times New Roman"/>
        </w:rPr>
        <w:t>well-</w:t>
      </w:r>
      <w:r w:rsidRPr="005459E6">
        <w:rPr>
          <w:rFonts w:ascii="Times New Roman" w:hAnsi="Times New Roman" w:cs="Times New Roman"/>
        </w:rPr>
        <w:t>being can be expanded to include the conception of psychological well-being with</w:t>
      </w:r>
    </w:p>
    <w:p w14:paraId="1F2A0981" w14:textId="77777777" w:rsidR="009630F5" w:rsidRPr="005459E6" w:rsidRDefault="009630F5" w:rsidP="009630F5">
      <w:pPr>
        <w:pStyle w:val="Paragrafoelenco"/>
        <w:numPr>
          <w:ilvl w:val="0"/>
          <w:numId w:val="33"/>
        </w:numPr>
        <w:spacing w:before="0" w:line="360" w:lineRule="auto"/>
        <w:jc w:val="both"/>
        <w:rPr>
          <w:rFonts w:ascii="Times New Roman" w:hAnsi="Times New Roman" w:cs="Times New Roman"/>
          <w:sz w:val="22"/>
          <w:szCs w:val="22"/>
        </w:rPr>
      </w:pPr>
      <w:r w:rsidRPr="005459E6">
        <w:rPr>
          <w:rFonts w:ascii="Times New Roman" w:hAnsi="Times New Roman" w:cs="Times New Roman"/>
          <w:sz w:val="22"/>
          <w:szCs w:val="22"/>
        </w:rPr>
        <w:t>Hedonic Well-being (including Satisfaction with Life)</w:t>
      </w:r>
    </w:p>
    <w:p w14:paraId="2ABB59DB" w14:textId="25EA2010" w:rsidR="009630F5" w:rsidRPr="005459E6" w:rsidRDefault="009630F5" w:rsidP="009630F5">
      <w:pPr>
        <w:pStyle w:val="Paragrafoelenco"/>
        <w:numPr>
          <w:ilvl w:val="0"/>
          <w:numId w:val="33"/>
        </w:numPr>
        <w:spacing w:before="0" w:line="360" w:lineRule="auto"/>
        <w:jc w:val="both"/>
        <w:rPr>
          <w:rFonts w:ascii="Times New Roman" w:hAnsi="Times New Roman" w:cs="Times New Roman"/>
          <w:sz w:val="22"/>
          <w:szCs w:val="22"/>
        </w:rPr>
      </w:pPr>
      <w:r w:rsidRPr="005459E6">
        <w:rPr>
          <w:rFonts w:ascii="Times New Roman" w:hAnsi="Times New Roman" w:cs="Times New Roman"/>
          <w:sz w:val="22"/>
          <w:szCs w:val="22"/>
        </w:rPr>
        <w:t>E</w:t>
      </w:r>
      <w:r w:rsidR="00697651" w:rsidRPr="005459E6">
        <w:rPr>
          <w:rFonts w:ascii="Times New Roman" w:hAnsi="Times New Roman" w:cs="Times New Roman"/>
          <w:sz w:val="22"/>
          <w:szCs w:val="22"/>
        </w:rPr>
        <w:t>ud</w:t>
      </w:r>
      <w:r w:rsidRPr="005459E6">
        <w:rPr>
          <w:rFonts w:ascii="Times New Roman" w:hAnsi="Times New Roman" w:cs="Times New Roman"/>
          <w:sz w:val="22"/>
          <w:szCs w:val="22"/>
        </w:rPr>
        <w:t>aimonic well-being (Purpose, Growth and Autonomy in life)</w:t>
      </w:r>
    </w:p>
    <w:p w14:paraId="01D594ED" w14:textId="18175CD2" w:rsidR="009630F5" w:rsidRPr="005459E6" w:rsidRDefault="009630F5" w:rsidP="009630F5">
      <w:pPr>
        <w:pStyle w:val="Paragrafoelenco"/>
        <w:numPr>
          <w:ilvl w:val="0"/>
          <w:numId w:val="33"/>
        </w:numPr>
        <w:spacing w:before="0" w:line="360" w:lineRule="auto"/>
        <w:jc w:val="both"/>
        <w:rPr>
          <w:rFonts w:ascii="Times New Roman" w:hAnsi="Times New Roman" w:cs="Times New Roman"/>
          <w:sz w:val="22"/>
          <w:szCs w:val="22"/>
        </w:rPr>
      </w:pPr>
      <w:r w:rsidRPr="005459E6">
        <w:rPr>
          <w:rFonts w:ascii="Times New Roman" w:hAnsi="Times New Roman" w:cs="Times New Roman"/>
          <w:sz w:val="22"/>
          <w:szCs w:val="22"/>
        </w:rPr>
        <w:t>Blended Well-being (Optimist)</w:t>
      </w:r>
    </w:p>
    <w:p w14:paraId="10441E2B" w14:textId="77777777" w:rsidR="009630F5" w:rsidRPr="005459E6" w:rsidRDefault="009630F5" w:rsidP="009630F5">
      <w:pPr>
        <w:spacing w:line="360" w:lineRule="auto"/>
        <w:jc w:val="both"/>
        <w:rPr>
          <w:rFonts w:ascii="Times New Roman" w:hAnsi="Times New Roman" w:cs="Times New Roman"/>
        </w:rPr>
      </w:pPr>
    </w:p>
    <w:p w14:paraId="79BF0828" w14:textId="1A0DE5EB"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 xml:space="preserve">As current research utilizes electroencephalogram (EEG), new explorations can be performed using </w:t>
      </w:r>
      <w:r w:rsidR="00087F8F" w:rsidRPr="005459E6">
        <w:rPr>
          <w:rFonts w:ascii="Times New Roman" w:hAnsi="Times New Roman" w:cs="Times New Roman"/>
        </w:rPr>
        <w:t>P</w:t>
      </w:r>
      <w:r w:rsidRPr="005459E6">
        <w:rPr>
          <w:rFonts w:ascii="Times New Roman" w:hAnsi="Times New Roman" w:cs="Times New Roman"/>
        </w:rPr>
        <w:t xml:space="preserve">hotoplethysmogram (PPG) in conjunction with the current data model.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{"citationItems":[{"id":"ITEM-1","itemData":{"DOI":"10.1109/COMPSAC.2018.10266","ISBN":"9781538626665","ISSN":"07303157","abstract":"In modern life, emotions affect people in all aspects of their work and life. Long-term emotional problems tend to cause physical and mental problems such as depression. The photoplethysmogram(PPG) and electroencephalogram (EEG) etc are often used for emotion recognition, because the emotional state produces reactions from different biological systems of the human body. This article uses an internationally released emotional classification database called DEAP dataset that contains 32-channel standard EEG signals and 8-channel peripheral physiological signals. To achieve wearable emotion continuous recognition, this paper strives to obtain satisfactory emotion recognition through fewer EEG channels and peripheral physiological signals. Machine learning methods are used to classify arousal and valence that are often used in emotional recognition. The results show that the arousal classification accuracy can achieve 68% and the valence classification accuracy can achieve 66% with 5 channel EEG signal and one channel PPG signal, which can be monitored through a wearable headband.","author":[{"dropping-particle":"","family":"Tong","given":"Zhongkai","non-dropping-particle":"","parse-names":false,"suffix":""},{"dropping-particle":"","family":"Chen","given":"Xianxiang","non-dropping-particle":"","parse-names":false,"suffix":""},{"dropping-particle":"","family":"He","given":"Zhengling","non-dropping-particle":"","parse-names":false,"suffix":""},{"dropping-particle":"","family":"Tong","given":"Kai","non-dropping-particle":"","parse-names":false,"suffix":""},{"dropping-particle":"","family":"Fang","given":"Zhen","non-dropping-particle":"","parse-names":false,"suffix":""},{"dropping-particle":"","family":"Wang","given":"Xianlong","non-dropping-particle":"","parse-names":false,"suffix":""}],"container-title":"Proceedings - International Computer Software and Applications Conference","id":"ITEM-1","issued":{"date-parts":[["2018"]]},"page":"402-407","title":"Emotion Recognition Based on Photoplethysmogram and Electroencephalogram","type":"article-journal","volume":"2"},"uris":["http://www.mendeley.com/documents/?uuid=28e17cce-a02d-46a9-b0ec-4ce1058eff74"]}],"mendeley":{"formattedCitation":"(Tong et al., 2018)","plainTextFormattedCitation":"(Tong et al., 2018)","previouslyFormattedCitation":"(Tong et al., 2018)"},"properties":{"noteIndex":0},"schema":"https://github.com/citation-style-language/schema/raw/master/csl-citation.json"}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(Tong et al., 2018)</w:t>
      </w:r>
      <w:r w:rsidRPr="005459E6">
        <w:rPr>
          <w:rFonts w:ascii="Times New Roman" w:hAnsi="Times New Roman" w:cs="Times New Roman"/>
        </w:rPr>
        <w:fldChar w:fldCharType="end"/>
      </w:r>
      <w:r w:rsidRPr="005459E6">
        <w:rPr>
          <w:rFonts w:ascii="Times New Roman" w:hAnsi="Times New Roman" w:cs="Times New Roman"/>
        </w:rPr>
        <w:t xml:space="preserve">.  This would present a holistic representation of physiological and psychological data reflecting on the well-being of an individual. Using infrared light, photoplethysmography (PPG) is used to quantify skin blood flow. Because of its advantages as a non-invasive, affordable, and convenient diagnostic tool, PPG has piqued the interest of researchers from various fields. Recent research has highlighted the potential information contained in the PPG waveform signal, and it merits additional investigation for its potential applications beyond pulse oximetry and heart rate calculation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{"citationItems":[{"id":"ITEM-1","itemData":{"DOI":"10.2174/157340312801215782","ISSN":"1573403X","PMID":"22845812","abstract":"Photoplethysmography (PPG) is used to estimate the skin blood flow using infrared light. Researchers from different domains of science have become increasingly interested in PPG because of its advantages as non-invasive, inexpensive, and convenient diagnostic tool. Traditionally, it measures the oxygen saturation, blood pressure, cardiac output, and for assessing autonomic functions. Moreover, PPG is a promising technique for early screening of various atherosclerotic pathologies and could be helpful for regular GP-assessment but a full understanding of the diagnostic value of the different features is still lacking. Recent studies emphasise the potential information embedded in the PPG waveform signal and it deserves further attention for its possible applications beyond pulse oximetry and heart-rate calculation. Therefore, this overview discusses different types of artifact added to PPG signal, characteristic features of PPG waveform, and existing indexes to evaluate for diagnoses.","author":[{"dropping-particle":"","family":"Elgendi","given":"Mohamed","non-dropping-particle":"","parse-names":false,"suffix":""}],"container-title":"Current Cardiology Reviews","id":"ITEM-1","issue":"1","issued":{"date-parts":[["2012"]]},"page":"14-25","title":"On the Analysis of Fingertip Photoplethysmogram Signals","type":"article-journal","volume":"8"},"uris":["http://www.mendeley.com/documents/?uuid=4be53e03-0536-4263-9139-1bc24968ccff"]}],"mendeley":{"formattedCitation":"(Elgendi, 2012)","plainTextFormattedCitation":"(Elgendi, 2012)","previouslyFormattedCitation":"(Elgendi, 2012)"},"properties":{"noteIndex":0},"schema":"https://github.com/citation-style-language/schema/raw/master/csl-citation.json"}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(Elgendi, 2012)</w:t>
      </w:r>
      <w:r w:rsidRPr="005459E6">
        <w:rPr>
          <w:rFonts w:ascii="Times New Roman" w:hAnsi="Times New Roman" w:cs="Times New Roman"/>
        </w:rPr>
        <w:fldChar w:fldCharType="end"/>
      </w:r>
      <w:r w:rsidRPr="005459E6">
        <w:rPr>
          <w:rFonts w:ascii="Times New Roman" w:hAnsi="Times New Roman" w:cs="Times New Roman"/>
        </w:rPr>
        <w:t>.</w:t>
      </w:r>
    </w:p>
    <w:p w14:paraId="404ED235" w14:textId="77777777" w:rsidR="004D2EBA"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 xml:space="preserve">Considering the usability and feasibility of developing IoMT based devices (that are tiny in size and more suitable in terms of portability), future research plans to adopt HRV for Stress calculations. In the future, research should try to collect real-time measurements of Energy through connected sensors. Future studies look forward to calibrating and stress-based models for the development of IoMT (with HRV).  </w:t>
      </w:r>
    </w:p>
    <w:p w14:paraId="41EC5721" w14:textId="77777777" w:rsidR="004D2EBA" w:rsidRPr="005459E6" w:rsidRDefault="004D2EBA" w:rsidP="009630F5">
      <w:pPr>
        <w:spacing w:line="360" w:lineRule="auto"/>
        <w:jc w:val="both"/>
        <w:rPr>
          <w:rFonts w:ascii="Times New Roman" w:hAnsi="Times New Roman" w:cs="Times New Roman"/>
        </w:rPr>
      </w:pPr>
    </w:p>
    <w:p w14:paraId="30A8F25A" w14:textId="70F2DF84" w:rsidR="009630F5" w:rsidRPr="005459E6" w:rsidRDefault="009630F5" w:rsidP="009630F5">
      <w:pPr>
        <w:spacing w:line="360" w:lineRule="auto"/>
        <w:jc w:val="both"/>
        <w:rPr>
          <w:rFonts w:ascii="Times New Roman" w:hAnsi="Times New Roman" w:cs="Times New Roman"/>
        </w:rPr>
      </w:pPr>
      <w:r w:rsidRPr="005459E6">
        <w:rPr>
          <w:rFonts w:ascii="Times New Roman" w:hAnsi="Times New Roman" w:cs="Times New Roman"/>
        </w:rPr>
        <w:t>In the future, more signals, and datasets from electroencephalogram (EEG) and photoplethysmogram (PPG) can be combined for verification and analysis. The human body reflects the stress level depending on sev</w:t>
      </w:r>
      <w:r w:rsidR="00717F57" w:rsidRPr="005459E6">
        <w:rPr>
          <w:rFonts w:ascii="Times New Roman" w:hAnsi="Times New Roman" w:cs="Times New Roman"/>
        </w:rPr>
        <w:t>er</w:t>
      </w:r>
      <w:r w:rsidRPr="005459E6">
        <w:rPr>
          <w:rFonts w:ascii="Times New Roman" w:hAnsi="Times New Roman" w:cs="Times New Roman"/>
        </w:rPr>
        <w:t xml:space="preserve">al factors, and when these factors are measured and analyzed at both Physical and Psychological levels, it would be possible to identify any misalignment between the same to support preventive healthcare.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{"citationItems":[{"id":"ITEM-1","itemData":{"ISSN":"1939-1455","author":[{"dropping-particle":"","family":"Segerstrom","given":"Suzanne C","non-dropping-particle":"","parse-names":false,"suffix":""},{"dropping-particle":"","family":"Miller","given":"Gregory E","non-dropping-particle":"","parse-names":false,"suffix":""}],"container-title":"Psychological bulletin","id":"ITEM-1","issue":"4","issued":{"date-parts":[["2004"]]},"page":"601","publisher":"American Psychological Association","title":"Psychological stress and the human immune system: a meta-analytic study of 30 years of inquiry.","type":"article-journal","volume":"130"},"uris":["http://www.mendeley.com/documents/?uuid=a7b449c6-b47a-4ea2-b3e8-2a6fb3f11824"]}],"mendeley":{"formattedCitation":"(Segerstrom &amp; Miller, 2004)","plainTextFormattedCitation":"(Segerstrom &amp; Miller, 2004)","previouslyFormattedCitation":"(Segerstrom &amp; Miller, 2004)"},"properties":{"noteIndex":0},"schema":"https://github.com/citation-style-language/schema/raw/master/csl-citation.json"}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(Segerstrom &amp; Miller, 2004)</w:t>
      </w:r>
      <w:r w:rsidRPr="005459E6">
        <w:rPr>
          <w:rFonts w:ascii="Times New Roman" w:hAnsi="Times New Roman" w:cs="Times New Roman"/>
        </w:rPr>
        <w:fldChar w:fldCharType="end"/>
      </w:r>
      <w:r w:rsidRPr="005459E6">
        <w:rPr>
          <w:rFonts w:ascii="Times New Roman" w:hAnsi="Times New Roman" w:cs="Times New Roman"/>
        </w:rPr>
        <w:t>.</w:t>
      </w:r>
    </w:p>
    <w:p w14:paraId="5C662F00" w14:textId="639DAD6A" w:rsidR="009630F5" w:rsidRPr="005459E6" w:rsidRDefault="001E72B5" w:rsidP="009630F5">
      <w:pPr>
        <w:spacing w:line="360" w:lineRule="auto"/>
        <w:jc w:val="both"/>
        <w:rPr>
          <w:rFonts w:ascii="Times New Roman" w:hAnsi="Times New Roman" w:cs="Times New Roman"/>
        </w:rPr>
      </w:pPr>
      <w:r w:rsidRPr="005459E6">
        <w:rPr>
          <w:rFonts w:ascii="Times New Roman" w:hAnsi="Times New Roman" w:cs="Times New Roman"/>
        </w:rPr>
        <w:t>Based on the results of the study, a 5-channel EEG signal and an individualized PPG signal, which can be monitored by using a wearable headband, w</w:t>
      </w:r>
      <w:r w:rsidR="00717F57" w:rsidRPr="005459E6">
        <w:rPr>
          <w:rFonts w:ascii="Times New Roman" w:hAnsi="Times New Roman" w:cs="Times New Roman"/>
        </w:rPr>
        <w:t>ere</w:t>
      </w:r>
      <w:r w:rsidRPr="005459E6">
        <w:rPr>
          <w:rFonts w:ascii="Times New Roman" w:hAnsi="Times New Roman" w:cs="Times New Roman"/>
        </w:rPr>
        <w:t xml:space="preserve"> effective for monitoring brain activity</w:t>
      </w:r>
      <w:r w:rsidR="00717F57" w:rsidRPr="005459E6">
        <w:rPr>
          <w:rFonts w:ascii="Times New Roman" w:hAnsi="Times New Roman" w:cs="Times New Roman"/>
        </w:rPr>
        <w:t xml:space="preserve"> where</w:t>
      </w:r>
      <w:r w:rsidR="009630F5" w:rsidRPr="005459E6">
        <w:rPr>
          <w:rFonts w:ascii="Times New Roman" w:hAnsi="Times New Roman" w:cs="Times New Roman"/>
        </w:rPr>
        <w:t xml:space="preserve"> the arousal classification accuracy can reach 68 percent and the valence classification accuracy can reach 66 percent </w:t>
      </w:r>
      <w:r w:rsidR="009630F5" w:rsidRPr="005459E6">
        <w:rPr>
          <w:rFonts w:ascii="Times New Roman" w:hAnsi="Times New Roman" w:cs="Times New Roman"/>
        </w:rPr>
        <w:fldChar w:fldCharType="begin" w:fldLock="1"/>
      </w:r>
      <w:r w:rsidR="009630F5" w:rsidRPr="005459E6">
        <w:rPr>
          <w:rFonts w:ascii="Times New Roman" w:hAnsi="Times New Roman" w:cs="Times New Roman"/>
        </w:rPr>
        <w:instrText>ADDIN CSL_CITATION {"citationItems":[{"id":"ITEM-1","itemData":{"DOI":"10.1109/COMPSAC.2018.10266","ISBN":"9781538626665","ISSN":"07303157","abstract":"In modern life, emotions affect people in all aspects of their work and life. Long-term emotional problems tend to cause physical and mental problems such as depression. The photoplethysmogram(PPG) and electroencephalogram (EEG) etc are often used for emotion recognition, because the emotional state produces reactions from different biological systems of the human body. This article uses an internationally released emotional classification database called DEAP dataset that contains 32-channel standard EEG signals and 8-channel peripheral physiological signals. To achieve wearable emotion continuous recognition, this paper strives to obtain satisfactory emotion recognition through fewer EEG channels and peripheral physiological signals. Machine learning methods are used to classify arousal and valence that are often used in emotional recognition. The results show that the arousal classification accuracy can achieve 68% and the valence classification accuracy can achieve 66% with 5 channel EEG signal and one channel PPG signal, which can be monitored through a wearable headband.","author":[{"dropping-particle":"","family":"Tong","given":"Zhongkai","non-dropping-particle":"","parse-names":false,"suffix":""},{"dropping-particle":"","family":"Chen","given":"Xianxiang","non-dropping-particle":"","parse-names":false,"suffix":""},{"dropping-particle":"","family":"He","given":"Zhengling","non-dropping-particle":"","parse-names":false,"suffix":""},{"dropping-particle":"","family":"Tong","given":"Kai","non-dropping-particle":"","parse-names":false,"suffix":""},{"dropping-particle":"","family":"Fang","given":"Zhen","non-dropping-particle":"","parse-names":false,"suffix":""},{"dropping-particle":"","family":"Wang","given":"Xianlong","non-dropping-particle":"","parse-names":false,"suffix":""}],"container-title":"Proceedings - International Computer Software and Applications Conference","id":"ITEM-1","issued":{"date-parts":[["2018"]]},"page":"402-407","title":"Emotion Recognition Based on Photoplethysmogram and Electroencephalogram","type":"article-journal","volume":"2"},"uris":["http://www.mendeley.com/documents/?uuid=28e17cce-a02d-46a9-b0ec-4ce1058eff74"]}],"mendeley":{"formattedCitation":"(Tong et al., 2018)","plainTextFormattedCitation":"(Tong et al., 2018)","previouslyFormattedCitation":"(Tong et al., 2018)"},"properties":{"noteIndex":0},"schema":"https://github.com/citation-style-language/schema/raw/master/csl-citation.json"}</w:instrText>
      </w:r>
      <w:r w:rsidR="009630F5" w:rsidRPr="005459E6">
        <w:rPr>
          <w:rFonts w:ascii="Times New Roman" w:hAnsi="Times New Roman" w:cs="Times New Roman"/>
        </w:rPr>
        <w:fldChar w:fldCharType="separate"/>
      </w:r>
      <w:r w:rsidR="009630F5" w:rsidRPr="005459E6">
        <w:rPr>
          <w:rFonts w:ascii="Times New Roman" w:hAnsi="Times New Roman" w:cs="Times New Roman"/>
          <w:noProof/>
        </w:rPr>
        <w:t>(Tong et al., 2018)</w:t>
      </w:r>
      <w:r w:rsidR="009630F5" w:rsidRPr="005459E6">
        <w:rPr>
          <w:rFonts w:ascii="Times New Roman" w:hAnsi="Times New Roman" w:cs="Times New Roman"/>
        </w:rPr>
        <w:fldChar w:fldCharType="end"/>
      </w:r>
      <w:r w:rsidR="009630F5" w:rsidRPr="005459E6">
        <w:rPr>
          <w:rFonts w:ascii="Times New Roman" w:hAnsi="Times New Roman" w:cs="Times New Roman"/>
        </w:rPr>
        <w:t>.</w:t>
      </w:r>
    </w:p>
    <w:p w14:paraId="60DC31F1" w14:textId="77777777" w:rsidR="009630F5" w:rsidRPr="005459E6" w:rsidRDefault="009630F5" w:rsidP="00042CB0">
      <w:pPr>
        <w:pStyle w:val="Titolo1"/>
        <w:spacing w:line="360" w:lineRule="auto"/>
        <w:jc w:val="both"/>
        <w:rPr>
          <w:rFonts w:ascii="Times New Roman" w:hAnsi="Times New Roman" w:cs="Times New Roman"/>
          <w:b/>
          <w:bCs/>
          <w:color w:val="auto"/>
          <w:sz w:val="22"/>
          <w:szCs w:val="22"/>
        </w:rPr>
      </w:pPr>
    </w:p>
    <w:p w14:paraId="3968E907" w14:textId="77777777" w:rsidR="004D2EBA" w:rsidRPr="005459E6" w:rsidRDefault="004D2EBA" w:rsidP="004D2EBA">
      <w:pPr>
        <w:rPr>
          <w:rFonts w:ascii="Times New Roman" w:hAnsi="Times New Roman" w:cs="Times New Roman"/>
        </w:rPr>
      </w:pPr>
    </w:p>
    <w:p w14:paraId="5EAFD4C3" w14:textId="77777777" w:rsidR="004D2EBA" w:rsidRPr="005459E6" w:rsidRDefault="004D2EBA" w:rsidP="004D2EBA">
      <w:pPr>
        <w:rPr>
          <w:rFonts w:ascii="Times New Roman" w:hAnsi="Times New Roman" w:cs="Times New Roman"/>
        </w:rPr>
      </w:pPr>
    </w:p>
    <w:p w14:paraId="0E226690" w14:textId="77777777" w:rsidR="004D2EBA" w:rsidRPr="005459E6" w:rsidRDefault="004D2EBA" w:rsidP="004D2EBA">
      <w:pPr>
        <w:rPr>
          <w:rFonts w:ascii="Times New Roman" w:hAnsi="Times New Roman" w:cs="Times New Roman"/>
        </w:rPr>
      </w:pPr>
    </w:p>
    <w:p w14:paraId="28223968" w14:textId="77777777" w:rsidR="004D2EBA" w:rsidRPr="005459E6" w:rsidRDefault="004D2EBA" w:rsidP="004D2EBA">
      <w:pPr>
        <w:rPr>
          <w:rFonts w:ascii="Times New Roman" w:hAnsi="Times New Roman" w:cs="Times New Roman"/>
        </w:rPr>
      </w:pPr>
    </w:p>
    <w:p w14:paraId="7831F899" w14:textId="77777777" w:rsidR="004D2EBA" w:rsidRPr="005459E6" w:rsidRDefault="004D2EBA" w:rsidP="004D2EBA">
      <w:pPr>
        <w:rPr>
          <w:rFonts w:ascii="Times New Roman" w:hAnsi="Times New Roman" w:cs="Times New Roman"/>
        </w:rPr>
      </w:pPr>
    </w:p>
    <w:p w14:paraId="1704A9D7" w14:textId="77777777" w:rsidR="004D2EBA" w:rsidRPr="005459E6" w:rsidRDefault="004D2EBA" w:rsidP="004D2EBA">
      <w:pPr>
        <w:rPr>
          <w:rFonts w:ascii="Times New Roman" w:hAnsi="Times New Roman" w:cs="Times New Roman"/>
        </w:rPr>
      </w:pPr>
    </w:p>
    <w:p w14:paraId="441CA3C0" w14:textId="77777777" w:rsidR="004D2EBA" w:rsidRPr="005459E6" w:rsidRDefault="004D2EBA" w:rsidP="004D2EBA">
      <w:pPr>
        <w:rPr>
          <w:rFonts w:ascii="Times New Roman" w:hAnsi="Times New Roman" w:cs="Times New Roman"/>
        </w:rPr>
      </w:pPr>
    </w:p>
    <w:p w14:paraId="651374FB" w14:textId="77777777" w:rsidR="004D2EBA" w:rsidRPr="005459E6" w:rsidRDefault="004D2EBA" w:rsidP="004D2EBA">
      <w:pPr>
        <w:rPr>
          <w:rFonts w:ascii="Times New Roman" w:hAnsi="Times New Roman" w:cs="Times New Roman"/>
        </w:rPr>
      </w:pPr>
    </w:p>
    <w:p w14:paraId="3F951FBD" w14:textId="77777777" w:rsidR="004D2EBA" w:rsidRPr="005459E6" w:rsidRDefault="004D2EBA" w:rsidP="004D2EBA">
      <w:pPr>
        <w:rPr>
          <w:rFonts w:ascii="Times New Roman" w:hAnsi="Times New Roman" w:cs="Times New Roman"/>
        </w:rPr>
      </w:pPr>
    </w:p>
    <w:p w14:paraId="3B0B2DDF" w14:textId="77777777" w:rsidR="004D2EBA" w:rsidRPr="005459E6" w:rsidRDefault="004D2EBA" w:rsidP="004D2EBA">
      <w:pPr>
        <w:rPr>
          <w:rFonts w:ascii="Times New Roman" w:hAnsi="Times New Roman" w:cs="Times New Roman"/>
        </w:rPr>
      </w:pPr>
    </w:p>
    <w:p w14:paraId="05AF416B" w14:textId="77777777" w:rsidR="004D2EBA" w:rsidRPr="005459E6" w:rsidRDefault="004D2EBA" w:rsidP="004D2EBA">
      <w:pPr>
        <w:rPr>
          <w:rFonts w:ascii="Times New Roman" w:hAnsi="Times New Roman" w:cs="Times New Roman"/>
        </w:rPr>
      </w:pPr>
    </w:p>
    <w:p w14:paraId="1048E5AC" w14:textId="77777777" w:rsidR="004D2EBA" w:rsidRPr="005459E6" w:rsidRDefault="004D2EBA" w:rsidP="004D2EBA">
      <w:pPr>
        <w:rPr>
          <w:rFonts w:ascii="Times New Roman" w:hAnsi="Times New Roman" w:cs="Times New Roman"/>
        </w:rPr>
      </w:pPr>
    </w:p>
    <w:p w14:paraId="247F84C1" w14:textId="77777777" w:rsidR="004D2EBA" w:rsidRPr="005459E6" w:rsidRDefault="004D2EBA" w:rsidP="004D2EBA">
      <w:pPr>
        <w:rPr>
          <w:rFonts w:ascii="Times New Roman" w:hAnsi="Times New Roman" w:cs="Times New Roman"/>
        </w:rPr>
      </w:pPr>
    </w:p>
    <w:p w14:paraId="73EF85AA" w14:textId="77777777" w:rsidR="004D2EBA" w:rsidRPr="005459E6" w:rsidRDefault="004D2EBA" w:rsidP="004D2EBA">
      <w:pPr>
        <w:rPr>
          <w:rFonts w:ascii="Times New Roman" w:hAnsi="Times New Roman" w:cs="Times New Roman"/>
        </w:rPr>
      </w:pPr>
    </w:p>
    <w:p w14:paraId="44E0B702" w14:textId="77777777" w:rsidR="004D2EBA" w:rsidRPr="005459E6" w:rsidRDefault="004D2EBA" w:rsidP="004D2EBA">
      <w:pPr>
        <w:rPr>
          <w:rFonts w:ascii="Times New Roman" w:hAnsi="Times New Roman" w:cs="Times New Roman"/>
        </w:rPr>
      </w:pPr>
    </w:p>
    <w:p w14:paraId="68291D0F" w14:textId="77777777" w:rsidR="004D2EBA" w:rsidRPr="005459E6" w:rsidRDefault="004D2EBA" w:rsidP="004D2EBA">
      <w:pPr>
        <w:rPr>
          <w:rFonts w:ascii="Times New Roman" w:hAnsi="Times New Roman" w:cs="Times New Roman"/>
        </w:rPr>
      </w:pPr>
    </w:p>
    <w:p w14:paraId="777E4E90" w14:textId="77777777" w:rsidR="004D2EBA" w:rsidRPr="005459E6" w:rsidRDefault="004D2EBA" w:rsidP="004D2EBA">
      <w:pPr>
        <w:rPr>
          <w:rFonts w:ascii="Times New Roman" w:hAnsi="Times New Roman" w:cs="Times New Roman"/>
        </w:rPr>
      </w:pPr>
    </w:p>
    <w:p w14:paraId="5B4A28A2" w14:textId="77777777" w:rsidR="004D2EBA" w:rsidRPr="005459E6" w:rsidRDefault="004D2EBA" w:rsidP="004D2EBA">
      <w:pPr>
        <w:rPr>
          <w:rFonts w:ascii="Times New Roman" w:hAnsi="Times New Roman" w:cs="Times New Roman"/>
        </w:rPr>
      </w:pPr>
    </w:p>
    <w:p w14:paraId="3CF0191B" w14:textId="594255A3" w:rsidR="005807C8" w:rsidRPr="005459E6" w:rsidRDefault="00864DC8" w:rsidP="00042CB0">
      <w:pPr>
        <w:pStyle w:val="Titolo1"/>
        <w:spacing w:line="360" w:lineRule="auto"/>
        <w:jc w:val="both"/>
        <w:rPr>
          <w:rFonts w:ascii="Times New Roman" w:hAnsi="Times New Roman" w:cs="Times New Roman"/>
          <w:b/>
          <w:bCs/>
          <w:color w:val="auto"/>
          <w:sz w:val="22"/>
          <w:szCs w:val="22"/>
        </w:rPr>
      </w:pPr>
      <w:bookmarkStart w:id="507" w:name="_Toc107248346"/>
      <w:r w:rsidRPr="005459E6">
        <w:rPr>
          <w:rFonts w:ascii="Times New Roman" w:hAnsi="Times New Roman" w:cs="Times New Roman"/>
          <w:b/>
          <w:bCs/>
          <w:color w:val="auto"/>
          <w:sz w:val="22"/>
          <w:szCs w:val="22"/>
        </w:rPr>
        <w:t>INFERENCE</w:t>
      </w:r>
      <w:bookmarkEnd w:id="494"/>
      <w:bookmarkEnd w:id="495"/>
      <w:bookmarkEnd w:id="496"/>
      <w:bookmarkEnd w:id="507"/>
    </w:p>
    <w:p w14:paraId="4E54D07C" w14:textId="77777777" w:rsidR="00C36C31" w:rsidRPr="005459E6" w:rsidRDefault="00C36C31" w:rsidP="00C36C31">
      <w:pPr>
        <w:spacing w:line="360" w:lineRule="auto"/>
        <w:jc w:val="both"/>
        <w:rPr>
          <w:rFonts w:ascii="Times New Roman" w:hAnsi="Times New Roman" w:cs="Times New Roman"/>
        </w:rPr>
      </w:pPr>
      <w:bookmarkStart w:id="508" w:name="_Toc87349563"/>
      <w:bookmarkStart w:id="509" w:name="_Toc87349676"/>
      <w:bookmarkStart w:id="510" w:name="_Toc87349783"/>
      <w:r w:rsidRPr="005459E6">
        <w:rPr>
          <w:rFonts w:ascii="Times New Roman" w:hAnsi="Times New Roman" w:cs="Times New Roman"/>
        </w:rPr>
        <w:t xml:space="preserve">This study hinges on the Role of technology in gaining Psychosomatic health. It confirms the impact of Mental health on physical health. The study further reflects upon the impact of psychological well-being on Workplace Productivity. The premise of research identifies service systems as dynamic value co-creation configurations of people, technologies, and resources. It re-iterates that technology - such as A.I. in the form of service systems - has an essential role in healthcare services. It identifies a need to consider the impact that smart technologies and networked devices have on the actors. Proposed research followed ‘Sequential Multiple Methodology’ after the pilot study used a mixed-mode approach.  </w:t>
      </w:r>
    </w:p>
    <w:p w14:paraId="26CF0FF9" w14:textId="0A89A8FA"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The sequential combination of </w:t>
      </w:r>
      <w:r w:rsidR="00F42435" w:rsidRPr="005459E6">
        <w:rPr>
          <w:rFonts w:ascii="Times New Roman" w:hAnsi="Times New Roman" w:cs="Times New Roman"/>
        </w:rPr>
        <w:t>four</w:t>
      </w:r>
      <w:r w:rsidRPr="005459E6">
        <w:rPr>
          <w:rFonts w:ascii="Times New Roman" w:hAnsi="Times New Roman" w:cs="Times New Roman"/>
        </w:rPr>
        <w:t xml:space="preserve"> stages initially </w:t>
      </w:r>
      <w:r w:rsidR="007F6533" w:rsidRPr="005459E6">
        <w:rPr>
          <w:rFonts w:ascii="Times New Roman" w:hAnsi="Times New Roman" w:cs="Times New Roman"/>
        </w:rPr>
        <w:t>c</w:t>
      </w:r>
      <w:r w:rsidRPr="005459E6">
        <w:rPr>
          <w:rFonts w:ascii="Times New Roman" w:hAnsi="Times New Roman" w:cs="Times New Roman"/>
        </w:rPr>
        <w:t xml:space="preserve">onfirmed the impact of psychological health on physical health highlighting the importance of mental health. The next stage confirmed </w:t>
      </w:r>
      <w:r w:rsidR="00087F8F" w:rsidRPr="005459E6">
        <w:rPr>
          <w:rFonts w:ascii="Times New Roman" w:hAnsi="Times New Roman" w:cs="Times New Roman"/>
        </w:rPr>
        <w:t>the r</w:t>
      </w:r>
      <w:r w:rsidRPr="005459E6">
        <w:rPr>
          <w:rFonts w:ascii="Times New Roman" w:hAnsi="Times New Roman" w:cs="Times New Roman"/>
        </w:rPr>
        <w:t xml:space="preserve">ole of Technology </w:t>
      </w:r>
      <w:r w:rsidR="00087F8F" w:rsidRPr="005459E6">
        <w:rPr>
          <w:rFonts w:ascii="Times New Roman" w:hAnsi="Times New Roman" w:cs="Times New Roman"/>
        </w:rPr>
        <w:t>in</w:t>
      </w:r>
      <w:r w:rsidRPr="005459E6">
        <w:rPr>
          <w:rFonts w:ascii="Times New Roman" w:hAnsi="Times New Roman" w:cs="Times New Roman"/>
        </w:rPr>
        <w:t xml:space="preserve"> achieving </w:t>
      </w:r>
      <w:r w:rsidR="00087F8F" w:rsidRPr="005459E6">
        <w:rPr>
          <w:rFonts w:ascii="Times New Roman" w:hAnsi="Times New Roman" w:cs="Times New Roman"/>
        </w:rPr>
        <w:t>P</w:t>
      </w:r>
      <w:r w:rsidRPr="005459E6">
        <w:rPr>
          <w:rFonts w:ascii="Times New Roman" w:hAnsi="Times New Roman" w:cs="Times New Roman"/>
        </w:rPr>
        <w:t xml:space="preserve">sychological Well-being. In line with the same, the later stage utilized A.I. to observe Positive emotions and </w:t>
      </w:r>
      <w:r w:rsidR="00F42435" w:rsidRPr="005459E6">
        <w:rPr>
          <w:rFonts w:ascii="Times New Roman" w:hAnsi="Times New Roman" w:cs="Times New Roman"/>
        </w:rPr>
        <w:t>their</w:t>
      </w:r>
      <w:r w:rsidRPr="005459E6">
        <w:rPr>
          <w:rFonts w:ascii="Times New Roman" w:hAnsi="Times New Roman" w:cs="Times New Roman"/>
        </w:rPr>
        <w:t xml:space="preserve"> dynamic impact on individual stress levels (Psychological well-being). It re-iterated Confirmed that Stress is observed through cognitive states &amp; ultimately by positive emotions. </w:t>
      </w:r>
      <w:r w:rsidR="00087F8F" w:rsidRPr="005459E6">
        <w:rPr>
          <w:rFonts w:ascii="Times New Roman" w:hAnsi="Times New Roman" w:cs="Times New Roman"/>
        </w:rPr>
        <w:t>The f</w:t>
      </w:r>
      <w:r w:rsidRPr="005459E6">
        <w:rPr>
          <w:rFonts w:ascii="Times New Roman" w:hAnsi="Times New Roman" w:cs="Times New Roman"/>
        </w:rPr>
        <w:t xml:space="preserve">inal stage of the study </w:t>
      </w:r>
      <w:r w:rsidR="00E97C88" w:rsidRPr="005459E6">
        <w:rPr>
          <w:rFonts w:ascii="Times New Roman" w:hAnsi="Times New Roman" w:cs="Times New Roman"/>
        </w:rPr>
        <w:t>c</w:t>
      </w:r>
      <w:r w:rsidRPr="005459E6">
        <w:rPr>
          <w:rFonts w:ascii="Times New Roman" w:hAnsi="Times New Roman" w:cs="Times New Roman"/>
        </w:rPr>
        <w:t xml:space="preserve">onfirmed that </w:t>
      </w:r>
      <w:r w:rsidR="00E97C88" w:rsidRPr="005459E6">
        <w:rPr>
          <w:rFonts w:ascii="Times New Roman" w:hAnsi="Times New Roman" w:cs="Times New Roman"/>
        </w:rPr>
        <w:t>p</w:t>
      </w:r>
      <w:r w:rsidRPr="005459E6">
        <w:rPr>
          <w:rFonts w:ascii="Times New Roman" w:hAnsi="Times New Roman" w:cs="Times New Roman"/>
        </w:rPr>
        <w:t xml:space="preserve">sychological </w:t>
      </w:r>
      <w:r w:rsidR="00E97C88" w:rsidRPr="005459E6">
        <w:rPr>
          <w:rFonts w:ascii="Times New Roman" w:hAnsi="Times New Roman" w:cs="Times New Roman"/>
        </w:rPr>
        <w:t>w</w:t>
      </w:r>
      <w:r w:rsidRPr="005459E6">
        <w:rPr>
          <w:rFonts w:ascii="Times New Roman" w:hAnsi="Times New Roman" w:cs="Times New Roman"/>
        </w:rPr>
        <w:t xml:space="preserve">ell-being impacts </w:t>
      </w:r>
      <w:r w:rsidR="00E97C88" w:rsidRPr="005459E6">
        <w:rPr>
          <w:rFonts w:ascii="Times New Roman" w:hAnsi="Times New Roman" w:cs="Times New Roman"/>
        </w:rPr>
        <w:t>w</w:t>
      </w:r>
      <w:r w:rsidRPr="005459E6">
        <w:rPr>
          <w:rFonts w:ascii="Times New Roman" w:hAnsi="Times New Roman" w:cs="Times New Roman"/>
        </w:rPr>
        <w:t xml:space="preserve">orkplace </w:t>
      </w:r>
      <w:r w:rsidR="00E97C88" w:rsidRPr="005459E6">
        <w:rPr>
          <w:rFonts w:ascii="Times New Roman" w:hAnsi="Times New Roman" w:cs="Times New Roman"/>
        </w:rPr>
        <w:t>p</w:t>
      </w:r>
      <w:r w:rsidRPr="005459E6">
        <w:rPr>
          <w:rFonts w:ascii="Times New Roman" w:hAnsi="Times New Roman" w:cs="Times New Roman"/>
        </w:rPr>
        <w:t>roductivity illuminating the importance of positive affect experience</w:t>
      </w:r>
      <w:r w:rsidR="00087F8F" w:rsidRPr="005459E6">
        <w:rPr>
          <w:rFonts w:ascii="Times New Roman" w:hAnsi="Times New Roman" w:cs="Times New Roman"/>
        </w:rPr>
        <w:t>d</w:t>
      </w:r>
      <w:r w:rsidRPr="005459E6">
        <w:rPr>
          <w:rFonts w:ascii="Times New Roman" w:hAnsi="Times New Roman" w:cs="Times New Roman"/>
        </w:rPr>
        <w:t xml:space="preserve"> by an individual.</w:t>
      </w:r>
    </w:p>
    <w:p w14:paraId="70A47EA6" w14:textId="77777777"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The research design makes extensive use of data science to fulfill two objectives that explore the role of positive emotions for the betterment of Well-being using AI and reflect upon the co-created value in an organization through individual Well-being. </w:t>
      </w:r>
    </w:p>
    <w:p w14:paraId="719B932C" w14:textId="77777777"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These objectives are attained using Brain-Computer Interface (BCI), which gather Electroencephalography signals from the subjects and model unique instances for making accurate predictions using Machine Learning. The ML model does not only predict the stress levels of an individual but also provides its correlation with ‘Interest’ &amp; ‘Relaxation.’ The model validity and reliability are established using the 'Holdout score' (Training and Testing) and Mean Absolute Error (MEA) parameters. The data analysis considers three dimensions of the Machine Learning model, including confidence, accuracy, and data path. Data sampling is based on a large effect size that corresponds to practices followed in Behavioral sciences.   </w:t>
      </w:r>
    </w:p>
    <w:p w14:paraId="7869FC56" w14:textId="04CBBE05"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Using </w:t>
      </w:r>
      <w:r w:rsidR="00087F8F" w:rsidRPr="005459E6">
        <w:rPr>
          <w:rFonts w:ascii="Times New Roman" w:hAnsi="Times New Roman" w:cs="Times New Roman"/>
        </w:rPr>
        <w:t xml:space="preserve">an </w:t>
      </w:r>
      <w:r w:rsidRPr="005459E6">
        <w:rPr>
          <w:rFonts w:ascii="Times New Roman" w:hAnsi="Times New Roman" w:cs="Times New Roman"/>
        </w:rPr>
        <w:t xml:space="preserve">interdisciplinary approach across Management, Technology &amp; Healthcare domains the findings establish </w:t>
      </w:r>
      <w:r w:rsidR="00087F8F" w:rsidRPr="005459E6">
        <w:rPr>
          <w:rFonts w:ascii="Times New Roman" w:hAnsi="Times New Roman" w:cs="Times New Roman"/>
        </w:rPr>
        <w:t xml:space="preserve">the </w:t>
      </w:r>
      <w:r w:rsidR="00A04B05" w:rsidRPr="005459E6">
        <w:rPr>
          <w:rFonts w:ascii="Times New Roman" w:hAnsi="Times New Roman" w:cs="Times New Roman"/>
        </w:rPr>
        <w:t>a</w:t>
      </w:r>
      <w:r w:rsidRPr="005459E6">
        <w:rPr>
          <w:rFonts w:ascii="Times New Roman" w:hAnsi="Times New Roman" w:cs="Times New Roman"/>
        </w:rPr>
        <w:t>ugmentation of Psychological Well-being using Artificial Intelligence. As this require</w:t>
      </w:r>
      <w:r w:rsidR="009C216B" w:rsidRPr="005459E6">
        <w:rPr>
          <w:rFonts w:ascii="Times New Roman" w:hAnsi="Times New Roman" w:cs="Times New Roman"/>
        </w:rPr>
        <w:t xml:space="preserve">d </w:t>
      </w:r>
      <w:r w:rsidRPr="005459E6">
        <w:rPr>
          <w:rFonts w:ascii="Times New Roman" w:hAnsi="Times New Roman" w:cs="Times New Roman"/>
        </w:rPr>
        <w:t xml:space="preserve">processing of </w:t>
      </w:r>
      <w:r w:rsidR="00087F8F" w:rsidRPr="005459E6">
        <w:rPr>
          <w:rFonts w:ascii="Times New Roman" w:hAnsi="Times New Roman" w:cs="Times New Roman"/>
        </w:rPr>
        <w:t xml:space="preserve">a </w:t>
      </w:r>
      <w:r w:rsidRPr="005459E6">
        <w:rPr>
          <w:rFonts w:ascii="Times New Roman" w:hAnsi="Times New Roman" w:cs="Times New Roman"/>
        </w:rPr>
        <w:t xml:space="preserve">large amount of EEG </w:t>
      </w:r>
      <w:r w:rsidR="0048517E" w:rsidRPr="005459E6">
        <w:rPr>
          <w:rFonts w:ascii="Times New Roman" w:hAnsi="Times New Roman" w:cs="Times New Roman"/>
        </w:rPr>
        <w:t>data, contemporary</w:t>
      </w:r>
      <w:r w:rsidR="009C216B" w:rsidRPr="005459E6">
        <w:rPr>
          <w:rFonts w:ascii="Times New Roman" w:hAnsi="Times New Roman" w:cs="Times New Roman"/>
        </w:rPr>
        <w:t xml:space="preserve"> techniques of D</w:t>
      </w:r>
      <w:r w:rsidRPr="005459E6">
        <w:rPr>
          <w:rFonts w:ascii="Times New Roman" w:hAnsi="Times New Roman" w:cs="Times New Roman"/>
        </w:rPr>
        <w:t xml:space="preserve">ata </w:t>
      </w:r>
      <w:r w:rsidR="009C216B" w:rsidRPr="005459E6">
        <w:rPr>
          <w:rFonts w:ascii="Times New Roman" w:hAnsi="Times New Roman" w:cs="Times New Roman"/>
        </w:rPr>
        <w:t>S</w:t>
      </w:r>
      <w:r w:rsidRPr="005459E6">
        <w:rPr>
          <w:rFonts w:ascii="Times New Roman" w:hAnsi="Times New Roman" w:cs="Times New Roman"/>
        </w:rPr>
        <w:t>cience was used to devi</w:t>
      </w:r>
      <w:r w:rsidR="00087F8F" w:rsidRPr="005459E6">
        <w:rPr>
          <w:rFonts w:ascii="Times New Roman" w:hAnsi="Times New Roman" w:cs="Times New Roman"/>
        </w:rPr>
        <w:t>s</w:t>
      </w:r>
      <w:r w:rsidRPr="005459E6">
        <w:rPr>
          <w:rFonts w:ascii="Times New Roman" w:hAnsi="Times New Roman" w:cs="Times New Roman"/>
        </w:rPr>
        <w:t>e a Machine Learning model to generate valuable insights.</w:t>
      </w:r>
    </w:p>
    <w:p w14:paraId="15026B1A" w14:textId="77777777" w:rsidR="00C36C31" w:rsidRPr="005459E6" w:rsidRDefault="00C36C31" w:rsidP="00C36C31">
      <w:pPr>
        <w:spacing w:line="360" w:lineRule="auto"/>
        <w:jc w:val="both"/>
        <w:rPr>
          <w:rFonts w:ascii="Times New Roman" w:hAnsi="Times New Roman" w:cs="Times New Roman"/>
        </w:rPr>
      </w:pPr>
    </w:p>
    <w:p w14:paraId="18D381AA" w14:textId="77777777" w:rsidR="00C36C31" w:rsidRPr="005459E6" w:rsidRDefault="00C36C31" w:rsidP="00C36C31">
      <w:pPr>
        <w:spacing w:line="360" w:lineRule="auto"/>
        <w:jc w:val="both"/>
        <w:rPr>
          <w:rFonts w:ascii="Times New Roman" w:hAnsi="Times New Roman" w:cs="Times New Roman"/>
        </w:rPr>
      </w:pPr>
    </w:p>
    <w:p w14:paraId="05221999" w14:textId="2000E30D"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The study establishes that the actors (stressors/interventions) affect psychological health through the resource integration process (using Artificial Intelligence) to fulfill value co-creation (in terms of betterment of well-being). The same can be witnessed through a complex interaction of IoMT </w:t>
      </w:r>
      <w:r w:rsidR="00FF54FF" w:rsidRPr="005459E6">
        <w:rPr>
          <w:rFonts w:ascii="Times New Roman" w:hAnsi="Times New Roman" w:cs="Times New Roman"/>
        </w:rPr>
        <w:t>supported</w:t>
      </w:r>
      <w:r w:rsidRPr="005459E6">
        <w:rPr>
          <w:rFonts w:ascii="Times New Roman" w:hAnsi="Times New Roman" w:cs="Times New Roman"/>
        </w:rPr>
        <w:t xml:space="preserve"> self-tracking, facilitated by A.I. that leverages ‘Nudge theory’ to be able to enhance psychological well-being.  Using Artificial Intelligence Predictive ML model can be developed to draw valuable insights into the emotional states of an individual to boost individuals’ well-being. </w:t>
      </w:r>
    </w:p>
    <w:p w14:paraId="083CB6F6" w14:textId="77777777"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The construct is based on the role of Positive emotions (depicted by stress) that could translate into the betterment of psychological well-being: Study also provides significant reflections on Workplace Productivity that could be enhanced by psychological well-being, later translating into greater organizational performance. </w:t>
      </w:r>
    </w:p>
    <w:p w14:paraId="116BF341" w14:textId="067CA9E8" w:rsidR="00187D5A"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As the given study </w:t>
      </w:r>
      <w:r w:rsidR="00E5531F" w:rsidRPr="005459E6">
        <w:rPr>
          <w:rFonts w:ascii="Times New Roman" w:hAnsi="Times New Roman" w:cs="Times New Roman"/>
        </w:rPr>
        <w:t>coin</w:t>
      </w:r>
      <w:r w:rsidR="00F42435" w:rsidRPr="005459E6">
        <w:rPr>
          <w:rFonts w:ascii="Times New Roman" w:hAnsi="Times New Roman" w:cs="Times New Roman"/>
        </w:rPr>
        <w:t>c</w:t>
      </w:r>
      <w:r w:rsidR="00E5531F" w:rsidRPr="005459E6">
        <w:rPr>
          <w:rFonts w:ascii="Times New Roman" w:hAnsi="Times New Roman" w:cs="Times New Roman"/>
        </w:rPr>
        <w:t>ides</w:t>
      </w:r>
      <w:r w:rsidRPr="005459E6">
        <w:rPr>
          <w:rFonts w:ascii="Times New Roman" w:hAnsi="Times New Roman" w:cs="Times New Roman"/>
        </w:rPr>
        <w:t xml:space="preserve"> with multiple levels it is appropriate to recognize nested entities within a hierarchical system that includes </w:t>
      </w:r>
      <w:r w:rsidR="00087F8F" w:rsidRPr="005459E6">
        <w:rPr>
          <w:rFonts w:ascii="Times New Roman" w:hAnsi="Times New Roman" w:cs="Times New Roman"/>
        </w:rPr>
        <w:t xml:space="preserve">the </w:t>
      </w:r>
      <w:r w:rsidRPr="005459E6">
        <w:rPr>
          <w:rFonts w:ascii="Times New Roman" w:hAnsi="Times New Roman" w:cs="Times New Roman"/>
        </w:rPr>
        <w:t xml:space="preserve">following three levels:  Level I represent </w:t>
      </w:r>
      <w:r w:rsidR="00087F8F" w:rsidRPr="005459E6">
        <w:rPr>
          <w:rFonts w:ascii="Times New Roman" w:hAnsi="Times New Roman" w:cs="Times New Roman"/>
        </w:rPr>
        <w:t xml:space="preserve">the </w:t>
      </w:r>
      <w:r w:rsidRPr="005459E6">
        <w:rPr>
          <w:rFonts w:ascii="Times New Roman" w:hAnsi="Times New Roman" w:cs="Times New Roman"/>
        </w:rPr>
        <w:t xml:space="preserve">Individual level that includes </w:t>
      </w:r>
      <w:r w:rsidR="00087F8F" w:rsidRPr="005459E6">
        <w:rPr>
          <w:rFonts w:ascii="Times New Roman" w:hAnsi="Times New Roman" w:cs="Times New Roman"/>
        </w:rPr>
        <w:t xml:space="preserve">the </w:t>
      </w:r>
      <w:r w:rsidRPr="005459E6">
        <w:rPr>
          <w:rFonts w:ascii="Times New Roman" w:hAnsi="Times New Roman" w:cs="Times New Roman"/>
        </w:rPr>
        <w:t xml:space="preserve">Emotional States and Self-Quantification activities. Level II shows Organizational level with </w:t>
      </w:r>
      <w:r w:rsidR="00087F8F" w:rsidRPr="005459E6">
        <w:rPr>
          <w:rFonts w:ascii="Times New Roman" w:hAnsi="Times New Roman" w:cs="Times New Roman"/>
        </w:rPr>
        <w:t xml:space="preserve">a </w:t>
      </w:r>
      <w:r w:rsidRPr="005459E6">
        <w:rPr>
          <w:rFonts w:ascii="Times New Roman" w:hAnsi="Times New Roman" w:cs="Times New Roman"/>
        </w:rPr>
        <w:t>Holistic Impact o</w:t>
      </w:r>
      <w:r w:rsidR="00087F8F" w:rsidRPr="005459E6">
        <w:rPr>
          <w:rFonts w:ascii="Times New Roman" w:hAnsi="Times New Roman" w:cs="Times New Roman"/>
        </w:rPr>
        <w:t>n</w:t>
      </w:r>
      <w:r w:rsidRPr="005459E6">
        <w:rPr>
          <w:rFonts w:ascii="Times New Roman" w:hAnsi="Times New Roman" w:cs="Times New Roman"/>
        </w:rPr>
        <w:t xml:space="preserve"> Workplace Productivity. Level III reflects </w:t>
      </w:r>
      <w:r w:rsidR="00087F8F" w:rsidRPr="005459E6">
        <w:rPr>
          <w:rFonts w:ascii="Times New Roman" w:hAnsi="Times New Roman" w:cs="Times New Roman"/>
        </w:rPr>
        <w:t xml:space="preserve">the </w:t>
      </w:r>
      <w:r w:rsidRPr="005459E6">
        <w:rPr>
          <w:rFonts w:ascii="Times New Roman" w:hAnsi="Times New Roman" w:cs="Times New Roman"/>
        </w:rPr>
        <w:t xml:space="preserve">Ecosystemic level that makes use of IoMT and AI technologies for data processing to provide </w:t>
      </w:r>
      <w:r w:rsidR="00087F8F" w:rsidRPr="005459E6">
        <w:rPr>
          <w:rFonts w:ascii="Times New Roman" w:hAnsi="Times New Roman" w:cs="Times New Roman"/>
        </w:rPr>
        <w:t xml:space="preserve">an </w:t>
      </w:r>
      <w:r w:rsidRPr="005459E6">
        <w:rPr>
          <w:rFonts w:ascii="Times New Roman" w:hAnsi="Times New Roman" w:cs="Times New Roman"/>
        </w:rPr>
        <w:t xml:space="preserve">outcome in the form of </w:t>
      </w:r>
      <w:r w:rsidR="00EA50CC" w:rsidRPr="005459E6">
        <w:rPr>
          <w:rFonts w:ascii="Times New Roman" w:hAnsi="Times New Roman" w:cs="Times New Roman"/>
        </w:rPr>
        <w:t>psychological</w:t>
      </w:r>
      <w:r w:rsidRPr="005459E6">
        <w:rPr>
          <w:rFonts w:ascii="Times New Roman" w:hAnsi="Times New Roman" w:cs="Times New Roman"/>
        </w:rPr>
        <w:t xml:space="preserve"> wellbeing</w:t>
      </w:r>
      <w:r w:rsidR="001551E2" w:rsidRPr="005459E6">
        <w:rPr>
          <w:rFonts w:ascii="Times New Roman" w:hAnsi="Times New Roman" w:cs="Times New Roman"/>
        </w:rPr>
        <w:t>.</w:t>
      </w:r>
      <w:r w:rsidR="00F42435" w:rsidRPr="005459E6">
        <w:rPr>
          <w:rFonts w:ascii="Times New Roman" w:hAnsi="Times New Roman" w:cs="Times New Roman"/>
        </w:rPr>
        <w:t xml:space="preserve"> </w:t>
      </w:r>
      <w:r w:rsidR="00187D5A" w:rsidRPr="005459E6">
        <w:rPr>
          <w:rFonts w:ascii="Times New Roman" w:hAnsi="Times New Roman" w:cs="Times New Roman"/>
        </w:rPr>
        <w:t>The mapping of insights from the research with a Multilevel framework aligned using Service-Dominant Logic offers clarity on how augmentation of psychological wellbeing takes place with the help of an A.I. resulting in Workplace Productivity. It interacts at three different levels where the ecosystem level represents psychological Well-being and Organizational Performance.</w:t>
      </w:r>
    </w:p>
    <w:p w14:paraId="376FDA41" w14:textId="78E30A09" w:rsidR="00E96449"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 xml:space="preserve">Continuous Self-Quantification through 'Self-tracking' &amp; 'Nudging' can augment Psychological Well-being driven by Positive emotions. Spatial Flexibility and Cognitive assistance derived from the above mechanism can effectively offer self-efficacy. Additionally, </w:t>
      </w:r>
      <w:r w:rsidR="00FF54FF" w:rsidRPr="005459E6">
        <w:rPr>
          <w:rFonts w:ascii="Times New Roman" w:hAnsi="Times New Roman" w:cs="Times New Roman"/>
        </w:rPr>
        <w:t xml:space="preserve">the </w:t>
      </w:r>
      <w:r w:rsidRPr="005459E6">
        <w:rPr>
          <w:rFonts w:ascii="Times New Roman" w:hAnsi="Times New Roman" w:cs="Times New Roman"/>
        </w:rPr>
        <w:t xml:space="preserve">ML model can complement psychotherapies to minimize </w:t>
      </w:r>
      <w:r w:rsidR="00087F8F" w:rsidRPr="005459E6">
        <w:rPr>
          <w:rFonts w:ascii="Times New Roman" w:hAnsi="Times New Roman" w:cs="Times New Roman"/>
        </w:rPr>
        <w:t xml:space="preserve">the </w:t>
      </w:r>
      <w:r w:rsidRPr="005459E6">
        <w:rPr>
          <w:rFonts w:ascii="Times New Roman" w:hAnsi="Times New Roman" w:cs="Times New Roman"/>
        </w:rPr>
        <w:t xml:space="preserve">time for therapists and maximize access to the patients. </w:t>
      </w:r>
    </w:p>
    <w:p w14:paraId="6B668856" w14:textId="1012AC7C" w:rsidR="00C36C31" w:rsidRPr="005459E6" w:rsidRDefault="00C36C31" w:rsidP="00C36C31">
      <w:pPr>
        <w:spacing w:line="360" w:lineRule="auto"/>
        <w:jc w:val="both"/>
        <w:rPr>
          <w:rFonts w:ascii="Times New Roman" w:hAnsi="Times New Roman" w:cs="Times New Roman"/>
        </w:rPr>
      </w:pPr>
      <w:r w:rsidRPr="005459E6">
        <w:rPr>
          <w:rFonts w:ascii="Times New Roman" w:hAnsi="Times New Roman" w:cs="Times New Roman"/>
        </w:rPr>
        <w:t>The implication of this research can encompass individual and organizational level</w:t>
      </w:r>
      <w:r w:rsidR="00087F8F" w:rsidRPr="005459E6">
        <w:rPr>
          <w:rFonts w:ascii="Times New Roman" w:hAnsi="Times New Roman" w:cs="Times New Roman"/>
        </w:rPr>
        <w:t>s</w:t>
      </w:r>
      <w:r w:rsidRPr="005459E6">
        <w:rPr>
          <w:rFonts w:ascii="Times New Roman" w:hAnsi="Times New Roman" w:cs="Times New Roman"/>
        </w:rPr>
        <w:t xml:space="preserve">. The implications can be seen in the form of reduced treatment Time, minimized costs, and greater access to the healthcare ecosystem that benefits patients as well as therapists.  The Limitations, however, include overfitting of data along with diagnostic sensitivity and observer’s variability while dealing with AI-driven models.  </w:t>
      </w:r>
    </w:p>
    <w:p w14:paraId="4857330A" w14:textId="77777777" w:rsidR="00C36C31" w:rsidRPr="005459E6" w:rsidRDefault="00C36C31" w:rsidP="00C36C31">
      <w:pPr>
        <w:spacing w:line="360" w:lineRule="auto"/>
        <w:jc w:val="both"/>
        <w:rPr>
          <w:rFonts w:ascii="Times New Roman" w:hAnsi="Times New Roman" w:cs="Times New Roman"/>
        </w:rPr>
      </w:pPr>
    </w:p>
    <w:p w14:paraId="213B7F99" w14:textId="77777777" w:rsidR="00187D5A" w:rsidRPr="005459E6" w:rsidRDefault="00187D5A" w:rsidP="00C36C31">
      <w:pPr>
        <w:spacing w:line="360" w:lineRule="auto"/>
        <w:jc w:val="both"/>
        <w:rPr>
          <w:rFonts w:ascii="Times New Roman" w:hAnsi="Times New Roman" w:cs="Times New Roman"/>
        </w:rPr>
      </w:pPr>
    </w:p>
    <w:p w14:paraId="061B483B" w14:textId="77777777" w:rsidR="00187D5A" w:rsidRPr="005459E6" w:rsidRDefault="00187D5A" w:rsidP="00C36C31">
      <w:pPr>
        <w:spacing w:line="360" w:lineRule="auto"/>
        <w:jc w:val="both"/>
        <w:rPr>
          <w:rFonts w:ascii="Times New Roman" w:hAnsi="Times New Roman" w:cs="Times New Roman"/>
        </w:rPr>
      </w:pPr>
    </w:p>
    <w:p w14:paraId="49945A05" w14:textId="48A34708" w:rsidR="00187D5A" w:rsidRPr="005459E6" w:rsidRDefault="00BB7FA0" w:rsidP="00B94B03">
      <w:pPr>
        <w:pStyle w:val="Titolo1"/>
        <w:spacing w:line="360" w:lineRule="auto"/>
        <w:jc w:val="both"/>
        <w:rPr>
          <w:rFonts w:ascii="Times New Roman" w:hAnsi="Times New Roman" w:cs="Times New Roman"/>
          <w:b/>
          <w:bCs/>
          <w:color w:val="auto"/>
          <w:sz w:val="22"/>
          <w:szCs w:val="22"/>
        </w:rPr>
      </w:pPr>
      <w:bookmarkStart w:id="511" w:name="_Toc107248347"/>
      <w:r w:rsidRPr="005459E6">
        <w:rPr>
          <w:rFonts w:ascii="Times New Roman" w:hAnsi="Times New Roman" w:cs="Times New Roman"/>
          <w:b/>
          <w:bCs/>
          <w:color w:val="auto"/>
          <w:sz w:val="22"/>
          <w:szCs w:val="22"/>
        </w:rPr>
        <w:t>CONTRIBUTION</w:t>
      </w:r>
      <w:bookmarkEnd w:id="511"/>
    </w:p>
    <w:p w14:paraId="134D392E" w14:textId="0D3967F0" w:rsidR="00B94B03" w:rsidRPr="005459E6" w:rsidRDefault="00B94B03" w:rsidP="00B94B03"/>
    <w:p w14:paraId="61792128" w14:textId="17EBE074" w:rsidR="00243E3C" w:rsidRPr="005459E6" w:rsidRDefault="00420CF9" w:rsidP="00420CF9">
      <w:pPr>
        <w:spacing w:line="360" w:lineRule="auto"/>
        <w:jc w:val="both"/>
        <w:rPr>
          <w:rFonts w:ascii="Times New Roman" w:hAnsi="Times New Roman" w:cs="Times New Roman"/>
        </w:rPr>
      </w:pPr>
      <w:r w:rsidRPr="005459E6">
        <w:rPr>
          <w:rFonts w:ascii="Times New Roman" w:hAnsi="Times New Roman" w:cs="Times New Roman"/>
        </w:rPr>
        <w:t>Two contributions appear to have been made by the given study:</w:t>
      </w:r>
    </w:p>
    <w:p w14:paraId="7DBBD266" w14:textId="77777777" w:rsidR="00FF54FF" w:rsidRPr="005459E6" w:rsidRDefault="00FF54FF" w:rsidP="00420CF9">
      <w:pPr>
        <w:spacing w:line="360" w:lineRule="auto"/>
        <w:jc w:val="both"/>
        <w:rPr>
          <w:rFonts w:ascii="Times New Roman" w:hAnsi="Times New Roman" w:cs="Times New Roman"/>
        </w:rPr>
      </w:pPr>
    </w:p>
    <w:p w14:paraId="5C942747" w14:textId="77777777" w:rsidR="00420CF9" w:rsidRPr="005459E6" w:rsidRDefault="00420CF9" w:rsidP="00420CF9">
      <w:pPr>
        <w:spacing w:line="360" w:lineRule="auto"/>
        <w:jc w:val="both"/>
        <w:rPr>
          <w:rFonts w:ascii="Times New Roman" w:hAnsi="Times New Roman" w:cs="Times New Roman"/>
        </w:rPr>
      </w:pPr>
      <w:r w:rsidRPr="005459E6">
        <w:rPr>
          <w:rFonts w:ascii="Times New Roman" w:hAnsi="Times New Roman" w:cs="Times New Roman"/>
        </w:rPr>
        <w:t xml:space="preserve">(A) Exploration of the insights using Data science using AI  </w:t>
      </w:r>
    </w:p>
    <w:p w14:paraId="3FE2301C" w14:textId="77777777" w:rsidR="00420CF9" w:rsidRPr="005459E6" w:rsidRDefault="00420CF9" w:rsidP="00420CF9">
      <w:pPr>
        <w:spacing w:line="360" w:lineRule="auto"/>
        <w:jc w:val="both"/>
        <w:rPr>
          <w:rFonts w:ascii="Times New Roman" w:hAnsi="Times New Roman" w:cs="Times New Roman"/>
        </w:rPr>
      </w:pPr>
    </w:p>
    <w:p w14:paraId="3AB3A3B0" w14:textId="77777777" w:rsidR="00420CF9" w:rsidRPr="00126687" w:rsidRDefault="00420CF9" w:rsidP="00420CF9">
      <w:pPr>
        <w:pStyle w:val="Paragrafoelenco"/>
        <w:numPr>
          <w:ilvl w:val="0"/>
          <w:numId w:val="34"/>
        </w:numPr>
        <w:spacing w:before="0" w:line="360" w:lineRule="auto"/>
        <w:jc w:val="both"/>
        <w:rPr>
          <w:rFonts w:ascii="Times New Roman" w:hAnsi="Times New Roman" w:cs="Times New Roman"/>
          <w:b/>
          <w:bCs/>
          <w:sz w:val="22"/>
          <w:szCs w:val="22"/>
        </w:rPr>
      </w:pPr>
      <w:r w:rsidRPr="00126687">
        <w:rPr>
          <w:rFonts w:ascii="Times New Roman" w:hAnsi="Times New Roman" w:cs="Times New Roman"/>
          <w:b/>
          <w:bCs/>
          <w:sz w:val="22"/>
          <w:szCs w:val="22"/>
        </w:rPr>
        <w:t xml:space="preserve">Utilized Data Science due to the large set of the recorded data points </w:t>
      </w:r>
    </w:p>
    <w:p w14:paraId="5B6C19E0" w14:textId="77777777" w:rsidR="00420CF9" w:rsidRPr="005459E6" w:rsidRDefault="00420CF9" w:rsidP="00420CF9">
      <w:pPr>
        <w:pStyle w:val="Paragrafoelenco"/>
        <w:spacing w:before="0" w:line="360" w:lineRule="auto"/>
        <w:jc w:val="both"/>
        <w:rPr>
          <w:rFonts w:ascii="Times New Roman" w:hAnsi="Times New Roman" w:cs="Times New Roman"/>
          <w:b/>
          <w:bCs/>
        </w:rPr>
      </w:pPr>
    </w:p>
    <w:p w14:paraId="04E3A75A" w14:textId="6A0F9A8B" w:rsidR="00420CF9" w:rsidRPr="005459E6" w:rsidRDefault="00420CF9" w:rsidP="00420CF9">
      <w:pPr>
        <w:spacing w:line="360" w:lineRule="auto"/>
        <w:jc w:val="both"/>
        <w:rPr>
          <w:rFonts w:ascii="Times New Roman" w:hAnsi="Times New Roman" w:cs="Times New Roman"/>
        </w:rPr>
      </w:pPr>
      <w:r w:rsidRPr="005459E6">
        <w:rPr>
          <w:rFonts w:ascii="Times New Roman" w:hAnsi="Times New Roman" w:cs="Times New Roman"/>
        </w:rPr>
        <w:fldChar w:fldCharType="begin" w:fldLock="1"/>
      </w:r>
      <w:r w:rsidR="005D2728">
        <w:rPr>
          <w:rFonts w:ascii="Times New Roman" w:hAnsi="Times New Roman" w:cs="Times New Roman"/>
        </w:rPr>
        <w:instrText>ADDIN CSL_CITATION {"citationItems":[{"id":"ITEM-1","itemData":{"DOI":"10.1016/j.jjimei.2021.100017","ISSN":"26670968","abstract":"The importance of data-driven decisions and support is increasing day by day in every management area. The constant access to volume, variety, and veracity of data has made big data an integral part of management studies. New sub-management areas are emerging day by day with the support of big data to drive businesses. This study takes a systematic literature review approach to uncover the emerging management areas supported by big data in contemporary times. For this, we have analyzed the research papers published in the reputed management journals in the last ten years, fir using network analysis followed by natural language processing summarization techniques to find the emerging new management areas which are yet to get much attention. Furthermore, we ran the same exercise in each of these management areas to uncover these areas better. This research will act as a reference for future information systems (IS) scholars who want to perform analysis that is deep-dive in nature on each of these management areas, which in the coming times will get all the due attention to become dedicated research domains in the management area. We finally conclude the study by identifying the scope of future research in each of these management areas, which will be a true value addition for IS researchers.","author":[{"dropping-particle":"","family":"Kushwaha","given":"Amit Kumar","non-dropping-particle":"","parse-names":false,"suffix":""},{"dropping-particle":"","family":"Kar","given":"Arpan Kumar","non-dropping-particle":"","parse-names":false,"suffix":""},{"dropping-particle":"","family":"Dwivedi","given":"Yogesh K.","non-dropping-particle":"","parse-names":false,"suffix":""}],"container-title":"International Journal of Information Management Data Insights","id":"ITEM-1","issue":"2","issued":{"date-parts":[["2021"]]},"page":"100017","publisher":"Elsevier Ltd","title":"Applications of big data in emerging management disciplines: A literature review using text mining","type":"article-journal","volume":"1"},"uris":["http://www.mendeley.com/documents/?uuid=15b03651-dbbf-4152-b98f-921438a85129"]}],"mendeley":{"formattedCitation":"(Kushwaha et al., 2021)","manualFormatting":"Kushwaha et al. (2021)","plainTextFormattedCitation":"(Kushwaha et al., 2021)","previouslyFormattedCitation":"(Kushwaha et al.,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Kushwaha et al.</w:t>
      </w:r>
      <w:r w:rsidR="00FF54FF" w:rsidRPr="005459E6">
        <w:rPr>
          <w:rFonts w:ascii="Times New Roman" w:hAnsi="Times New Roman" w:cs="Times New Roman"/>
          <w:noProof/>
        </w:rPr>
        <w:t xml:space="preserve"> (</w:t>
      </w:r>
      <w:r w:rsidRPr="005459E6">
        <w:rPr>
          <w:rFonts w:ascii="Times New Roman" w:hAnsi="Times New Roman" w:cs="Times New Roman"/>
          <w:noProof/>
        </w:rPr>
        <w:t>2021)</w:t>
      </w:r>
      <w:r w:rsidRPr="005459E6">
        <w:rPr>
          <w:rFonts w:ascii="Times New Roman" w:hAnsi="Times New Roman" w:cs="Times New Roman"/>
        </w:rPr>
        <w:fldChar w:fldCharType="end"/>
      </w:r>
      <w:r w:rsidRPr="005459E6">
        <w:rPr>
          <w:rFonts w:ascii="Times New Roman" w:hAnsi="Times New Roman" w:cs="Times New Roman"/>
        </w:rPr>
        <w:t xml:space="preserve"> demonstrated that using Data Science-based protocols can help future Information Systems scholars deep-dive into healthcare management practices. According to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{"citationItems":[{"id":"ITEM-1","itemData":{"DOI":"10.1016/j.jjimei.2021.100052","ISSN":"26670968","abstract":"Journalism has always remained a vital constituent of our society and journalists play a key role in making people aware of the happenings and developments in society. This spread of information enables shaping the ideologies, orientations and thoughts of individuals as well as the society. Contrary to this, the spread of misinformation or fake news leads to detrimental consequences. With the advent of social media, the menace of fake news has become grievous due to the unrestrained propagation of information and difficulty to track several accounts operated by humans or bots. This menace can be mitigated through data science approaches by combining artificial intelligence with statistics and domain-based knowledge. In this paper, a survey of works aimed at characterization, feature extraction and subsequent detection of fake news has been conducted from a data science perspective. Along with it, an analysis of the 8 renowned fake news detection repositories has been presented. Furthermore, through a case study on tweets related to COVID-19 pandemic, the factors behind the spread of misinformation during critical times, distinguishing between factual and emotional tweets and viable approaches to restrain fake news has been enunciated.","author":[{"dropping-particle":"","family":"Ansar","given":"Wazib","non-dropping-particle":"","parse-names":false,"suffix":""},{"dropping-particle":"","family":"Goswami","given":"Saptarsi","non-dropping-particle":"","parse-names":false,"suffix":""}],"container-title":"International Journal of Information Management Data Insights","id":"ITEM-1","issue":"2","issued":{"date-parts":[["2021"]]},"page":"100052","publisher":"Elsevier Ltd","title":"Combating the menace: A survey on characterization and detection of fake news from a data science perspective","type":"article-journal","volume":"1"},"uris":["http://www.mendeley.com/documents/?uuid=a438f3fa-a2e0-4d01-afe7-7e1378fbaca5"]}],"mendeley":{"formattedCitation":"(Ansar &amp; Goswami, 2021)","plainTextFormattedCitation":"(Ansar &amp; Goswami, 2021)","previouslyFormattedCitation":"(Ansar &amp; Goswami, 2021)"},"properties":{"noteIndex":0},"schema":"https://github.com/citation-style-language/schema/raw/master/csl-citation.json"}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(Ansar &amp; Goswami, 2021)</w:t>
      </w:r>
      <w:r w:rsidRPr="005459E6">
        <w:rPr>
          <w:rFonts w:ascii="Times New Roman" w:hAnsi="Times New Roman" w:cs="Times New Roman"/>
        </w:rPr>
        <w:fldChar w:fldCharType="end"/>
      </w:r>
      <w:r w:rsidRPr="005459E6">
        <w:rPr>
          <w:rFonts w:ascii="Times New Roman" w:hAnsi="Times New Roman" w:cs="Times New Roman"/>
        </w:rPr>
        <w:t xml:space="preserve"> feature extraction through Machine Learning (ML) could provide a sense of strategy making to assist healthcare professionals. </w:t>
      </w:r>
    </w:p>
    <w:p w14:paraId="4B0B7818" w14:textId="120B0D42" w:rsidR="00B94B03" w:rsidRPr="005459E6" w:rsidRDefault="00B94B03" w:rsidP="00420CF9">
      <w:pPr>
        <w:spacing w:line="360" w:lineRule="auto"/>
        <w:jc w:val="both"/>
        <w:rPr>
          <w:rFonts w:ascii="Times New Roman" w:hAnsi="Times New Roman" w:cs="Times New Roman"/>
        </w:rPr>
      </w:pPr>
      <w:r w:rsidRPr="005459E6">
        <w:rPr>
          <w:rFonts w:ascii="Times New Roman" w:hAnsi="Times New Roman" w:cs="Times New Roman"/>
        </w:rPr>
        <w:t>The utility of data science and its algorithms provides a glimpse towards the possibility of using Photoplethysmogram (PPG) to explore new possibilities of preventive healthcare and offers the possibility of incorporating in ‘Digital Twins.’</w:t>
      </w:r>
    </w:p>
    <w:p w14:paraId="54E34E37" w14:textId="77777777" w:rsidR="00B94B03" w:rsidRPr="005459E6" w:rsidRDefault="00B94B03" w:rsidP="00420CF9">
      <w:pPr>
        <w:spacing w:line="360" w:lineRule="auto"/>
        <w:jc w:val="both"/>
        <w:rPr>
          <w:rFonts w:ascii="Times New Roman" w:hAnsi="Times New Roman" w:cs="Times New Roman"/>
        </w:rPr>
      </w:pPr>
    </w:p>
    <w:p w14:paraId="1E9573B8" w14:textId="74C0C07B" w:rsidR="00420CF9" w:rsidRPr="005459E6" w:rsidRDefault="00420CF9" w:rsidP="00420CF9">
      <w:pPr>
        <w:spacing w:line="360" w:lineRule="auto"/>
        <w:jc w:val="both"/>
        <w:rPr>
          <w:rFonts w:ascii="Times New Roman" w:hAnsi="Times New Roman" w:cs="Times New Roman"/>
        </w:rPr>
      </w:pPr>
      <w:r w:rsidRPr="005459E6">
        <w:rPr>
          <w:rFonts w:ascii="Times New Roman" w:hAnsi="Times New Roman" w:cs="Times New Roman"/>
        </w:rPr>
        <w:t>(B) Understanding the benefits of behavioral aspects while using AI</w:t>
      </w:r>
    </w:p>
    <w:p w14:paraId="55B49249" w14:textId="77777777" w:rsidR="00B94B03" w:rsidRPr="005459E6" w:rsidRDefault="00B94B03" w:rsidP="00420CF9">
      <w:pPr>
        <w:spacing w:line="360" w:lineRule="auto"/>
        <w:jc w:val="both"/>
        <w:rPr>
          <w:rFonts w:ascii="Times New Roman" w:hAnsi="Times New Roman" w:cs="Times New Roman"/>
        </w:rPr>
      </w:pPr>
    </w:p>
    <w:p w14:paraId="13476962" w14:textId="7B941E37" w:rsidR="00420CF9" w:rsidRPr="00126687" w:rsidRDefault="00420CF9" w:rsidP="00420CF9">
      <w:pPr>
        <w:pStyle w:val="Paragrafoelenco"/>
        <w:numPr>
          <w:ilvl w:val="0"/>
          <w:numId w:val="34"/>
        </w:numPr>
        <w:spacing w:before="0" w:line="360" w:lineRule="auto"/>
        <w:jc w:val="both"/>
        <w:rPr>
          <w:rFonts w:ascii="Times New Roman" w:hAnsi="Times New Roman" w:cs="Times New Roman"/>
          <w:b/>
          <w:bCs/>
          <w:sz w:val="22"/>
          <w:szCs w:val="22"/>
        </w:rPr>
      </w:pPr>
      <w:r w:rsidRPr="00126687">
        <w:rPr>
          <w:rFonts w:ascii="Times New Roman" w:hAnsi="Times New Roman" w:cs="Times New Roman"/>
          <w:b/>
          <w:bCs/>
          <w:sz w:val="22"/>
          <w:szCs w:val="22"/>
        </w:rPr>
        <w:t>Interlinked interdisciplinary domains such as Management, Technology and Healthcare</w:t>
      </w:r>
    </w:p>
    <w:p w14:paraId="1DE06079" w14:textId="77777777" w:rsidR="00420CF9" w:rsidRPr="005459E6" w:rsidRDefault="00420CF9" w:rsidP="00420CF9">
      <w:pPr>
        <w:spacing w:line="360" w:lineRule="auto"/>
        <w:jc w:val="both"/>
        <w:rPr>
          <w:rFonts w:ascii="Times New Roman" w:hAnsi="Times New Roman" w:cs="Times New Roman"/>
          <w:b/>
          <w:bCs/>
        </w:rPr>
      </w:pPr>
    </w:p>
    <w:p w14:paraId="35A2A29A" w14:textId="294564F3" w:rsidR="00420CF9" w:rsidRPr="005459E6" w:rsidRDefault="00420CF9" w:rsidP="00420CF9">
      <w:pPr>
        <w:spacing w:line="360" w:lineRule="auto"/>
        <w:jc w:val="both"/>
        <w:rPr>
          <w:rFonts w:ascii="Times New Roman" w:hAnsi="Times New Roman" w:cs="Times New Roman"/>
        </w:rPr>
      </w:pPr>
      <w:r w:rsidRPr="005459E6">
        <w:rPr>
          <w:rFonts w:ascii="Times New Roman" w:hAnsi="Times New Roman" w:cs="Times New Roman"/>
        </w:rPr>
        <w:t xml:space="preserve">The research includes simplified logic (using construct) for measuring Psychosomatic Health devised through an extensive literature review </w:t>
      </w:r>
      <w:r w:rsidRPr="005459E6">
        <w:rPr>
          <w:rFonts w:ascii="Times New Roman" w:hAnsi="Times New Roman" w:cs="Times New Roman"/>
        </w:rPr>
        <w:fldChar w:fldCharType="begin" w:fldLock="1"/>
      </w:r>
      <w:r w:rsidRPr="005459E6">
        <w:rPr>
          <w:rFonts w:ascii="Times New Roman" w:hAnsi="Times New Roman" w:cs="Times New Roman"/>
        </w:rPr>
        <w:instrText>ADDIN CSL_CITATION {"citationItems":[{"id":"ITEM-1","itemData":{"DOI":"10.1186/s12889-019-8029-x","ISSN":"14712458","PMID":"31856772","abstract":"Background: Increasing evidence suggests that psychological well-being (PWB) is associated with lower disease and mortality risk, and may be enhanced with relatively low-cost interventions. Yet, dissemination of these interventions remains limited, in part because insufficient attention has been paid to distinct PWB dimensions, which may impact physical health outcomes differently. Methods: This essay first reviews the empirical evidence regarding differential relationships between all-cause mortality and multiple dimensions of PWB (e.g., life purpose, mastery, positive affect, life satisfaction, optimism). Then, individual-level positive psychology interventions aimed at increasing PWB and tested in randomized-controlled trials are reviewed as these allow for easy implementation and potentially broad outreach to improve population well-being, in concert with efforts targeting other established social determinants of health. Results: Several PWB dimensions relate to mortality, with varying strength of evidence. Many of positive psychology trials indicate small-to-moderate improvements in PWB; rigorous institution-level interventions are comparatively few, but preliminary results suggest benefits as well. Examples of existing health policies geared towards the improvement of population well-being are also presented. Future avenues of well-being epidemiological and intervention research, as well as policy implications, are discussed. Conclusions: Although research in the fields of behavioral and psychosomatic medicine, as well as health psychology have substantially contributed to the science of PWB, this body of work has been somewhat overlooked by the public health community. Yet, the growing interest in documenting well-being, in addition to examining its determinants and consequences at a population level may provoke a shift in perspective. To cultivate optimal well-being - mental, physical, social, and spiritual - consideration of a broader set of well-being measures, rigorous studies, and interventions that can be disseminated is critically needed.","author":[{"dropping-particle":"","family":"Trudel-Fitzgerald","given":"Claudia","non-dropping-particle":"","parse-names":false,"suffix":""},{"dropping-particle":"","family":"Millstein","given":"Rachel A.","non-dropping-particle":"","parse-names":false,"suffix":""},{"dropping-particle":"","family":"Hippel","given":"Christiana","non-dropping-particle":"Von","parse-names":false,"suffix":""},{"dropping-particle":"","family":"Howe","given":"Chanelle J.","non-dropping-particle":"","parse-names":false,"suffix":""},{"dropping-particle":"","family":"Tomasso","given":"Linda Powers","non-dropping-particle":"","parse-names":false,"suffix":""},{"dropping-particle":"","family":"Wagner","given":"Gregory R.","non-dropping-particle":"","parse-names":false,"suffix":""},{"dropping-particle":"","family":"Vanderweele","given":"Tyler J.","non-dropping-particle":"","parse-names":false,"suffix":""}],"container-title":"BMC Public Health","id":"ITEM-1","issue":"1","issued":{"date-parts":[["2019"]]},"page":"1-11","publisher":"BMC Public Health","title":"Psychological well-being as part of the public health debate? Insight into dimensions, interventions, and policy","type":"article-journal","volume":"19"},"uris":["http://www.mendeley.com/documents/?uuid=dc661d3f-5659-4ad6-adc4-3f5d1ebda0c6"]},{"id":"ITEM-2","itemData":{"DOI":"10.1016/j.neubiorev.2020.12.002","ISSN":"18737528","PMID":"33307046","abstract":"This review paper provides an integrative account regarding neurophysiological correlates of positive emotions and affect that cumulatively contribute to the scaffolding for happiness and wellbeing in humans and other animals. This paper reviews the associations among neurotransmitters, hormones, brain networks, and cognitive functions in the context of positive emotions and affect. Consideration of lifespan developmental perspectives are incorporated, and we also examine the impact of healthy social relationships and environmental contexts on the modulation of positive emotions and affect. The neurophysiological processes that implement positive emotions are dynamic and modifiable, and meditative practices as well as flow states that change patterns of brain function and ultimately support wellbeing are also discussed. This review is part of “The Human Affectome Project” (http://neuroqualia.org/background.php), and in order to advance a primary aim of the Human Affectome Project, we also reviewed relevant linguistic dimensions and terminology that characterizes positive emotions and wellbeing. These linguistic dimensions are discussed within the context of the neuroscience literature with the overarching goal of generating novel recommendations for advancing neuroscience research on positive emotions and wellbeing.","author":[{"dropping-particle":"","family":"Alexander","given":"Rebecca","non-dropping-particle":"","parse-names":false,"suffix":""},{"dropping-particle":"","family":"Aragón","given":"Oriana R.","non-dropping-particle":"","parse-names":false,"suffix":""},{"dropping-particle":"","family":"Bookwala","given":"Jamila","non-dropping-particle":"","parse-names":false,"suffix":""},{"dropping-particle":"","family":"Cherbuin","given":"Nicolas","non-dropping-particle":"","parse-names":false,"suffix":""},{"dropping-particle":"","family":"Gatt","given":"Justine M.","non-dropping-particle":"","parse-names":false,"suffix":""},{"dropping-particle":"","family":"Kahrilas","given":"Ian J.","non-dropping-particle":"","parse-names":false,"suffix":""},{"dropping-particle":"","family":"Kästner","given":"Niklas","non-dropping-particle":"","parse-names":false,"suffix":""},{"dropping-particle":"","family":"Lawrence","given":"Alistair","non-dropping-particle":"","parse-names":false,"suffix":""},{"dropping-particle":"","family":"Lowe","given":"Leroy","non-dropping-particle":"","parse-names":false,"suffix":""},{"dropping-particle":"","family":"Morrison","given":"Robert G.","non-dropping-particle":"","parse-names":false,"suffix":""},{"dropping-particle":"","family":"Mueller","given":"Sven C.","non-dropping-particle":"","parse-names":false,"suffix":""},{"dropping-particle":"","family":"Nusslock","given":"Robin","non-dropping-particle":"","parse-names":false,"suffix":""},{"dropping-particle":"","family":"Papadelis","given":"Christos","non-dropping-particle":"","parse-names":false,"suffix":""},{"dropping-particle":"","family":"Polnaszek","given":"Kelly L.","non-dropping-particle":"","parse-names":false,"suffix":""},{"dropping-particle":"","family":"Helene Richter","given":"S.","non-dropping-particle":"","parse-names":false,"suffix":""},{"dropping-particle":"","family":"Silton","given":"Rebecca L.","non-dropping-particle":"","parse-names":false,"suffix":""},{"dropping-particle":"","family":"Styliadis","given":"Charis","non-dropping-particle":"","parse-names":false,"suffix":""}],"container-title":"Neuroscience and Biobehavioral Reviews","id":"ITEM-2","issued":{"date-parts":[["2021"]]},"page":"220-249","title":"The neuroscience of positive emotions and affect: Implications for cultivating happiness and wellbeing","type":"article-journal","volume":"121"},"uris":["http://www.mendeley.com/documents/?uuid=0fd8d3e9-7810-4ab5-8976-f84e53c6bda8"]},{"id":"ITEM-3","itemData":{"DOI":"10.1177/1754073917697824","ISSN":"17540739","abstract":"A paradigm shift in public health and medicine has broadened the field from a singular focus on the ill effects of negative states and psychopathology to an expanded view that examines protective psychological assets that may promote improved physical health and longevity. We summarize recent evidence of the link between psychological well-being (including positive affect, optimism, life meaning and purpose, and life satisfaction) and physical health, with particular attention to outcomes of mortality and chronic disease incidence and progression. Within this evolving discipline there remain controversies and lessons to be learned. We discuss measurement-related challenges, concerns about the quality of the evidence, and other shortcomings in the field, along with a brief discussion of hypothesized biobehavioral mechanisms involved. Finally, we suggest next steps to move the field forward.","author":[{"dropping-particle":"","family":"Hernandez","given":"Rosalba","non-dropping-particle":"","parse-names":false,"suffix":""},{"dropping-particle":"","family":"Bassett","given":"Sarah M.","non-dropping-particle":"","parse-names":false,"suffix":""},{"dropping-particle":"","family":"Boughton","given":"Seth W.","non-dropping-particle":"","parse-names":false,"suffix":""},{"dropping-particle":"","family":"Schuette","given":"Stephanie A.","non-dropping-particle":"","parse-names":false,"suffix":""},{"dropping-particle":"","family":"Shiu","given":"Eva W.","non-dropping-particle":"","parse-names":false,"suffix":""},{"dropping-particle":"","family":"Moskowitz","given":"Judith T.","non-dropping-particle":"","parse-names":false,"suffix":""}],"container-title":"Emotion Review","id":"ITEM-3","issue":"1","issued":{"date-parts":[["2018"]]},"page":"18-29","title":"Psychological Well-Being and Physical Health: Associations, Mechanisms, and Future Directions","type":"article-journal","volume":"10"},"uris":["http://www.mendeley.com/documents/?uuid=6fd8a9a9-2729-4160-9739-c5d42b4ecb05"]}],"mendeley":{"formattedCitation":"(Alexander et al., 2021; Hernandez et al., 2018; Trudel-Fitzgerald et al., 2019)","plainTextFormattedCitation":"(Alexander et al., 2021; Hernandez et al., 2018; Trudel-Fitzgerald et al., 2019)","previouslyFormattedCitation":"(Alexander et al., 2021; Hernandez et al., 2018; Trudel-Fitzgerald et al., 2019)"},"properties":{"noteIndex":0},"schema":"https://github.com/citation-style-language/schema/raw/master/csl-citation.json"}</w:instrText>
      </w:r>
      <w:r w:rsidRPr="005459E6">
        <w:rPr>
          <w:rFonts w:ascii="Times New Roman" w:hAnsi="Times New Roman" w:cs="Times New Roman"/>
        </w:rPr>
        <w:fldChar w:fldCharType="separate"/>
      </w:r>
      <w:r w:rsidRPr="005459E6">
        <w:rPr>
          <w:rFonts w:ascii="Times New Roman" w:hAnsi="Times New Roman" w:cs="Times New Roman"/>
          <w:noProof/>
        </w:rPr>
        <w:t>(Alexander et al., 2021; Hernandez et al., 2018; Trudel-Fitzgerald et al., 2019)</w:t>
      </w:r>
      <w:r w:rsidRPr="005459E6">
        <w:rPr>
          <w:rFonts w:ascii="Times New Roman" w:hAnsi="Times New Roman" w:cs="Times New Roman"/>
        </w:rPr>
        <w:fldChar w:fldCharType="end"/>
      </w:r>
      <w:r w:rsidRPr="005459E6">
        <w:rPr>
          <w:rFonts w:ascii="Times New Roman" w:hAnsi="Times New Roman" w:cs="Times New Roman"/>
        </w:rPr>
        <w:t>. Given study connects various domains such as Management, Technology and Healthcare to investigate how brain signals react and interact</w:t>
      </w:r>
      <w:r w:rsidR="00640C78">
        <w:rPr>
          <w:rFonts w:ascii="Times New Roman" w:hAnsi="Times New Roman" w:cs="Times New Roman"/>
        </w:rPr>
        <w:t>.</w:t>
      </w:r>
      <w:r w:rsidR="00F3684F">
        <w:rPr>
          <w:rFonts w:ascii="Times New Roman" w:hAnsi="Times New Roman" w:cs="Times New Roman"/>
        </w:rPr>
        <w:t xml:space="preserve"> </w:t>
      </w:r>
      <w:r w:rsidR="00F3684F" w:rsidRPr="00F3684F">
        <w:rPr>
          <w:rFonts w:ascii="Times New Roman" w:hAnsi="Times New Roman" w:cs="Times New Roman"/>
        </w:rPr>
        <w:t>With the help of Machine Learning and recorded data</w:t>
      </w:r>
      <w:r w:rsidR="005064A0">
        <w:rPr>
          <w:rFonts w:ascii="Times New Roman" w:hAnsi="Times New Roman" w:cs="Times New Roman"/>
        </w:rPr>
        <w:t>,</w:t>
      </w:r>
      <w:r w:rsidR="00F3684F" w:rsidRPr="00F3684F">
        <w:rPr>
          <w:rFonts w:ascii="Times New Roman" w:hAnsi="Times New Roman" w:cs="Times New Roman"/>
        </w:rPr>
        <w:t xml:space="preserve"> it could offer predictive insights </w:t>
      </w:r>
      <w:r w:rsidRPr="005459E6">
        <w:rPr>
          <w:rFonts w:ascii="Times New Roman" w:hAnsi="Times New Roman" w:cs="Times New Roman"/>
        </w:rPr>
        <w:t xml:space="preserve">to comprehend pathways to </w:t>
      </w:r>
      <w:r w:rsidR="00204999">
        <w:rPr>
          <w:rFonts w:ascii="Times New Roman" w:hAnsi="Times New Roman" w:cs="Times New Roman"/>
        </w:rPr>
        <w:t xml:space="preserve">the </w:t>
      </w:r>
      <w:r w:rsidRPr="005459E6">
        <w:rPr>
          <w:rFonts w:ascii="Times New Roman" w:hAnsi="Times New Roman" w:cs="Times New Roman"/>
        </w:rPr>
        <w:t>psychological well-being</w:t>
      </w:r>
      <w:r w:rsidR="005064A0">
        <w:rPr>
          <w:rFonts w:ascii="Times New Roman" w:hAnsi="Times New Roman" w:cs="Times New Roman"/>
        </w:rPr>
        <w:t xml:space="preserve"> of an individual</w:t>
      </w:r>
      <w:r w:rsidRPr="005459E6">
        <w:rPr>
          <w:rFonts w:ascii="Times New Roman" w:hAnsi="Times New Roman" w:cs="Times New Roman"/>
        </w:rPr>
        <w:t>.</w:t>
      </w:r>
    </w:p>
    <w:p w14:paraId="4D1525B0" w14:textId="77777777" w:rsidR="00B94B03" w:rsidRPr="005459E6" w:rsidRDefault="00B94B03" w:rsidP="00B94B03">
      <w:pPr>
        <w:spacing w:line="360" w:lineRule="auto"/>
        <w:jc w:val="both"/>
        <w:rPr>
          <w:rFonts w:ascii="Times New Roman" w:hAnsi="Times New Roman" w:cs="Times New Roman"/>
        </w:rPr>
      </w:pPr>
      <w:r w:rsidRPr="005459E6">
        <w:rPr>
          <w:rFonts w:ascii="Times New Roman" w:hAnsi="Times New Roman" w:cs="Times New Roman"/>
        </w:rPr>
        <w:t xml:space="preserve">Finally, the study shows promise to offer Spatial Flexibility, Self-efficacy, and Cognitive Assistance based on individuals' needs with the possibility of extending it to an organization. </w:t>
      </w:r>
    </w:p>
    <w:p w14:paraId="5E2B9CE7" w14:textId="1B798BA6" w:rsidR="00420CF9" w:rsidRPr="005459E6" w:rsidRDefault="00420CF9" w:rsidP="00420CF9">
      <w:pPr>
        <w:spacing w:line="360" w:lineRule="auto"/>
        <w:jc w:val="both"/>
        <w:rPr>
          <w:rFonts w:ascii="Times New Roman" w:hAnsi="Times New Roman" w:cs="Times New Roman"/>
        </w:rPr>
      </w:pPr>
    </w:p>
    <w:p w14:paraId="5B6FE7DF" w14:textId="4D1162BB" w:rsidR="00A87DE0" w:rsidRPr="005459E6" w:rsidRDefault="00864DC8" w:rsidP="00042CB0">
      <w:pPr>
        <w:pStyle w:val="Titolo1"/>
        <w:spacing w:line="360" w:lineRule="auto"/>
        <w:jc w:val="both"/>
        <w:rPr>
          <w:rFonts w:ascii="Times New Roman" w:hAnsi="Times New Roman" w:cs="Times New Roman"/>
          <w:b/>
          <w:bCs/>
          <w:color w:val="auto"/>
          <w:sz w:val="22"/>
          <w:szCs w:val="22"/>
        </w:rPr>
      </w:pPr>
      <w:bookmarkStart w:id="512" w:name="_Toc107248348"/>
      <w:r w:rsidRPr="005459E6">
        <w:rPr>
          <w:rFonts w:ascii="Times New Roman" w:hAnsi="Times New Roman" w:cs="Times New Roman"/>
          <w:b/>
          <w:bCs/>
          <w:color w:val="auto"/>
          <w:sz w:val="22"/>
          <w:szCs w:val="22"/>
        </w:rPr>
        <w:t>APPENDICES</w:t>
      </w:r>
      <w:bookmarkEnd w:id="508"/>
      <w:bookmarkEnd w:id="509"/>
      <w:bookmarkEnd w:id="510"/>
      <w:bookmarkEnd w:id="512"/>
    </w:p>
    <w:p w14:paraId="29194476" w14:textId="77777777" w:rsidR="0012121D" w:rsidRPr="005459E6" w:rsidRDefault="0012121D" w:rsidP="00042CB0">
      <w:pPr>
        <w:spacing w:line="360" w:lineRule="auto"/>
        <w:rPr>
          <w:rFonts w:ascii="Times New Roman" w:hAnsi="Times New Roman" w:cs="Times New Roman"/>
        </w:rPr>
      </w:pPr>
    </w:p>
    <w:p w14:paraId="49643716" w14:textId="77777777" w:rsidR="0012121D" w:rsidRPr="005459E6" w:rsidRDefault="0012121D" w:rsidP="00042CB0">
      <w:pPr>
        <w:pStyle w:val="Titolo1"/>
        <w:spacing w:line="360" w:lineRule="auto"/>
        <w:jc w:val="both"/>
        <w:rPr>
          <w:rFonts w:ascii="Times New Roman" w:hAnsi="Times New Roman" w:cs="Times New Roman"/>
          <w:color w:val="auto"/>
          <w:sz w:val="24"/>
          <w:szCs w:val="24"/>
        </w:rPr>
      </w:pPr>
      <w:bookmarkStart w:id="513" w:name="_Toc73129078"/>
      <w:bookmarkStart w:id="514" w:name="_Toc85542497"/>
      <w:bookmarkStart w:id="515" w:name="_Toc87349564"/>
      <w:bookmarkStart w:id="516" w:name="_Toc87349677"/>
      <w:bookmarkStart w:id="517" w:name="_Toc87349784"/>
      <w:bookmarkStart w:id="518" w:name="_Toc95929085"/>
      <w:bookmarkStart w:id="519" w:name="_Toc107248349"/>
      <w:r w:rsidRPr="005459E6">
        <w:rPr>
          <w:rFonts w:ascii="Times New Roman" w:hAnsi="Times New Roman" w:cs="Times New Roman"/>
          <w:color w:val="auto"/>
          <w:sz w:val="24"/>
          <w:szCs w:val="24"/>
        </w:rPr>
        <w:t>APPENDIX A: Pilot Study</w:t>
      </w:r>
      <w:bookmarkEnd w:id="513"/>
      <w:bookmarkEnd w:id="514"/>
      <w:bookmarkEnd w:id="515"/>
      <w:bookmarkEnd w:id="516"/>
      <w:bookmarkEnd w:id="517"/>
      <w:bookmarkEnd w:id="518"/>
      <w:bookmarkEnd w:id="519"/>
    </w:p>
    <w:p w14:paraId="24A22721" w14:textId="77777777" w:rsidR="0012121D" w:rsidRPr="005459E6" w:rsidRDefault="0012121D" w:rsidP="00042CB0">
      <w:pPr>
        <w:spacing w:line="360" w:lineRule="auto"/>
        <w:rPr>
          <w:rFonts w:ascii="Times New Roman" w:hAnsi="Times New Roman" w:cs="Times New Roman"/>
          <w:sz w:val="24"/>
          <w:szCs w:val="24"/>
        </w:rPr>
      </w:pPr>
    </w:p>
    <w:p w14:paraId="7BC3D22F" w14:textId="3015066A" w:rsidR="0012121D" w:rsidRPr="005459E6" w:rsidRDefault="0012121D" w:rsidP="00042CB0">
      <w:pPr>
        <w:pStyle w:val="Paragrafoelenco"/>
        <w:numPr>
          <w:ilvl w:val="0"/>
          <w:numId w:val="1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Questionnaire (pilot</w:t>
      </w:r>
      <w:r w:rsidR="00F3684F">
        <w:rPr>
          <w:rFonts w:ascii="Times New Roman" w:hAnsi="Times New Roman" w:cs="Times New Roman"/>
          <w:sz w:val="22"/>
          <w:szCs w:val="22"/>
        </w:rPr>
        <w:t xml:space="preserve"> study</w:t>
      </w:r>
      <w:r w:rsidRPr="005459E6">
        <w:rPr>
          <w:rFonts w:ascii="Times New Roman" w:hAnsi="Times New Roman" w:cs="Times New Roman"/>
          <w:sz w:val="22"/>
          <w:szCs w:val="22"/>
        </w:rPr>
        <w:t>)</w:t>
      </w:r>
    </w:p>
    <w:p w14:paraId="226353EE" w14:textId="13B15580" w:rsidR="0012121D" w:rsidRPr="005459E6" w:rsidRDefault="0012121D" w:rsidP="00042CB0">
      <w:pPr>
        <w:pStyle w:val="Paragrafoelenco"/>
        <w:numPr>
          <w:ilvl w:val="0"/>
          <w:numId w:val="1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Responses (pilot</w:t>
      </w:r>
      <w:r w:rsidR="00F3684F">
        <w:rPr>
          <w:rFonts w:ascii="Times New Roman" w:hAnsi="Times New Roman" w:cs="Times New Roman"/>
          <w:sz w:val="22"/>
          <w:szCs w:val="22"/>
        </w:rPr>
        <w:t xml:space="preserve"> study</w:t>
      </w:r>
      <w:r w:rsidRPr="005459E6">
        <w:rPr>
          <w:rFonts w:ascii="Times New Roman" w:hAnsi="Times New Roman" w:cs="Times New Roman"/>
          <w:sz w:val="22"/>
          <w:szCs w:val="22"/>
        </w:rPr>
        <w:t>)</w:t>
      </w:r>
    </w:p>
    <w:p w14:paraId="579798DE" w14:textId="4B4DD9F7" w:rsidR="0012121D" w:rsidRPr="005459E6" w:rsidRDefault="0012121D" w:rsidP="00042CB0">
      <w:pPr>
        <w:pStyle w:val="Paragrafoelenco"/>
        <w:numPr>
          <w:ilvl w:val="0"/>
          <w:numId w:val="19"/>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Analysis (pilot</w:t>
      </w:r>
      <w:r w:rsidR="00F3684F">
        <w:rPr>
          <w:rFonts w:ascii="Times New Roman" w:hAnsi="Times New Roman" w:cs="Times New Roman"/>
          <w:sz w:val="22"/>
          <w:szCs w:val="22"/>
        </w:rPr>
        <w:t xml:space="preserve"> study</w:t>
      </w:r>
      <w:r w:rsidRPr="005459E6">
        <w:rPr>
          <w:rFonts w:ascii="Times New Roman" w:hAnsi="Times New Roman" w:cs="Times New Roman"/>
          <w:sz w:val="22"/>
          <w:szCs w:val="22"/>
        </w:rPr>
        <w:t>)</w:t>
      </w:r>
    </w:p>
    <w:p w14:paraId="6DD05A75" w14:textId="77777777" w:rsidR="0012121D" w:rsidRPr="005459E6" w:rsidRDefault="0012121D" w:rsidP="00042CB0">
      <w:pPr>
        <w:spacing w:line="360" w:lineRule="auto"/>
        <w:jc w:val="both"/>
        <w:rPr>
          <w:rFonts w:ascii="Times New Roman" w:hAnsi="Times New Roman" w:cs="Times New Roman"/>
          <w:sz w:val="24"/>
          <w:szCs w:val="24"/>
        </w:rPr>
      </w:pPr>
    </w:p>
    <w:p w14:paraId="6D2B243A" w14:textId="77777777" w:rsidR="0012121D" w:rsidRPr="005459E6" w:rsidRDefault="0012121D" w:rsidP="00042CB0">
      <w:pPr>
        <w:pStyle w:val="Titolo1"/>
        <w:spacing w:line="360" w:lineRule="auto"/>
        <w:jc w:val="both"/>
        <w:rPr>
          <w:rFonts w:ascii="Times New Roman" w:hAnsi="Times New Roman" w:cs="Times New Roman"/>
          <w:color w:val="auto"/>
          <w:sz w:val="24"/>
          <w:szCs w:val="24"/>
        </w:rPr>
      </w:pPr>
      <w:bookmarkStart w:id="520" w:name="_Toc73129079"/>
      <w:bookmarkStart w:id="521" w:name="_Toc85542498"/>
      <w:bookmarkStart w:id="522" w:name="_Toc87349565"/>
      <w:bookmarkStart w:id="523" w:name="_Toc87349678"/>
      <w:bookmarkStart w:id="524" w:name="_Toc87349785"/>
      <w:bookmarkStart w:id="525" w:name="_Toc95929086"/>
      <w:bookmarkStart w:id="526" w:name="_Toc107248350"/>
      <w:r w:rsidRPr="005459E6">
        <w:rPr>
          <w:rFonts w:ascii="Times New Roman" w:hAnsi="Times New Roman" w:cs="Times New Roman"/>
          <w:color w:val="auto"/>
          <w:sz w:val="24"/>
          <w:szCs w:val="24"/>
        </w:rPr>
        <w:t xml:space="preserve">APPENDIX B: </w:t>
      </w:r>
      <w:bookmarkStart w:id="527" w:name="_Toc73129080"/>
      <w:bookmarkEnd w:id="520"/>
      <w:bookmarkEnd w:id="521"/>
      <w:bookmarkEnd w:id="522"/>
      <w:bookmarkEnd w:id="523"/>
      <w:bookmarkEnd w:id="524"/>
      <w:bookmarkEnd w:id="525"/>
      <w:r w:rsidRPr="005459E6">
        <w:rPr>
          <w:rFonts w:ascii="Times New Roman" w:hAnsi="Times New Roman" w:cs="Times New Roman"/>
          <w:color w:val="auto"/>
          <w:sz w:val="24"/>
          <w:szCs w:val="24"/>
        </w:rPr>
        <w:t>Survey Questionnaire</w:t>
      </w:r>
      <w:bookmarkEnd w:id="526"/>
    </w:p>
    <w:p w14:paraId="2B19AA4D" w14:textId="77777777" w:rsidR="0012121D" w:rsidRPr="005459E6" w:rsidRDefault="0012121D" w:rsidP="00042CB0">
      <w:pPr>
        <w:spacing w:line="360" w:lineRule="auto"/>
        <w:rPr>
          <w:rFonts w:ascii="Times New Roman" w:hAnsi="Times New Roman" w:cs="Times New Roman"/>
          <w:sz w:val="24"/>
          <w:szCs w:val="24"/>
        </w:rPr>
      </w:pPr>
    </w:p>
    <w:p w14:paraId="12A70EBD" w14:textId="5A7D247A" w:rsidR="0012121D" w:rsidRPr="005459E6" w:rsidRDefault="0012121D" w:rsidP="00042CB0">
      <w:pPr>
        <w:pStyle w:val="Paragrafoelenco"/>
        <w:numPr>
          <w:ilvl w:val="0"/>
          <w:numId w:val="2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Questionnaire (main</w:t>
      </w:r>
      <w:r w:rsidR="00F3684F">
        <w:rPr>
          <w:rFonts w:ascii="Times New Roman" w:hAnsi="Times New Roman" w:cs="Times New Roman"/>
          <w:sz w:val="22"/>
          <w:szCs w:val="22"/>
        </w:rPr>
        <w:t xml:space="preserve"> study</w:t>
      </w:r>
      <w:r w:rsidRPr="005459E6">
        <w:rPr>
          <w:rFonts w:ascii="Times New Roman" w:hAnsi="Times New Roman" w:cs="Times New Roman"/>
          <w:sz w:val="22"/>
          <w:szCs w:val="22"/>
        </w:rPr>
        <w:t>)</w:t>
      </w:r>
    </w:p>
    <w:p w14:paraId="2DED1611" w14:textId="187C4D81" w:rsidR="0012121D" w:rsidRPr="005459E6" w:rsidRDefault="0012121D" w:rsidP="00042CB0">
      <w:pPr>
        <w:pStyle w:val="Paragrafoelenco"/>
        <w:numPr>
          <w:ilvl w:val="0"/>
          <w:numId w:val="2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Dataset (main) (</w:t>
      </w:r>
      <w:r w:rsidR="00274CA2" w:rsidRPr="005459E6">
        <w:rPr>
          <w:rFonts w:ascii="Times New Roman" w:hAnsi="Times New Roman" w:cs="Times New Roman"/>
          <w:sz w:val="22"/>
          <w:szCs w:val="22"/>
        </w:rPr>
        <w:t>Stages</w:t>
      </w:r>
      <w:r w:rsidRPr="005459E6">
        <w:rPr>
          <w:rFonts w:ascii="Times New Roman" w:hAnsi="Times New Roman" w:cs="Times New Roman"/>
          <w:sz w:val="22"/>
          <w:szCs w:val="22"/>
        </w:rPr>
        <w:t xml:space="preserve"> III &amp; IV)</w:t>
      </w:r>
    </w:p>
    <w:p w14:paraId="7B7466DC" w14:textId="7CA68104" w:rsidR="0012121D" w:rsidRPr="005459E6" w:rsidRDefault="0012121D" w:rsidP="00042CB0">
      <w:pPr>
        <w:pStyle w:val="Paragrafoelenco"/>
        <w:numPr>
          <w:ilvl w:val="0"/>
          <w:numId w:val="20"/>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Analysis (main) (</w:t>
      </w:r>
      <w:r w:rsidR="00274CA2" w:rsidRPr="005459E6">
        <w:rPr>
          <w:rFonts w:ascii="Times New Roman" w:hAnsi="Times New Roman" w:cs="Times New Roman"/>
          <w:sz w:val="22"/>
          <w:szCs w:val="22"/>
        </w:rPr>
        <w:t>Stages</w:t>
      </w:r>
      <w:r w:rsidRPr="005459E6">
        <w:rPr>
          <w:rFonts w:ascii="Times New Roman" w:hAnsi="Times New Roman" w:cs="Times New Roman"/>
          <w:sz w:val="22"/>
          <w:szCs w:val="22"/>
        </w:rPr>
        <w:t xml:space="preserve"> III &amp; IV)</w:t>
      </w:r>
    </w:p>
    <w:p w14:paraId="3B9AFA36" w14:textId="77777777" w:rsidR="0012121D" w:rsidRPr="005459E6" w:rsidRDefault="0012121D" w:rsidP="00042CB0">
      <w:pPr>
        <w:spacing w:line="360" w:lineRule="auto"/>
        <w:jc w:val="both"/>
        <w:rPr>
          <w:rFonts w:ascii="Times New Roman" w:hAnsi="Times New Roman" w:cs="Times New Roman"/>
          <w:sz w:val="24"/>
          <w:szCs w:val="24"/>
        </w:rPr>
      </w:pPr>
    </w:p>
    <w:p w14:paraId="437DBFDC" w14:textId="77777777" w:rsidR="0012121D" w:rsidRPr="005459E6" w:rsidRDefault="0012121D" w:rsidP="00042CB0">
      <w:pPr>
        <w:pStyle w:val="Titolo1"/>
        <w:spacing w:line="360" w:lineRule="auto"/>
        <w:jc w:val="both"/>
        <w:rPr>
          <w:rFonts w:ascii="Times New Roman" w:hAnsi="Times New Roman" w:cs="Times New Roman"/>
          <w:color w:val="auto"/>
          <w:sz w:val="24"/>
          <w:szCs w:val="24"/>
        </w:rPr>
      </w:pPr>
      <w:bookmarkStart w:id="528" w:name="_Toc85542500"/>
      <w:bookmarkStart w:id="529" w:name="_Toc87349567"/>
      <w:bookmarkStart w:id="530" w:name="_Toc87349680"/>
      <w:bookmarkStart w:id="531" w:name="_Toc87349787"/>
      <w:bookmarkStart w:id="532" w:name="_Toc95929088"/>
      <w:bookmarkStart w:id="533" w:name="_Toc107248351"/>
      <w:r w:rsidRPr="005459E6">
        <w:rPr>
          <w:rFonts w:ascii="Times New Roman" w:hAnsi="Times New Roman" w:cs="Times New Roman"/>
          <w:color w:val="auto"/>
          <w:sz w:val="24"/>
          <w:szCs w:val="24"/>
        </w:rPr>
        <w:t>APPENDIX C: Codebook of Qualitative Content Analysis</w:t>
      </w:r>
      <w:bookmarkEnd w:id="528"/>
      <w:bookmarkEnd w:id="529"/>
      <w:bookmarkEnd w:id="530"/>
      <w:bookmarkEnd w:id="531"/>
      <w:bookmarkEnd w:id="532"/>
      <w:bookmarkEnd w:id="533"/>
    </w:p>
    <w:p w14:paraId="4A363762" w14:textId="05BF925A" w:rsidR="0012121D" w:rsidRPr="005459E6" w:rsidRDefault="0012121D" w:rsidP="00042CB0">
      <w:pPr>
        <w:spacing w:line="360" w:lineRule="auto"/>
        <w:jc w:val="both"/>
        <w:rPr>
          <w:rFonts w:ascii="Times New Roman" w:hAnsi="Times New Roman" w:cs="Times New Roman"/>
          <w:sz w:val="24"/>
          <w:szCs w:val="24"/>
        </w:rPr>
      </w:pPr>
      <w:r w:rsidRPr="005459E6">
        <w:rPr>
          <w:rFonts w:ascii="Times New Roman" w:hAnsi="Times New Roman" w:cs="Times New Roman"/>
          <w:sz w:val="24"/>
          <w:szCs w:val="24"/>
        </w:rPr>
        <w:t>Codebook exported from NVivo</w:t>
      </w:r>
      <w:r w:rsidR="00F3684F">
        <w:rPr>
          <w:rFonts w:ascii="Times New Roman" w:hAnsi="Times New Roman" w:cs="Times New Roman"/>
          <w:sz w:val="24"/>
          <w:szCs w:val="24"/>
        </w:rPr>
        <w:t xml:space="preserve"> software</w:t>
      </w:r>
    </w:p>
    <w:p w14:paraId="1CF789FD" w14:textId="77777777" w:rsidR="0012121D" w:rsidRPr="005459E6" w:rsidRDefault="0012121D" w:rsidP="00042CB0">
      <w:pPr>
        <w:spacing w:line="360" w:lineRule="auto"/>
        <w:jc w:val="both"/>
        <w:rPr>
          <w:rFonts w:ascii="Times New Roman" w:hAnsi="Times New Roman" w:cs="Times New Roman"/>
          <w:sz w:val="24"/>
          <w:szCs w:val="24"/>
        </w:rPr>
      </w:pPr>
      <w:bookmarkStart w:id="534" w:name="_Toc73129082"/>
      <w:bookmarkEnd w:id="527"/>
    </w:p>
    <w:p w14:paraId="5F756B27" w14:textId="77777777" w:rsidR="0012121D" w:rsidRPr="005459E6" w:rsidRDefault="0012121D" w:rsidP="00042CB0">
      <w:pPr>
        <w:pStyle w:val="Titolo1"/>
        <w:spacing w:line="360" w:lineRule="auto"/>
        <w:jc w:val="both"/>
        <w:rPr>
          <w:rFonts w:ascii="Times New Roman" w:hAnsi="Times New Roman" w:cs="Times New Roman"/>
          <w:color w:val="auto"/>
          <w:sz w:val="24"/>
          <w:szCs w:val="24"/>
        </w:rPr>
      </w:pPr>
      <w:bookmarkStart w:id="535" w:name="_Toc85542501"/>
      <w:bookmarkStart w:id="536" w:name="_Toc87349568"/>
      <w:bookmarkStart w:id="537" w:name="_Toc87349681"/>
      <w:bookmarkStart w:id="538" w:name="_Toc87349788"/>
      <w:bookmarkStart w:id="539" w:name="_Toc95929089"/>
      <w:bookmarkStart w:id="540" w:name="_Toc107248352"/>
      <w:r w:rsidRPr="005459E6">
        <w:rPr>
          <w:rFonts w:ascii="Times New Roman" w:hAnsi="Times New Roman" w:cs="Times New Roman"/>
          <w:color w:val="auto"/>
          <w:sz w:val="24"/>
          <w:szCs w:val="24"/>
        </w:rPr>
        <w:t>APPENDIX D: Dataset &amp; Code Snippets</w:t>
      </w:r>
      <w:bookmarkEnd w:id="534"/>
      <w:bookmarkEnd w:id="535"/>
      <w:bookmarkEnd w:id="536"/>
      <w:bookmarkEnd w:id="537"/>
      <w:bookmarkEnd w:id="538"/>
      <w:bookmarkEnd w:id="539"/>
      <w:bookmarkEnd w:id="540"/>
    </w:p>
    <w:p w14:paraId="369C9282" w14:textId="77777777" w:rsidR="0012121D" w:rsidRPr="005459E6" w:rsidRDefault="0012121D" w:rsidP="00042CB0">
      <w:pPr>
        <w:spacing w:line="360" w:lineRule="auto"/>
        <w:rPr>
          <w:rFonts w:ascii="Times New Roman" w:hAnsi="Times New Roman" w:cs="Times New Roman"/>
          <w:sz w:val="24"/>
          <w:szCs w:val="24"/>
        </w:rPr>
      </w:pPr>
    </w:p>
    <w:p w14:paraId="2FAD48D0" w14:textId="77777777" w:rsidR="0012121D" w:rsidRPr="005459E6" w:rsidRDefault="0012121D" w:rsidP="00042CB0">
      <w:pPr>
        <w:pStyle w:val="Paragrafoelenco"/>
        <w:numPr>
          <w:ilvl w:val="0"/>
          <w:numId w:val="21"/>
        </w:numPr>
        <w:spacing w:before="0" w:after="160" w:line="360" w:lineRule="auto"/>
        <w:rPr>
          <w:rFonts w:ascii="Times New Roman" w:hAnsi="Times New Roman" w:cs="Times New Roman"/>
          <w:sz w:val="22"/>
          <w:szCs w:val="22"/>
        </w:rPr>
      </w:pPr>
      <w:r w:rsidRPr="005459E6">
        <w:rPr>
          <w:rFonts w:ascii="Times New Roman" w:hAnsi="Times New Roman" w:cs="Times New Roman"/>
          <w:sz w:val="22"/>
          <w:szCs w:val="22"/>
        </w:rPr>
        <w:t>Dataset (Master)</w:t>
      </w:r>
    </w:p>
    <w:p w14:paraId="25CF2742" w14:textId="77777777" w:rsidR="0012121D" w:rsidRPr="005459E6" w:rsidRDefault="0012121D" w:rsidP="00042CB0">
      <w:pPr>
        <w:pStyle w:val="Paragrafoelenco"/>
        <w:numPr>
          <w:ilvl w:val="0"/>
          <w:numId w:val="21"/>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Python script exported from BigML</w:t>
      </w:r>
    </w:p>
    <w:p w14:paraId="1721E4B3" w14:textId="02590FC2" w:rsidR="0012121D" w:rsidRPr="005459E6" w:rsidRDefault="0012121D" w:rsidP="00042CB0">
      <w:pPr>
        <w:pStyle w:val="Paragrafoelenco"/>
        <w:numPr>
          <w:ilvl w:val="0"/>
          <w:numId w:val="21"/>
        </w:numPr>
        <w:spacing w:before="0" w:after="160" w:line="360" w:lineRule="auto"/>
        <w:jc w:val="both"/>
        <w:rPr>
          <w:rFonts w:ascii="Times New Roman" w:hAnsi="Times New Roman" w:cs="Times New Roman"/>
          <w:sz w:val="22"/>
          <w:szCs w:val="22"/>
        </w:rPr>
      </w:pPr>
      <w:r w:rsidRPr="005459E6">
        <w:rPr>
          <w:rFonts w:ascii="Times New Roman" w:hAnsi="Times New Roman" w:cs="Times New Roman"/>
          <w:sz w:val="22"/>
          <w:szCs w:val="22"/>
        </w:rPr>
        <w:t>Batch Prediction</w:t>
      </w:r>
      <w:r w:rsidR="00F3684F">
        <w:rPr>
          <w:rFonts w:ascii="Times New Roman" w:hAnsi="Times New Roman" w:cs="Times New Roman"/>
          <w:sz w:val="22"/>
          <w:szCs w:val="22"/>
        </w:rPr>
        <w:t>s</w:t>
      </w:r>
      <w:r w:rsidR="00BF2534">
        <w:rPr>
          <w:rFonts w:ascii="Times New Roman" w:hAnsi="Times New Roman" w:cs="Times New Roman"/>
          <w:sz w:val="22"/>
          <w:szCs w:val="22"/>
        </w:rPr>
        <w:t xml:space="preserve"> </w:t>
      </w:r>
    </w:p>
    <w:p w14:paraId="0A4F52B7" w14:textId="77777777" w:rsidR="0012121D" w:rsidRPr="005459E6" w:rsidRDefault="0012121D" w:rsidP="00042CB0">
      <w:pPr>
        <w:spacing w:line="360" w:lineRule="auto"/>
        <w:jc w:val="both"/>
        <w:rPr>
          <w:rFonts w:ascii="Times New Roman" w:hAnsi="Times New Roman" w:cs="Times New Roman"/>
          <w:sz w:val="24"/>
          <w:szCs w:val="24"/>
        </w:rPr>
      </w:pPr>
    </w:p>
    <w:p w14:paraId="2024E5FD" w14:textId="77777777" w:rsidR="0012121D" w:rsidRPr="005459E6" w:rsidRDefault="0012121D" w:rsidP="00042CB0">
      <w:pPr>
        <w:pStyle w:val="Titolo1"/>
        <w:spacing w:line="360" w:lineRule="auto"/>
        <w:jc w:val="both"/>
        <w:rPr>
          <w:rFonts w:ascii="Times New Roman" w:hAnsi="Times New Roman" w:cs="Times New Roman"/>
          <w:color w:val="auto"/>
          <w:sz w:val="24"/>
          <w:szCs w:val="24"/>
        </w:rPr>
      </w:pPr>
      <w:bookmarkStart w:id="541" w:name="_Toc85542505"/>
      <w:bookmarkStart w:id="542" w:name="_Toc87349572"/>
      <w:bookmarkStart w:id="543" w:name="_Toc87349685"/>
      <w:bookmarkStart w:id="544" w:name="_Toc87349792"/>
      <w:bookmarkStart w:id="545" w:name="_Toc95929093"/>
      <w:bookmarkStart w:id="546" w:name="_Toc107248353"/>
      <w:r w:rsidRPr="005459E6">
        <w:rPr>
          <w:rFonts w:ascii="Times New Roman" w:hAnsi="Times New Roman" w:cs="Times New Roman"/>
          <w:color w:val="auto"/>
          <w:sz w:val="24"/>
          <w:szCs w:val="24"/>
        </w:rPr>
        <w:t>APPENDIX E: GDPR Compliance Statement</w:t>
      </w:r>
      <w:bookmarkEnd w:id="541"/>
      <w:bookmarkEnd w:id="542"/>
      <w:bookmarkEnd w:id="543"/>
      <w:bookmarkEnd w:id="544"/>
      <w:bookmarkEnd w:id="545"/>
      <w:bookmarkEnd w:id="546"/>
    </w:p>
    <w:p w14:paraId="4297D488" w14:textId="77777777" w:rsidR="0012121D" w:rsidRPr="005459E6" w:rsidRDefault="0012121D" w:rsidP="00042CB0">
      <w:pPr>
        <w:spacing w:line="360" w:lineRule="auto"/>
        <w:jc w:val="both"/>
        <w:rPr>
          <w:rFonts w:ascii="Times New Roman" w:hAnsi="Times New Roman" w:cs="Times New Roman"/>
          <w:sz w:val="24"/>
          <w:szCs w:val="24"/>
        </w:rPr>
      </w:pPr>
      <w:r w:rsidRPr="005459E6">
        <w:rPr>
          <w:rFonts w:ascii="Times New Roman" w:hAnsi="Times New Roman" w:cs="Times New Roman"/>
          <w:sz w:val="24"/>
          <w:szCs w:val="24"/>
        </w:rPr>
        <w:t xml:space="preserve">Compliance statement    </w:t>
      </w:r>
    </w:p>
    <w:p w14:paraId="439C2493" w14:textId="77777777" w:rsidR="00965E5C" w:rsidRPr="005459E6" w:rsidRDefault="00965E5C" w:rsidP="00042CB0">
      <w:pPr>
        <w:spacing w:line="360" w:lineRule="auto"/>
        <w:jc w:val="both"/>
        <w:rPr>
          <w:rFonts w:ascii="Times New Roman" w:hAnsi="Times New Roman" w:cs="Times New Roman"/>
        </w:rPr>
      </w:pPr>
    </w:p>
    <w:p w14:paraId="524EAD14" w14:textId="598E5C9D" w:rsidR="00E366A5" w:rsidRPr="005459E6" w:rsidRDefault="00161409" w:rsidP="00042CB0">
      <w:pPr>
        <w:pStyle w:val="Titolo1"/>
        <w:spacing w:line="360" w:lineRule="auto"/>
        <w:jc w:val="both"/>
        <w:rPr>
          <w:rFonts w:ascii="Times New Roman" w:hAnsi="Times New Roman" w:cs="Times New Roman"/>
          <w:b/>
          <w:bCs/>
          <w:color w:val="auto"/>
          <w:sz w:val="22"/>
          <w:szCs w:val="22"/>
        </w:rPr>
      </w:pPr>
      <w:bookmarkStart w:id="547" w:name="_Toc107248354"/>
      <w:r w:rsidRPr="005459E6">
        <w:rPr>
          <w:rFonts w:ascii="Times New Roman" w:hAnsi="Times New Roman" w:cs="Times New Roman"/>
          <w:b/>
          <w:bCs/>
          <w:color w:val="auto"/>
          <w:sz w:val="22"/>
          <w:szCs w:val="22"/>
        </w:rPr>
        <w:t xml:space="preserve">List of </w:t>
      </w:r>
      <w:r w:rsidR="00EC4CE0" w:rsidRPr="005459E6">
        <w:rPr>
          <w:rFonts w:ascii="Times New Roman" w:hAnsi="Times New Roman" w:cs="Times New Roman"/>
          <w:b/>
          <w:bCs/>
          <w:color w:val="auto"/>
          <w:sz w:val="22"/>
          <w:szCs w:val="22"/>
        </w:rPr>
        <w:t>Illustrations</w:t>
      </w:r>
      <w:bookmarkEnd w:id="547"/>
    </w:p>
    <w:p w14:paraId="65DE32C2" w14:textId="6B4CD5B5" w:rsidR="005106E3" w:rsidRPr="005459E6" w:rsidRDefault="00C3755C" w:rsidP="005106E3">
      <w:pPr>
        <w:spacing w:line="360" w:lineRule="auto"/>
        <w:jc w:val="both"/>
        <w:rPr>
          <w:rFonts w:ascii="Times New Roman" w:hAnsi="Times New Roman" w:cs="Times New Roman"/>
          <w:b/>
          <w:bCs/>
        </w:rPr>
      </w:pPr>
      <w:r w:rsidRPr="005459E6">
        <w:rPr>
          <w:rFonts w:ascii="Times New Roman" w:hAnsi="Times New Roman" w:cs="Times New Roman"/>
          <w:b/>
          <w:bCs/>
        </w:rPr>
        <w:t>Figures</w:t>
      </w:r>
      <w:r w:rsidR="005106E3" w:rsidRPr="005459E6">
        <w:rPr>
          <w:rFonts w:ascii="Times New Roman" w:hAnsi="Times New Roman" w:cs="Times New Roman"/>
        </w:rPr>
        <w:fldChar w:fldCharType="begin"/>
      </w:r>
      <w:r w:rsidR="005106E3" w:rsidRPr="005459E6">
        <w:rPr>
          <w:rFonts w:ascii="Times New Roman" w:hAnsi="Times New Roman" w:cs="Times New Roman"/>
        </w:rPr>
        <w:instrText xml:space="preserve"> TOC \h \z \c "Figure" </w:instrText>
      </w:r>
      <w:r w:rsidR="005106E3" w:rsidRPr="005459E6">
        <w:rPr>
          <w:rFonts w:ascii="Times New Roman" w:hAnsi="Times New Roman" w:cs="Times New Roman"/>
        </w:rPr>
        <w:fldChar w:fldCharType="separate"/>
      </w:r>
    </w:p>
    <w:p w14:paraId="184E18B7" w14:textId="422D5D1F"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87" w:history="1">
        <w:r w:rsidR="005106E3" w:rsidRPr="005459E6">
          <w:rPr>
            <w:rStyle w:val="Collegamentoipertestuale"/>
            <w:rFonts w:ascii="Times New Roman" w:hAnsi="Times New Roman" w:cs="Times New Roman"/>
            <w:noProof/>
            <w:color w:val="auto"/>
          </w:rPr>
          <w:t>Figure 1: Application of A.I. and IoMT in Healthcare</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_Toc104968787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16</w:t>
        </w:r>
        <w:r w:rsidR="005106E3" w:rsidRPr="005459E6">
          <w:rPr>
            <w:rFonts w:ascii="Times New Roman" w:hAnsi="Times New Roman" w:cs="Times New Roman"/>
            <w:noProof/>
            <w:webHidden/>
          </w:rPr>
          <w:fldChar w:fldCharType="end"/>
        </w:r>
      </w:hyperlink>
    </w:p>
    <w:p w14:paraId="0716EEF7" w14:textId="5C7F024B"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88" w:history="1">
        <w:r w:rsidR="005106E3" w:rsidRPr="005459E6">
          <w:rPr>
            <w:rStyle w:val="Collegamentoipertestuale"/>
            <w:rFonts w:ascii="Times New Roman" w:hAnsi="Times New Roman" w:cs="Times New Roman"/>
            <w:noProof/>
            <w:color w:val="auto"/>
          </w:rPr>
          <w:t>Figure 2: Effectiveness of self-tracking technologies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_Toc104968788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21</w:t>
        </w:r>
        <w:r w:rsidR="005106E3" w:rsidRPr="005459E6">
          <w:rPr>
            <w:rFonts w:ascii="Times New Roman" w:hAnsi="Times New Roman" w:cs="Times New Roman"/>
            <w:noProof/>
            <w:webHidden/>
          </w:rPr>
          <w:fldChar w:fldCharType="end"/>
        </w:r>
      </w:hyperlink>
    </w:p>
    <w:p w14:paraId="15DA1BFA" w14:textId="699DBCF4"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89" w:history="1">
        <w:r w:rsidR="005106E3" w:rsidRPr="005459E6">
          <w:rPr>
            <w:rStyle w:val="Collegamentoipertestuale"/>
            <w:rFonts w:ascii="Times New Roman" w:hAnsi="Times New Roman" w:cs="Times New Roman"/>
            <w:bCs/>
            <w:noProof/>
            <w:color w:val="auto"/>
          </w:rPr>
          <w:t>Figure 3</w:t>
        </w:r>
        <w:r w:rsidR="005106E3" w:rsidRPr="005459E6">
          <w:rPr>
            <w:rStyle w:val="Collegamentoipertestuale"/>
            <w:rFonts w:ascii="Times New Roman" w:hAnsi="Times New Roman" w:cs="Times New Roman"/>
            <w:noProof/>
            <w:color w:val="auto"/>
          </w:rPr>
          <w:t>: Conception and Categorization of Psychological Well-being</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_Toc104968789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24</w:t>
        </w:r>
        <w:r w:rsidR="005106E3" w:rsidRPr="005459E6">
          <w:rPr>
            <w:rFonts w:ascii="Times New Roman" w:hAnsi="Times New Roman" w:cs="Times New Roman"/>
            <w:noProof/>
            <w:webHidden/>
          </w:rPr>
          <w:fldChar w:fldCharType="end"/>
        </w:r>
      </w:hyperlink>
    </w:p>
    <w:p w14:paraId="6B6FF9AB" w14:textId="79E8B685"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0" w:history="1">
        <w:r w:rsidR="005106E3" w:rsidRPr="005459E6">
          <w:rPr>
            <w:rStyle w:val="Collegamentoipertestuale"/>
            <w:rFonts w:ascii="Times New Roman" w:hAnsi="Times New Roman" w:cs="Times New Roman"/>
            <w:noProof/>
            <w:color w:val="auto"/>
          </w:rPr>
          <w:t>Figure 4:  A Conceptual Model of Correlations of Positive Emotions that Influence Well-being</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_Toc104968790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25</w:t>
        </w:r>
        <w:r w:rsidR="005106E3" w:rsidRPr="005459E6">
          <w:rPr>
            <w:rFonts w:ascii="Times New Roman" w:hAnsi="Times New Roman" w:cs="Times New Roman"/>
            <w:noProof/>
            <w:webHidden/>
          </w:rPr>
          <w:fldChar w:fldCharType="end"/>
        </w:r>
      </w:hyperlink>
    </w:p>
    <w:p w14:paraId="41CA09A3" w14:textId="28F06288"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1" w:history="1">
        <w:r w:rsidR="005106E3" w:rsidRPr="005459E6">
          <w:rPr>
            <w:rStyle w:val="Collegamentoipertestuale"/>
            <w:rFonts w:ascii="Times New Roman" w:hAnsi="Times New Roman" w:cs="Times New Roman"/>
            <w:noProof/>
            <w:color w:val="auto"/>
          </w:rPr>
          <w:t>Figure 5: Terminologies addressing Well-being</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_Toc104968791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26</w:t>
        </w:r>
        <w:r w:rsidR="005106E3" w:rsidRPr="005459E6">
          <w:rPr>
            <w:rFonts w:ascii="Times New Roman" w:hAnsi="Times New Roman" w:cs="Times New Roman"/>
            <w:noProof/>
            <w:webHidden/>
          </w:rPr>
          <w:fldChar w:fldCharType="end"/>
        </w:r>
      </w:hyperlink>
    </w:p>
    <w:p w14:paraId="7EE07712" w14:textId="1D6101D3"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2" w:history="1">
        <w:r w:rsidR="005106E3" w:rsidRPr="005459E6">
          <w:rPr>
            <w:rStyle w:val="Collegamentoipertestuale"/>
            <w:rFonts w:ascii="Times New Roman" w:hAnsi="Times New Roman" w:cs="Times New Roman"/>
            <w:noProof/>
            <w:color w:val="auto"/>
          </w:rPr>
          <w:t>Figure 6: Representation of Exploratory Research Design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_Toc104968792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39</w:t>
        </w:r>
        <w:r w:rsidR="005106E3" w:rsidRPr="005459E6">
          <w:rPr>
            <w:rFonts w:ascii="Times New Roman" w:hAnsi="Times New Roman" w:cs="Times New Roman"/>
            <w:noProof/>
            <w:webHidden/>
          </w:rPr>
          <w:fldChar w:fldCharType="end"/>
        </w:r>
      </w:hyperlink>
    </w:p>
    <w:p w14:paraId="0444EAF9" w14:textId="7CF64E61"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3" w:history="1">
        <w:r w:rsidR="005106E3" w:rsidRPr="005459E6">
          <w:rPr>
            <w:rStyle w:val="Collegamentoipertestuale"/>
            <w:rFonts w:ascii="Times New Roman" w:hAnsi="Times New Roman" w:cs="Times New Roman"/>
            <w:noProof/>
            <w:color w:val="auto"/>
          </w:rPr>
          <w:t>Figure 7: Overview of Research Design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_Toc104968793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42</w:t>
        </w:r>
        <w:r w:rsidR="005106E3" w:rsidRPr="005459E6">
          <w:rPr>
            <w:rFonts w:ascii="Times New Roman" w:hAnsi="Times New Roman" w:cs="Times New Roman"/>
            <w:noProof/>
            <w:webHidden/>
          </w:rPr>
          <w:fldChar w:fldCharType="end"/>
        </w:r>
      </w:hyperlink>
    </w:p>
    <w:p w14:paraId="62F708A1" w14:textId="32147C4C"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4" w:history="1">
        <w:r w:rsidR="005106E3" w:rsidRPr="005459E6">
          <w:rPr>
            <w:rStyle w:val="Collegamentoipertestuale"/>
            <w:rFonts w:ascii="Times New Roman" w:hAnsi="Times New Roman" w:cs="Times New Roman"/>
            <w:noProof/>
            <w:color w:val="auto"/>
          </w:rPr>
          <w:t>Figure 8: Emotiv device and its features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_Toc104968794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51</w:t>
        </w:r>
        <w:r w:rsidR="005106E3" w:rsidRPr="005459E6">
          <w:rPr>
            <w:rFonts w:ascii="Times New Roman" w:hAnsi="Times New Roman" w:cs="Times New Roman"/>
            <w:noProof/>
            <w:webHidden/>
          </w:rPr>
          <w:fldChar w:fldCharType="end"/>
        </w:r>
      </w:hyperlink>
    </w:p>
    <w:p w14:paraId="3A12EED7" w14:textId="01427676"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5" w:history="1">
        <w:r w:rsidR="005106E3" w:rsidRPr="005459E6">
          <w:rPr>
            <w:rStyle w:val="Collegamentoipertestuale"/>
            <w:rFonts w:ascii="Times New Roman" w:hAnsi="Times New Roman" w:cs="Times New Roman"/>
            <w:noProof/>
            <w:color w:val="auto"/>
          </w:rPr>
          <w:t>Figure 9: Brain Computer Interface</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_Toc104968795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53</w:t>
        </w:r>
        <w:r w:rsidR="005106E3" w:rsidRPr="005459E6">
          <w:rPr>
            <w:rFonts w:ascii="Times New Roman" w:hAnsi="Times New Roman" w:cs="Times New Roman"/>
            <w:noProof/>
            <w:webHidden/>
          </w:rPr>
          <w:fldChar w:fldCharType="end"/>
        </w:r>
      </w:hyperlink>
    </w:p>
    <w:p w14:paraId="03618C98" w14:textId="11D0CC91"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6" w:history="1">
        <w:r w:rsidR="005106E3" w:rsidRPr="005459E6">
          <w:rPr>
            <w:rStyle w:val="Collegamentoipertestuale"/>
            <w:rFonts w:ascii="Times New Roman" w:hAnsi="Times New Roman" w:cs="Times New Roman"/>
            <w:noProof/>
            <w:color w:val="auto"/>
          </w:rPr>
          <w:t>Figure 10: Electroencephalograph (EEG)</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_Toc104968796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54</w:t>
        </w:r>
        <w:r w:rsidR="005106E3" w:rsidRPr="005459E6">
          <w:rPr>
            <w:rFonts w:ascii="Times New Roman" w:hAnsi="Times New Roman" w:cs="Times New Roman"/>
            <w:noProof/>
            <w:webHidden/>
          </w:rPr>
          <w:fldChar w:fldCharType="end"/>
        </w:r>
      </w:hyperlink>
    </w:p>
    <w:p w14:paraId="505B5891" w14:textId="6932DA52"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7" w:history="1">
        <w:r w:rsidR="005106E3" w:rsidRPr="005459E6">
          <w:rPr>
            <w:rStyle w:val="Collegamentoipertestuale"/>
            <w:rFonts w:ascii="Times New Roman" w:hAnsi="Times New Roman" w:cs="Times New Roman"/>
            <w:noProof/>
            <w:color w:val="auto"/>
          </w:rPr>
          <w:t>Figure 11 :  Motion detection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_Toc104968797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54</w:t>
        </w:r>
        <w:r w:rsidR="005106E3" w:rsidRPr="005459E6">
          <w:rPr>
            <w:rFonts w:ascii="Times New Roman" w:hAnsi="Times New Roman" w:cs="Times New Roman"/>
            <w:noProof/>
            <w:webHidden/>
          </w:rPr>
          <w:fldChar w:fldCharType="end"/>
        </w:r>
      </w:hyperlink>
    </w:p>
    <w:p w14:paraId="5B61991A" w14:textId="7E344FA6"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8" w:history="1">
        <w:r w:rsidR="005106E3" w:rsidRPr="005459E6">
          <w:rPr>
            <w:rStyle w:val="Collegamentoipertestuale"/>
            <w:rFonts w:ascii="Times New Roman" w:hAnsi="Times New Roman" w:cs="Times New Roman"/>
            <w:noProof/>
            <w:color w:val="auto"/>
          </w:rPr>
          <w:t>Figure 12: Frequency Graphs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_Toc104968798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55</w:t>
        </w:r>
        <w:r w:rsidR="005106E3" w:rsidRPr="005459E6">
          <w:rPr>
            <w:rFonts w:ascii="Times New Roman" w:hAnsi="Times New Roman" w:cs="Times New Roman"/>
            <w:noProof/>
            <w:webHidden/>
          </w:rPr>
          <w:fldChar w:fldCharType="end"/>
        </w:r>
      </w:hyperlink>
    </w:p>
    <w:p w14:paraId="4A3B5FE6" w14:textId="3D0939AA"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799" w:history="1">
        <w:r w:rsidR="005106E3" w:rsidRPr="005459E6">
          <w:rPr>
            <w:rStyle w:val="Collegamentoipertestuale"/>
            <w:rFonts w:ascii="Times New Roman" w:hAnsi="Times New Roman" w:cs="Times New Roman"/>
            <w:noProof/>
            <w:color w:val="auto"/>
          </w:rPr>
          <w:t>Figure 13 : Sensor (Electrode’s) position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_Toc104968799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56</w:t>
        </w:r>
        <w:r w:rsidR="005106E3" w:rsidRPr="005459E6">
          <w:rPr>
            <w:rFonts w:ascii="Times New Roman" w:hAnsi="Times New Roman" w:cs="Times New Roman"/>
            <w:noProof/>
            <w:webHidden/>
          </w:rPr>
          <w:fldChar w:fldCharType="end"/>
        </w:r>
      </w:hyperlink>
    </w:p>
    <w:p w14:paraId="62DAD225" w14:textId="6A1C4E1B"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0" w:history="1">
        <w:r w:rsidR="005106E3" w:rsidRPr="005459E6">
          <w:rPr>
            <w:rStyle w:val="Collegamentoipertestuale"/>
            <w:rFonts w:ascii="Times New Roman" w:hAnsi="Times New Roman" w:cs="Times New Roman"/>
            <w:noProof/>
            <w:color w:val="auto"/>
          </w:rPr>
          <w:t>Figure 14 : Electrodes marked at positions AF3, AF4, T7, T8, and Pz</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_Toc104968800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56</w:t>
        </w:r>
        <w:r w:rsidR="005106E3" w:rsidRPr="005459E6">
          <w:rPr>
            <w:rFonts w:ascii="Times New Roman" w:hAnsi="Times New Roman" w:cs="Times New Roman"/>
            <w:noProof/>
            <w:webHidden/>
          </w:rPr>
          <w:fldChar w:fldCharType="end"/>
        </w:r>
      </w:hyperlink>
    </w:p>
    <w:p w14:paraId="7FBCBC3D" w14:textId="5E0153D7"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1" w:history="1">
        <w:r w:rsidR="005106E3" w:rsidRPr="005459E6">
          <w:rPr>
            <w:rStyle w:val="Collegamentoipertestuale"/>
            <w:rFonts w:ascii="Times New Roman" w:hAnsi="Times New Roman" w:cs="Times New Roman"/>
            <w:noProof/>
            <w:color w:val="auto"/>
          </w:rPr>
          <w:t>Figure 15: Pictorial representation of Constructs in the study</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_Toc104968801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60</w:t>
        </w:r>
        <w:r w:rsidR="005106E3" w:rsidRPr="005459E6">
          <w:rPr>
            <w:rFonts w:ascii="Times New Roman" w:hAnsi="Times New Roman" w:cs="Times New Roman"/>
            <w:noProof/>
            <w:webHidden/>
          </w:rPr>
          <w:fldChar w:fldCharType="end"/>
        </w:r>
      </w:hyperlink>
    </w:p>
    <w:p w14:paraId="068E7875" w14:textId="64446C9B"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2" w:history="1">
        <w:r w:rsidR="005106E3" w:rsidRPr="005459E6">
          <w:rPr>
            <w:rStyle w:val="Collegamentoipertestuale"/>
            <w:rFonts w:ascii="Times New Roman" w:hAnsi="Times New Roman" w:cs="Times New Roman"/>
            <w:noProof/>
            <w:color w:val="auto"/>
          </w:rPr>
          <w:t>Figure 16: An overview of the process of a Qualitative Content Analysis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_Toc104968802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75</w:t>
        </w:r>
        <w:r w:rsidR="005106E3" w:rsidRPr="005459E6">
          <w:rPr>
            <w:rFonts w:ascii="Times New Roman" w:hAnsi="Times New Roman" w:cs="Times New Roman"/>
            <w:noProof/>
            <w:webHidden/>
          </w:rPr>
          <w:fldChar w:fldCharType="end"/>
        </w:r>
      </w:hyperlink>
    </w:p>
    <w:p w14:paraId="22AFE391" w14:textId="270A2BE8"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3" w:history="1">
        <w:r w:rsidR="005106E3" w:rsidRPr="005459E6">
          <w:rPr>
            <w:rStyle w:val="Collegamentoipertestuale"/>
            <w:rFonts w:ascii="Times New Roman" w:hAnsi="Times New Roman" w:cs="Times New Roman"/>
            <w:noProof/>
            <w:color w:val="auto"/>
          </w:rPr>
          <w:t>Figure 17: Case wise Sentiments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_Toc104968803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81</w:t>
        </w:r>
        <w:r w:rsidR="005106E3" w:rsidRPr="005459E6">
          <w:rPr>
            <w:rFonts w:ascii="Times New Roman" w:hAnsi="Times New Roman" w:cs="Times New Roman"/>
            <w:noProof/>
            <w:webHidden/>
          </w:rPr>
          <w:fldChar w:fldCharType="end"/>
        </w:r>
      </w:hyperlink>
    </w:p>
    <w:p w14:paraId="50B9FAF4" w14:textId="45795A64"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4" w:history="1">
        <w:r w:rsidR="005106E3" w:rsidRPr="005459E6">
          <w:rPr>
            <w:rStyle w:val="Collegamentoipertestuale"/>
            <w:rFonts w:ascii="Times New Roman" w:hAnsi="Times New Roman" w:cs="Times New Roman"/>
            <w:noProof/>
            <w:color w:val="auto"/>
          </w:rPr>
          <w:t>Figure 18: Cluster Analysis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_Toc104968804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82</w:t>
        </w:r>
        <w:r w:rsidR="005106E3" w:rsidRPr="005459E6">
          <w:rPr>
            <w:rFonts w:ascii="Times New Roman" w:hAnsi="Times New Roman" w:cs="Times New Roman"/>
            <w:noProof/>
            <w:webHidden/>
          </w:rPr>
          <w:fldChar w:fldCharType="end"/>
        </w:r>
      </w:hyperlink>
    </w:p>
    <w:p w14:paraId="09DD5536" w14:textId="5D0D098E"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5" w:history="1">
        <w:r w:rsidR="005106E3" w:rsidRPr="005459E6">
          <w:rPr>
            <w:rStyle w:val="Collegamentoipertestuale"/>
            <w:rFonts w:ascii="Times New Roman" w:hAnsi="Times New Roman" w:cs="Times New Roman"/>
            <w:noProof/>
            <w:color w:val="auto"/>
          </w:rPr>
          <w:t>Figure 19: ML based Model Evaluation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_Toc104968805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94</w:t>
        </w:r>
        <w:r w:rsidR="005106E3" w:rsidRPr="005459E6">
          <w:rPr>
            <w:rFonts w:ascii="Times New Roman" w:hAnsi="Times New Roman" w:cs="Times New Roman"/>
            <w:noProof/>
            <w:webHidden/>
          </w:rPr>
          <w:fldChar w:fldCharType="end"/>
        </w:r>
      </w:hyperlink>
    </w:p>
    <w:p w14:paraId="0B1AA1AE" w14:textId="6E022CFD"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6" w:history="1">
        <w:r w:rsidR="005106E3" w:rsidRPr="005459E6">
          <w:rPr>
            <w:rStyle w:val="Collegamentoipertestuale"/>
            <w:rFonts w:ascii="Times New Roman" w:hAnsi="Times New Roman" w:cs="Times New Roman"/>
            <w:noProof/>
            <w:color w:val="auto"/>
          </w:rPr>
          <w:t>Figure 20: Landscape of Data Science in academic research</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_Toc104968806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106</w:t>
        </w:r>
        <w:r w:rsidR="005106E3" w:rsidRPr="005459E6">
          <w:rPr>
            <w:rFonts w:ascii="Times New Roman" w:hAnsi="Times New Roman" w:cs="Times New Roman"/>
            <w:noProof/>
            <w:webHidden/>
          </w:rPr>
          <w:fldChar w:fldCharType="end"/>
        </w:r>
      </w:hyperlink>
    </w:p>
    <w:p w14:paraId="17B9585F" w14:textId="5A2370C8"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7" w:history="1">
        <w:r w:rsidR="005106E3" w:rsidRPr="005459E6">
          <w:rPr>
            <w:rStyle w:val="Collegamentoipertestuale"/>
            <w:rFonts w:ascii="Times New Roman" w:hAnsi="Times New Roman" w:cs="Times New Roman"/>
            <w:noProof/>
            <w:color w:val="auto"/>
          </w:rPr>
          <w:t>Figure 21: ML Modelling pipeline</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_Toc104968807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107</w:t>
        </w:r>
        <w:r w:rsidR="005106E3" w:rsidRPr="005459E6">
          <w:rPr>
            <w:rFonts w:ascii="Times New Roman" w:hAnsi="Times New Roman" w:cs="Times New Roman"/>
            <w:noProof/>
            <w:webHidden/>
          </w:rPr>
          <w:fldChar w:fldCharType="end"/>
        </w:r>
      </w:hyperlink>
    </w:p>
    <w:p w14:paraId="3C7FE4EA" w14:textId="5403F7D1"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8" w:history="1">
        <w:r w:rsidR="005106E3" w:rsidRPr="005459E6">
          <w:rPr>
            <w:rStyle w:val="Collegamentoipertestuale"/>
            <w:rFonts w:ascii="Times New Roman" w:hAnsi="Times New Roman" w:cs="Times New Roman"/>
            <w:noProof/>
            <w:color w:val="auto"/>
          </w:rPr>
          <w:t>Figure 22: Sunburst Chart with three dimensions</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_Toc104968808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110</w:t>
        </w:r>
        <w:r w:rsidR="005106E3" w:rsidRPr="005459E6">
          <w:rPr>
            <w:rFonts w:ascii="Times New Roman" w:hAnsi="Times New Roman" w:cs="Times New Roman"/>
            <w:noProof/>
            <w:webHidden/>
          </w:rPr>
          <w:fldChar w:fldCharType="end"/>
        </w:r>
      </w:hyperlink>
    </w:p>
    <w:p w14:paraId="117DCBE3" w14:textId="37E449CC"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09" w:history="1">
        <w:r w:rsidR="005106E3" w:rsidRPr="005459E6">
          <w:rPr>
            <w:rStyle w:val="Collegamentoipertestuale"/>
            <w:rFonts w:ascii="Times New Roman" w:hAnsi="Times New Roman" w:cs="Times New Roman"/>
            <w:noProof/>
            <w:color w:val="auto"/>
          </w:rPr>
          <w:t>Figure 23: Partial Dependence Plot (Interest Vs. Relaxation)</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_Toc104968809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111</w:t>
        </w:r>
        <w:r w:rsidR="005106E3" w:rsidRPr="005459E6">
          <w:rPr>
            <w:rFonts w:ascii="Times New Roman" w:hAnsi="Times New Roman" w:cs="Times New Roman"/>
            <w:noProof/>
            <w:webHidden/>
          </w:rPr>
          <w:fldChar w:fldCharType="end"/>
        </w:r>
      </w:hyperlink>
    </w:p>
    <w:p w14:paraId="22038601" w14:textId="4BFBEE7B"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0" w:history="1">
        <w:r w:rsidR="005106E3" w:rsidRPr="005459E6">
          <w:rPr>
            <w:rStyle w:val="Collegamentoipertestuale"/>
            <w:rFonts w:ascii="Times New Roman" w:hAnsi="Times New Roman" w:cs="Times New Roman"/>
            <w:noProof/>
            <w:color w:val="auto"/>
          </w:rPr>
          <w:t>Figure 24 :  Goodness-Of-Fit of Model</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_Toc104968810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113</w:t>
        </w:r>
        <w:r w:rsidR="005106E3" w:rsidRPr="005459E6">
          <w:rPr>
            <w:rFonts w:ascii="Times New Roman" w:hAnsi="Times New Roman" w:cs="Times New Roman"/>
            <w:noProof/>
            <w:webHidden/>
          </w:rPr>
          <w:fldChar w:fldCharType="end"/>
        </w:r>
      </w:hyperlink>
    </w:p>
    <w:p w14:paraId="7C38933A" w14:textId="51CC2235"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1" w:history="1">
        <w:r w:rsidR="005106E3" w:rsidRPr="005459E6">
          <w:rPr>
            <w:rStyle w:val="Collegamentoipertestuale"/>
            <w:rFonts w:ascii="Times New Roman" w:hAnsi="Times New Roman" w:cs="Times New Roman"/>
            <w:noProof/>
            <w:color w:val="auto"/>
          </w:rPr>
          <w:t>Figure 25: Analytical representation of Psychosomatic health.</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_Toc104968811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115</w:t>
        </w:r>
        <w:r w:rsidR="005106E3" w:rsidRPr="005459E6">
          <w:rPr>
            <w:rFonts w:ascii="Times New Roman" w:hAnsi="Times New Roman" w:cs="Times New Roman"/>
            <w:noProof/>
            <w:webHidden/>
          </w:rPr>
          <w:fldChar w:fldCharType="end"/>
        </w:r>
      </w:hyperlink>
    </w:p>
    <w:p w14:paraId="2175011F" w14:textId="54F2B1F3"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2" w:history="1">
        <w:r w:rsidR="005106E3" w:rsidRPr="005459E6">
          <w:rPr>
            <w:rStyle w:val="Collegamentoipertestuale"/>
            <w:rFonts w:ascii="Times New Roman" w:hAnsi="Times New Roman" w:cs="Times New Roman"/>
            <w:noProof/>
            <w:color w:val="auto"/>
          </w:rPr>
          <w:t>Figure 26: Analytical representation of the role of technology in healthcare.</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_Toc104968812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115</w:t>
        </w:r>
        <w:r w:rsidR="005106E3" w:rsidRPr="005459E6">
          <w:rPr>
            <w:rFonts w:ascii="Times New Roman" w:hAnsi="Times New Roman" w:cs="Times New Roman"/>
            <w:noProof/>
            <w:webHidden/>
          </w:rPr>
          <w:fldChar w:fldCharType="end"/>
        </w:r>
      </w:hyperlink>
    </w:p>
    <w:p w14:paraId="20B8CF37" w14:textId="3B2093DF"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3" w:history="1">
        <w:r w:rsidR="005106E3" w:rsidRPr="005459E6">
          <w:rPr>
            <w:rStyle w:val="Collegamentoipertestuale"/>
            <w:rFonts w:ascii="Times New Roman" w:hAnsi="Times New Roman" w:cs="Times New Roman"/>
            <w:noProof/>
            <w:color w:val="auto"/>
          </w:rPr>
          <w:t>Figure 27: Sunburst chart representing an ML model.</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_Toc104968813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116</w:t>
        </w:r>
        <w:r w:rsidR="005106E3" w:rsidRPr="005459E6">
          <w:rPr>
            <w:rFonts w:ascii="Times New Roman" w:hAnsi="Times New Roman" w:cs="Times New Roman"/>
            <w:noProof/>
            <w:webHidden/>
          </w:rPr>
          <w:fldChar w:fldCharType="end"/>
        </w:r>
      </w:hyperlink>
    </w:p>
    <w:p w14:paraId="6CF2395C" w14:textId="7ECCE043"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4" w:history="1">
        <w:r w:rsidR="005106E3" w:rsidRPr="005459E6">
          <w:rPr>
            <w:rStyle w:val="Collegamentoipertestuale"/>
            <w:rFonts w:ascii="Times New Roman" w:hAnsi="Times New Roman" w:cs="Times New Roman"/>
            <w:noProof/>
            <w:color w:val="auto"/>
          </w:rPr>
          <w:t>Figure 28: Workflow of the four phases of research.</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_Toc104968814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117</w:t>
        </w:r>
        <w:r w:rsidR="005106E3" w:rsidRPr="005459E6">
          <w:rPr>
            <w:rFonts w:ascii="Times New Roman" w:hAnsi="Times New Roman" w:cs="Times New Roman"/>
            <w:noProof/>
            <w:webHidden/>
          </w:rPr>
          <w:fldChar w:fldCharType="end"/>
        </w:r>
      </w:hyperlink>
    </w:p>
    <w:p w14:paraId="238F6A19" w14:textId="4C27400A"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5" w:history="1">
        <w:r w:rsidR="005106E3" w:rsidRPr="005459E6">
          <w:rPr>
            <w:rStyle w:val="Collegamentoipertestuale"/>
            <w:rFonts w:ascii="Times New Roman" w:hAnsi="Times New Roman" w:cs="Times New Roman"/>
            <w:noProof/>
            <w:color w:val="auto"/>
          </w:rPr>
          <w:t>Figure 29: Construct representing Psychological Well-being and Workplace Productivity.</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_Toc104968815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119</w:t>
        </w:r>
        <w:r w:rsidR="005106E3" w:rsidRPr="005459E6">
          <w:rPr>
            <w:rFonts w:ascii="Times New Roman" w:hAnsi="Times New Roman" w:cs="Times New Roman"/>
            <w:noProof/>
            <w:webHidden/>
          </w:rPr>
          <w:fldChar w:fldCharType="end"/>
        </w:r>
      </w:hyperlink>
    </w:p>
    <w:p w14:paraId="4FE5F54E" w14:textId="153DACE6"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6" w:history="1">
        <w:r w:rsidR="005106E3" w:rsidRPr="005459E6">
          <w:rPr>
            <w:rStyle w:val="Collegamentoipertestuale"/>
            <w:rFonts w:ascii="Times New Roman" w:hAnsi="Times New Roman" w:cs="Times New Roman"/>
            <w:noProof/>
            <w:color w:val="auto"/>
          </w:rPr>
          <w:t>Figure 30: ML-based model summary report.</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_Toc104968816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120</w:t>
        </w:r>
        <w:r w:rsidR="005106E3" w:rsidRPr="005459E6">
          <w:rPr>
            <w:rFonts w:ascii="Times New Roman" w:hAnsi="Times New Roman" w:cs="Times New Roman"/>
            <w:noProof/>
            <w:webHidden/>
          </w:rPr>
          <w:fldChar w:fldCharType="end"/>
        </w:r>
      </w:hyperlink>
    </w:p>
    <w:p w14:paraId="4400A254" w14:textId="080B6C47"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7" w:history="1">
        <w:r w:rsidR="005106E3" w:rsidRPr="005459E6">
          <w:rPr>
            <w:rStyle w:val="Collegamentoipertestuale"/>
            <w:rFonts w:ascii="Times New Roman" w:hAnsi="Times New Roman" w:cs="Times New Roman"/>
            <w:noProof/>
            <w:color w:val="auto"/>
          </w:rPr>
          <w:t>Figure 31: Yerkes–Dodson law bell curve.</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_Toc104968817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121</w:t>
        </w:r>
        <w:r w:rsidR="005106E3" w:rsidRPr="005459E6">
          <w:rPr>
            <w:rFonts w:ascii="Times New Roman" w:hAnsi="Times New Roman" w:cs="Times New Roman"/>
            <w:noProof/>
            <w:webHidden/>
          </w:rPr>
          <w:fldChar w:fldCharType="end"/>
        </w:r>
      </w:hyperlink>
    </w:p>
    <w:p w14:paraId="6760470E" w14:textId="3B4125FC" w:rsidR="005106E3" w:rsidRPr="005459E6" w:rsidRDefault="00000000" w:rsidP="005106E3">
      <w:pPr>
        <w:pStyle w:val="Indicedellefigure"/>
        <w:tabs>
          <w:tab w:val="right" w:leader="dot" w:pos="9350"/>
        </w:tabs>
        <w:spacing w:line="360" w:lineRule="auto"/>
        <w:rPr>
          <w:rFonts w:ascii="Times New Roman" w:eastAsiaTheme="minorEastAsia" w:hAnsi="Times New Roman" w:cs="Times New Roman"/>
          <w:noProof/>
        </w:rPr>
      </w:pPr>
      <w:hyperlink w:anchor="_Toc104968818" w:history="1">
        <w:r w:rsidR="005106E3" w:rsidRPr="005459E6">
          <w:rPr>
            <w:rStyle w:val="Collegamentoipertestuale"/>
            <w:rFonts w:ascii="Times New Roman" w:hAnsi="Times New Roman" w:cs="Times New Roman"/>
            <w:noProof/>
            <w:color w:val="auto"/>
          </w:rPr>
          <w:t>Figure 32: Decision tree field importance model summary.</w:t>
        </w:r>
        <w:r w:rsidR="005106E3" w:rsidRPr="005459E6">
          <w:rPr>
            <w:rFonts w:ascii="Times New Roman" w:hAnsi="Times New Roman" w:cs="Times New Roman"/>
            <w:noProof/>
            <w:webHidden/>
          </w:rPr>
          <w:tab/>
        </w:r>
        <w:r w:rsidR="005106E3" w:rsidRPr="005459E6">
          <w:rPr>
            <w:rFonts w:ascii="Times New Roman" w:hAnsi="Times New Roman" w:cs="Times New Roman"/>
            <w:noProof/>
            <w:webHidden/>
          </w:rPr>
          <w:fldChar w:fldCharType="begin"/>
        </w:r>
        <w:r w:rsidR="005106E3" w:rsidRPr="005459E6">
          <w:rPr>
            <w:rFonts w:ascii="Times New Roman" w:hAnsi="Times New Roman" w:cs="Times New Roman"/>
            <w:noProof/>
            <w:webHidden/>
          </w:rPr>
          <w:instrText xml:space="preserve"> PAGEREF _Toc104968818 \h </w:instrText>
        </w:r>
        <w:r w:rsidR="005106E3" w:rsidRPr="005459E6">
          <w:rPr>
            <w:rFonts w:ascii="Times New Roman" w:hAnsi="Times New Roman" w:cs="Times New Roman"/>
            <w:noProof/>
            <w:webHidden/>
          </w:rPr>
        </w:r>
        <w:r w:rsidR="005106E3" w:rsidRPr="005459E6">
          <w:rPr>
            <w:rFonts w:ascii="Times New Roman" w:hAnsi="Times New Roman" w:cs="Times New Roman"/>
            <w:noProof/>
            <w:webHidden/>
          </w:rPr>
          <w:fldChar w:fldCharType="separate"/>
        </w:r>
        <w:r w:rsidR="006C645B">
          <w:rPr>
            <w:rFonts w:ascii="Times New Roman" w:hAnsi="Times New Roman" w:cs="Times New Roman"/>
            <w:noProof/>
            <w:webHidden/>
          </w:rPr>
          <w:t>128</w:t>
        </w:r>
        <w:r w:rsidR="005106E3" w:rsidRPr="005459E6">
          <w:rPr>
            <w:rFonts w:ascii="Times New Roman" w:hAnsi="Times New Roman" w:cs="Times New Roman"/>
            <w:noProof/>
            <w:webHidden/>
          </w:rPr>
          <w:fldChar w:fldCharType="end"/>
        </w:r>
      </w:hyperlink>
    </w:p>
    <w:p w14:paraId="37F16473" w14:textId="09C1AB88" w:rsidR="008427DC" w:rsidRPr="005459E6" w:rsidRDefault="005106E3" w:rsidP="005106E3">
      <w:pPr>
        <w:spacing w:line="360" w:lineRule="auto"/>
        <w:jc w:val="both"/>
        <w:rPr>
          <w:rFonts w:ascii="Times New Roman" w:hAnsi="Times New Roman" w:cs="Times New Roman"/>
        </w:rPr>
      </w:pPr>
      <w:r w:rsidRPr="005459E6">
        <w:rPr>
          <w:rFonts w:ascii="Times New Roman" w:hAnsi="Times New Roman" w:cs="Times New Roman"/>
        </w:rPr>
        <w:fldChar w:fldCharType="end"/>
      </w:r>
    </w:p>
    <w:p w14:paraId="6C20F20A" w14:textId="77777777" w:rsidR="005106E3" w:rsidRPr="005459E6" w:rsidRDefault="005106E3" w:rsidP="005106E3">
      <w:pPr>
        <w:spacing w:line="360" w:lineRule="auto"/>
        <w:jc w:val="both"/>
        <w:rPr>
          <w:rFonts w:ascii="Times New Roman" w:hAnsi="Times New Roman" w:cs="Times New Roman"/>
        </w:rPr>
      </w:pPr>
    </w:p>
    <w:p w14:paraId="570C995C" w14:textId="1D17F1EE" w:rsidR="00C95A18" w:rsidRPr="005459E6" w:rsidRDefault="00C3755C" w:rsidP="005106E3">
      <w:pPr>
        <w:spacing w:line="360" w:lineRule="auto"/>
        <w:jc w:val="both"/>
        <w:rPr>
          <w:rFonts w:ascii="Times New Roman" w:hAnsi="Times New Roman" w:cs="Times New Roman"/>
          <w:b/>
          <w:bCs/>
        </w:rPr>
      </w:pPr>
      <w:r w:rsidRPr="005459E6">
        <w:rPr>
          <w:rFonts w:ascii="Times New Roman" w:hAnsi="Times New Roman" w:cs="Times New Roman"/>
          <w:b/>
          <w:bCs/>
        </w:rPr>
        <w:t>Tables</w:t>
      </w:r>
    </w:p>
    <w:p w14:paraId="6A0E70BD" w14:textId="36302113" w:rsidR="00A52D06" w:rsidRPr="005459E6" w:rsidRDefault="00A52D06" w:rsidP="005106E3">
      <w:pPr>
        <w:pStyle w:val="Indicedellefigure"/>
        <w:tabs>
          <w:tab w:val="right" w:leader="dot" w:pos="9350"/>
        </w:tabs>
        <w:spacing w:line="360" w:lineRule="auto"/>
        <w:jc w:val="both"/>
        <w:rPr>
          <w:rFonts w:ascii="Times New Roman" w:eastAsiaTheme="minorEastAsia" w:hAnsi="Times New Roman" w:cs="Times New Roman"/>
          <w:noProof/>
        </w:rPr>
      </w:pPr>
      <w:r w:rsidRPr="005459E6">
        <w:rPr>
          <w:rFonts w:ascii="Times New Roman" w:hAnsi="Times New Roman" w:cs="Times New Roman"/>
        </w:rPr>
        <w:fldChar w:fldCharType="begin"/>
      </w:r>
      <w:r w:rsidRPr="005459E6">
        <w:rPr>
          <w:rFonts w:ascii="Times New Roman" w:hAnsi="Times New Roman" w:cs="Times New Roman"/>
        </w:rPr>
        <w:instrText xml:space="preserve"> TOC \h \z \c "Table" </w:instrText>
      </w:r>
      <w:r w:rsidRPr="005459E6">
        <w:rPr>
          <w:rFonts w:ascii="Times New Roman" w:hAnsi="Times New Roman" w:cs="Times New Roman"/>
        </w:rPr>
        <w:fldChar w:fldCharType="separate"/>
      </w:r>
      <w:hyperlink w:anchor="_Toc99916011" w:history="1">
        <w:r w:rsidRPr="005459E6">
          <w:rPr>
            <w:rStyle w:val="Collegamentoipertestuale"/>
            <w:rFonts w:ascii="Times New Roman" w:hAnsi="Times New Roman" w:cs="Times New Roman"/>
            <w:noProof/>
            <w:color w:val="auto"/>
          </w:rPr>
          <w:t>Table 1 : Content analysis of case studies</w:t>
        </w:r>
        <w:r w:rsidRPr="005459E6">
          <w:rPr>
            <w:rFonts w:ascii="Times New Roman" w:hAnsi="Times New Roman" w:cs="Times New Roman"/>
            <w:noProof/>
            <w:webHidden/>
          </w:rPr>
          <w:tab/>
        </w:r>
        <w:r w:rsidRPr="005459E6">
          <w:rPr>
            <w:rFonts w:ascii="Times New Roman" w:hAnsi="Times New Roman" w:cs="Times New Roman"/>
            <w:noProof/>
            <w:webHidden/>
          </w:rPr>
          <w:fldChar w:fldCharType="begin"/>
        </w:r>
        <w:r w:rsidRPr="005459E6">
          <w:rPr>
            <w:rFonts w:ascii="Times New Roman" w:hAnsi="Times New Roman" w:cs="Times New Roman"/>
            <w:noProof/>
            <w:webHidden/>
          </w:rPr>
          <w:instrText xml:space="preserve"> PAGEREF _Toc99916011 \h </w:instrText>
        </w:r>
        <w:r w:rsidRPr="005459E6">
          <w:rPr>
            <w:rFonts w:ascii="Times New Roman" w:hAnsi="Times New Roman" w:cs="Times New Roman"/>
            <w:noProof/>
            <w:webHidden/>
          </w:rPr>
        </w:r>
        <w:r w:rsidRPr="005459E6">
          <w:rPr>
            <w:rFonts w:ascii="Times New Roman" w:hAnsi="Times New Roman" w:cs="Times New Roman"/>
            <w:noProof/>
            <w:webHidden/>
          </w:rPr>
          <w:fldChar w:fldCharType="separate"/>
        </w:r>
        <w:r w:rsidR="006C645B">
          <w:rPr>
            <w:rFonts w:ascii="Times New Roman" w:hAnsi="Times New Roman" w:cs="Times New Roman"/>
            <w:noProof/>
            <w:webHidden/>
          </w:rPr>
          <w:t>79</w:t>
        </w:r>
        <w:r w:rsidRPr="005459E6">
          <w:rPr>
            <w:rFonts w:ascii="Times New Roman" w:hAnsi="Times New Roman" w:cs="Times New Roman"/>
            <w:noProof/>
            <w:webHidden/>
          </w:rPr>
          <w:fldChar w:fldCharType="end"/>
        </w:r>
      </w:hyperlink>
    </w:p>
    <w:p w14:paraId="4707E3FE" w14:textId="741D03F9" w:rsidR="00A52D06" w:rsidRPr="005459E6" w:rsidRDefault="00000000" w:rsidP="005106E3">
      <w:pPr>
        <w:pStyle w:val="Indicedellefigure"/>
        <w:tabs>
          <w:tab w:val="right" w:leader="dot" w:pos="9350"/>
        </w:tabs>
        <w:spacing w:line="360" w:lineRule="auto"/>
        <w:jc w:val="both"/>
        <w:rPr>
          <w:rFonts w:ascii="Times New Roman" w:eastAsiaTheme="minorEastAsia" w:hAnsi="Times New Roman" w:cs="Times New Roman"/>
          <w:noProof/>
        </w:rPr>
      </w:pPr>
      <w:hyperlink w:anchor="_Toc99916012" w:history="1">
        <w:r w:rsidR="00A52D06" w:rsidRPr="005459E6">
          <w:rPr>
            <w:rStyle w:val="Collegamentoipertestuale"/>
            <w:rFonts w:ascii="Times New Roman" w:hAnsi="Times New Roman" w:cs="Times New Roman"/>
            <w:noProof/>
            <w:color w:val="auto"/>
          </w:rPr>
          <w:t>Table 2 : Co-occurrence Table</w:t>
        </w:r>
        <w:r w:rsidR="00A52D06" w:rsidRPr="005459E6">
          <w:rPr>
            <w:rFonts w:ascii="Times New Roman" w:hAnsi="Times New Roman" w:cs="Times New Roman"/>
            <w:noProof/>
            <w:webHidden/>
          </w:rPr>
          <w:tab/>
        </w:r>
        <w:r w:rsidR="00A52D06" w:rsidRPr="005459E6">
          <w:rPr>
            <w:rFonts w:ascii="Times New Roman" w:hAnsi="Times New Roman" w:cs="Times New Roman"/>
            <w:noProof/>
            <w:webHidden/>
          </w:rPr>
          <w:fldChar w:fldCharType="begin"/>
        </w:r>
        <w:r w:rsidR="00A52D06" w:rsidRPr="005459E6">
          <w:rPr>
            <w:rFonts w:ascii="Times New Roman" w:hAnsi="Times New Roman" w:cs="Times New Roman"/>
            <w:noProof/>
            <w:webHidden/>
          </w:rPr>
          <w:instrText xml:space="preserve"> PAGEREF _Toc99916012 \h </w:instrText>
        </w:r>
        <w:r w:rsidR="00A52D06" w:rsidRPr="005459E6">
          <w:rPr>
            <w:rFonts w:ascii="Times New Roman" w:hAnsi="Times New Roman" w:cs="Times New Roman"/>
            <w:noProof/>
            <w:webHidden/>
          </w:rPr>
        </w:r>
        <w:r w:rsidR="00A52D06" w:rsidRPr="005459E6">
          <w:rPr>
            <w:rFonts w:ascii="Times New Roman" w:hAnsi="Times New Roman" w:cs="Times New Roman"/>
            <w:noProof/>
            <w:webHidden/>
          </w:rPr>
          <w:fldChar w:fldCharType="separate"/>
        </w:r>
        <w:r w:rsidR="006C645B">
          <w:rPr>
            <w:rFonts w:ascii="Times New Roman" w:hAnsi="Times New Roman" w:cs="Times New Roman"/>
            <w:noProof/>
            <w:webHidden/>
          </w:rPr>
          <w:t>83</w:t>
        </w:r>
        <w:r w:rsidR="00A52D06" w:rsidRPr="005459E6">
          <w:rPr>
            <w:rFonts w:ascii="Times New Roman" w:hAnsi="Times New Roman" w:cs="Times New Roman"/>
            <w:noProof/>
            <w:webHidden/>
          </w:rPr>
          <w:fldChar w:fldCharType="end"/>
        </w:r>
      </w:hyperlink>
    </w:p>
    <w:p w14:paraId="14C25F3E" w14:textId="46151E1C" w:rsidR="00A52D06" w:rsidRPr="005459E6" w:rsidRDefault="00000000" w:rsidP="005106E3">
      <w:pPr>
        <w:pStyle w:val="Indicedellefigure"/>
        <w:tabs>
          <w:tab w:val="right" w:leader="dot" w:pos="9350"/>
        </w:tabs>
        <w:spacing w:line="360" w:lineRule="auto"/>
        <w:jc w:val="both"/>
        <w:rPr>
          <w:rFonts w:ascii="Times New Roman" w:eastAsiaTheme="minorEastAsia" w:hAnsi="Times New Roman" w:cs="Times New Roman"/>
          <w:noProof/>
        </w:rPr>
      </w:pPr>
      <w:hyperlink w:anchor="_Toc99916013" w:history="1">
        <w:r w:rsidR="00A52D06" w:rsidRPr="005459E6">
          <w:rPr>
            <w:rStyle w:val="Collegamentoipertestuale"/>
            <w:rFonts w:ascii="Times New Roman" w:hAnsi="Times New Roman" w:cs="Times New Roman"/>
            <w:noProof/>
            <w:color w:val="auto"/>
          </w:rPr>
          <w:t>Table 3: Model Performance</w:t>
        </w:r>
        <w:r w:rsidR="00A52D06" w:rsidRPr="005459E6">
          <w:rPr>
            <w:rFonts w:ascii="Times New Roman" w:hAnsi="Times New Roman" w:cs="Times New Roman"/>
            <w:noProof/>
            <w:webHidden/>
          </w:rPr>
          <w:tab/>
        </w:r>
        <w:r w:rsidR="00A52D06" w:rsidRPr="005459E6">
          <w:rPr>
            <w:rFonts w:ascii="Times New Roman" w:hAnsi="Times New Roman" w:cs="Times New Roman"/>
            <w:noProof/>
            <w:webHidden/>
          </w:rPr>
          <w:fldChar w:fldCharType="begin"/>
        </w:r>
        <w:r w:rsidR="00A52D06" w:rsidRPr="005459E6">
          <w:rPr>
            <w:rFonts w:ascii="Times New Roman" w:hAnsi="Times New Roman" w:cs="Times New Roman"/>
            <w:noProof/>
            <w:webHidden/>
          </w:rPr>
          <w:instrText xml:space="preserve"> PAGEREF _Toc99916013 \h </w:instrText>
        </w:r>
        <w:r w:rsidR="00A52D06" w:rsidRPr="005459E6">
          <w:rPr>
            <w:rFonts w:ascii="Times New Roman" w:hAnsi="Times New Roman" w:cs="Times New Roman"/>
            <w:noProof/>
            <w:webHidden/>
          </w:rPr>
        </w:r>
        <w:r w:rsidR="00A52D06" w:rsidRPr="005459E6">
          <w:rPr>
            <w:rFonts w:ascii="Times New Roman" w:hAnsi="Times New Roman" w:cs="Times New Roman"/>
            <w:noProof/>
            <w:webHidden/>
          </w:rPr>
          <w:fldChar w:fldCharType="separate"/>
        </w:r>
        <w:r w:rsidR="006C645B">
          <w:rPr>
            <w:rFonts w:ascii="Times New Roman" w:hAnsi="Times New Roman" w:cs="Times New Roman"/>
            <w:noProof/>
            <w:webHidden/>
          </w:rPr>
          <w:t>116</w:t>
        </w:r>
        <w:r w:rsidR="00A52D06" w:rsidRPr="005459E6">
          <w:rPr>
            <w:rFonts w:ascii="Times New Roman" w:hAnsi="Times New Roman" w:cs="Times New Roman"/>
            <w:noProof/>
            <w:webHidden/>
          </w:rPr>
          <w:fldChar w:fldCharType="end"/>
        </w:r>
      </w:hyperlink>
    </w:p>
    <w:p w14:paraId="2974FC20" w14:textId="3CDE3954" w:rsidR="008427DC" w:rsidRPr="005459E6" w:rsidRDefault="00A52D06" w:rsidP="005106E3">
      <w:pPr>
        <w:spacing w:line="360" w:lineRule="auto"/>
        <w:jc w:val="both"/>
        <w:rPr>
          <w:rFonts w:ascii="Times New Roman" w:hAnsi="Times New Roman" w:cs="Times New Roman"/>
        </w:rPr>
      </w:pPr>
      <w:r w:rsidRPr="005459E6">
        <w:rPr>
          <w:rFonts w:ascii="Times New Roman" w:hAnsi="Times New Roman" w:cs="Times New Roman"/>
        </w:rPr>
        <w:fldChar w:fldCharType="end"/>
      </w:r>
    </w:p>
    <w:p w14:paraId="1047F4B4" w14:textId="13449300" w:rsidR="00C95A18" w:rsidRPr="005459E6" w:rsidRDefault="00C95A18" w:rsidP="005106E3">
      <w:pPr>
        <w:spacing w:line="360" w:lineRule="auto"/>
        <w:jc w:val="both"/>
        <w:rPr>
          <w:rFonts w:ascii="Times New Roman" w:hAnsi="Times New Roman" w:cs="Times New Roman"/>
        </w:rPr>
      </w:pPr>
    </w:p>
    <w:p w14:paraId="48C820C5" w14:textId="62AF3412" w:rsidR="00C3755C" w:rsidRPr="005459E6" w:rsidRDefault="00C3755C" w:rsidP="005106E3">
      <w:pPr>
        <w:spacing w:line="360" w:lineRule="auto"/>
        <w:jc w:val="both"/>
        <w:rPr>
          <w:rFonts w:ascii="Times New Roman" w:hAnsi="Times New Roman" w:cs="Times New Roman"/>
          <w:b/>
          <w:bCs/>
        </w:rPr>
      </w:pPr>
      <w:r w:rsidRPr="005459E6">
        <w:rPr>
          <w:rFonts w:ascii="Times New Roman" w:hAnsi="Times New Roman" w:cs="Times New Roman"/>
          <w:b/>
          <w:bCs/>
        </w:rPr>
        <w:t>Equations</w:t>
      </w:r>
    </w:p>
    <w:p w14:paraId="602F281D" w14:textId="7670DDE4" w:rsidR="009C22AE" w:rsidRPr="005459E6" w:rsidRDefault="009C22AE" w:rsidP="005106E3">
      <w:pPr>
        <w:pStyle w:val="Indicedellefigure"/>
        <w:tabs>
          <w:tab w:val="right" w:leader="dot" w:pos="9350"/>
        </w:tabs>
        <w:spacing w:line="360" w:lineRule="auto"/>
        <w:jc w:val="both"/>
        <w:rPr>
          <w:rFonts w:ascii="Times New Roman" w:eastAsiaTheme="minorEastAsia" w:hAnsi="Times New Roman" w:cs="Times New Roman"/>
          <w:noProof/>
        </w:rPr>
      </w:pPr>
      <w:r w:rsidRPr="005459E6">
        <w:rPr>
          <w:rFonts w:ascii="Times New Roman" w:hAnsi="Times New Roman" w:cs="Times New Roman"/>
        </w:rPr>
        <w:fldChar w:fldCharType="begin"/>
      </w:r>
      <w:r w:rsidRPr="005459E6">
        <w:rPr>
          <w:rFonts w:ascii="Times New Roman" w:hAnsi="Times New Roman" w:cs="Times New Roman"/>
        </w:rPr>
        <w:instrText xml:space="preserve"> TOC \h \z \c "Equation" </w:instrText>
      </w:r>
      <w:r w:rsidRPr="005459E6">
        <w:rPr>
          <w:rFonts w:ascii="Times New Roman" w:hAnsi="Times New Roman" w:cs="Times New Roman"/>
        </w:rPr>
        <w:fldChar w:fldCharType="separate"/>
      </w:r>
      <w:hyperlink w:anchor="_Toc99916022" w:history="1">
        <w:r w:rsidRPr="005459E6">
          <w:rPr>
            <w:rStyle w:val="Collegamentoipertestuale"/>
            <w:rFonts w:ascii="Times New Roman" w:hAnsi="Times New Roman" w:cs="Times New Roman"/>
            <w:noProof/>
            <w:color w:val="auto"/>
          </w:rPr>
          <w:t>Equation 1 :  Formula for sample size calculation</w:t>
        </w:r>
        <w:r w:rsidRPr="005459E6">
          <w:rPr>
            <w:rFonts w:ascii="Times New Roman" w:hAnsi="Times New Roman" w:cs="Times New Roman"/>
            <w:noProof/>
            <w:webHidden/>
          </w:rPr>
          <w:tab/>
        </w:r>
        <w:r w:rsidRPr="005459E6">
          <w:rPr>
            <w:rFonts w:ascii="Times New Roman" w:hAnsi="Times New Roman" w:cs="Times New Roman"/>
            <w:noProof/>
            <w:webHidden/>
          </w:rPr>
          <w:fldChar w:fldCharType="begin"/>
        </w:r>
        <w:r w:rsidRPr="005459E6">
          <w:rPr>
            <w:rFonts w:ascii="Times New Roman" w:hAnsi="Times New Roman" w:cs="Times New Roman"/>
            <w:noProof/>
            <w:webHidden/>
          </w:rPr>
          <w:instrText xml:space="preserve"> PAGEREF _Toc99916022 \h </w:instrText>
        </w:r>
        <w:r w:rsidRPr="005459E6">
          <w:rPr>
            <w:rFonts w:ascii="Times New Roman" w:hAnsi="Times New Roman" w:cs="Times New Roman"/>
            <w:noProof/>
            <w:webHidden/>
          </w:rPr>
        </w:r>
        <w:r w:rsidRPr="005459E6">
          <w:rPr>
            <w:rFonts w:ascii="Times New Roman" w:hAnsi="Times New Roman" w:cs="Times New Roman"/>
            <w:noProof/>
            <w:webHidden/>
          </w:rPr>
          <w:fldChar w:fldCharType="separate"/>
        </w:r>
        <w:r w:rsidR="006C645B">
          <w:rPr>
            <w:rFonts w:ascii="Times New Roman" w:hAnsi="Times New Roman" w:cs="Times New Roman"/>
            <w:noProof/>
            <w:webHidden/>
          </w:rPr>
          <w:t>47</w:t>
        </w:r>
        <w:r w:rsidRPr="005459E6">
          <w:rPr>
            <w:rFonts w:ascii="Times New Roman" w:hAnsi="Times New Roman" w:cs="Times New Roman"/>
            <w:noProof/>
            <w:webHidden/>
          </w:rPr>
          <w:fldChar w:fldCharType="end"/>
        </w:r>
      </w:hyperlink>
    </w:p>
    <w:p w14:paraId="5D55B46E" w14:textId="0C22BA9A" w:rsidR="00C3755C" w:rsidRPr="005459E6" w:rsidRDefault="009C22AE" w:rsidP="005106E3">
      <w:pPr>
        <w:spacing w:line="360" w:lineRule="auto"/>
        <w:jc w:val="both"/>
        <w:rPr>
          <w:rFonts w:ascii="Times New Roman" w:hAnsi="Times New Roman" w:cs="Times New Roman"/>
        </w:rPr>
      </w:pPr>
      <w:r w:rsidRPr="005459E6">
        <w:rPr>
          <w:rFonts w:ascii="Times New Roman" w:hAnsi="Times New Roman" w:cs="Times New Roman"/>
        </w:rPr>
        <w:fldChar w:fldCharType="end"/>
      </w:r>
    </w:p>
    <w:p w14:paraId="54114BFA" w14:textId="6E03F3A2" w:rsidR="00C3755C" w:rsidRPr="005459E6" w:rsidRDefault="00C3755C" w:rsidP="005106E3">
      <w:pPr>
        <w:spacing w:line="360" w:lineRule="auto"/>
        <w:jc w:val="both"/>
        <w:rPr>
          <w:rFonts w:ascii="Times New Roman" w:hAnsi="Times New Roman" w:cs="Times New Roman"/>
        </w:rPr>
      </w:pPr>
    </w:p>
    <w:p w14:paraId="28A67328" w14:textId="5DEE7914" w:rsidR="00C3755C" w:rsidRPr="005459E6" w:rsidRDefault="00C3755C" w:rsidP="005106E3">
      <w:pPr>
        <w:spacing w:line="360" w:lineRule="auto"/>
        <w:jc w:val="both"/>
        <w:rPr>
          <w:rFonts w:ascii="Times New Roman" w:hAnsi="Times New Roman" w:cs="Times New Roman"/>
        </w:rPr>
      </w:pPr>
    </w:p>
    <w:p w14:paraId="20A7E4A9" w14:textId="1774A72A" w:rsidR="00C3755C" w:rsidRPr="005459E6" w:rsidRDefault="00C3755C" w:rsidP="005106E3">
      <w:pPr>
        <w:spacing w:line="360" w:lineRule="auto"/>
        <w:jc w:val="both"/>
        <w:rPr>
          <w:rFonts w:ascii="Times New Roman" w:hAnsi="Times New Roman" w:cs="Times New Roman"/>
        </w:rPr>
      </w:pPr>
    </w:p>
    <w:p w14:paraId="713DA9CE" w14:textId="7ABC5F20" w:rsidR="00C3755C" w:rsidRPr="005459E6" w:rsidRDefault="00C3755C" w:rsidP="00042CB0">
      <w:pPr>
        <w:spacing w:line="360" w:lineRule="auto"/>
        <w:jc w:val="both"/>
        <w:rPr>
          <w:rFonts w:ascii="Times New Roman" w:hAnsi="Times New Roman" w:cs="Times New Roman"/>
        </w:rPr>
      </w:pPr>
    </w:p>
    <w:p w14:paraId="279A3F05" w14:textId="77777777" w:rsidR="00C30249" w:rsidRPr="005459E6" w:rsidRDefault="00C30249" w:rsidP="00042CB0">
      <w:pPr>
        <w:spacing w:line="360" w:lineRule="auto"/>
        <w:jc w:val="both"/>
        <w:rPr>
          <w:rFonts w:ascii="Times New Roman" w:hAnsi="Times New Roman" w:cs="Times New Roman"/>
        </w:rPr>
      </w:pPr>
    </w:p>
    <w:p w14:paraId="0D5DC673" w14:textId="77470A16" w:rsidR="00C3755C" w:rsidRPr="005459E6" w:rsidRDefault="00C3755C" w:rsidP="00042CB0">
      <w:pPr>
        <w:spacing w:line="360" w:lineRule="auto"/>
        <w:jc w:val="both"/>
        <w:rPr>
          <w:rFonts w:ascii="Times New Roman" w:hAnsi="Times New Roman" w:cs="Times New Roman"/>
        </w:rPr>
      </w:pPr>
    </w:p>
    <w:p w14:paraId="7B5AF7DB" w14:textId="1DB83CAE" w:rsidR="00C3755C" w:rsidRPr="005459E6" w:rsidRDefault="00C3755C" w:rsidP="00042CB0">
      <w:pPr>
        <w:spacing w:line="360" w:lineRule="auto"/>
        <w:jc w:val="both"/>
        <w:rPr>
          <w:rFonts w:ascii="Times New Roman" w:hAnsi="Times New Roman" w:cs="Times New Roman"/>
        </w:rPr>
      </w:pPr>
    </w:p>
    <w:p w14:paraId="3FFCB3E1" w14:textId="44D462DD" w:rsidR="00C3755C" w:rsidRPr="005459E6" w:rsidRDefault="00C3755C" w:rsidP="00042CB0">
      <w:pPr>
        <w:spacing w:line="360" w:lineRule="auto"/>
        <w:jc w:val="both"/>
        <w:rPr>
          <w:rFonts w:ascii="Times New Roman" w:hAnsi="Times New Roman" w:cs="Times New Roman"/>
        </w:rPr>
      </w:pPr>
    </w:p>
    <w:p w14:paraId="22E190DA" w14:textId="770CC2C6" w:rsidR="00C3755C" w:rsidRPr="005459E6" w:rsidRDefault="00C3755C" w:rsidP="00042CB0">
      <w:pPr>
        <w:spacing w:line="360" w:lineRule="auto"/>
        <w:jc w:val="both"/>
        <w:rPr>
          <w:rFonts w:ascii="Times New Roman" w:hAnsi="Times New Roman" w:cs="Times New Roman"/>
        </w:rPr>
      </w:pPr>
    </w:p>
    <w:p w14:paraId="7F1E55C7" w14:textId="77777777" w:rsidR="009C22AE" w:rsidRPr="005459E6" w:rsidRDefault="009C22AE" w:rsidP="00042CB0">
      <w:pPr>
        <w:spacing w:line="360" w:lineRule="auto"/>
        <w:jc w:val="both"/>
        <w:rPr>
          <w:rFonts w:ascii="Times New Roman" w:hAnsi="Times New Roman" w:cs="Times New Roman"/>
        </w:rPr>
      </w:pPr>
    </w:p>
    <w:p w14:paraId="706C6356" w14:textId="77777777" w:rsidR="009C22AE" w:rsidRPr="005459E6" w:rsidRDefault="009C22AE" w:rsidP="00042CB0">
      <w:pPr>
        <w:spacing w:line="360" w:lineRule="auto"/>
        <w:jc w:val="both"/>
        <w:rPr>
          <w:rFonts w:ascii="Times New Roman" w:hAnsi="Times New Roman" w:cs="Times New Roman"/>
        </w:rPr>
      </w:pPr>
    </w:p>
    <w:p w14:paraId="59D3717D" w14:textId="77777777" w:rsidR="009C22AE" w:rsidRPr="005459E6" w:rsidRDefault="009C22AE" w:rsidP="00042CB0">
      <w:pPr>
        <w:spacing w:line="360" w:lineRule="auto"/>
        <w:jc w:val="both"/>
        <w:rPr>
          <w:rFonts w:ascii="Times New Roman" w:hAnsi="Times New Roman" w:cs="Times New Roman"/>
        </w:rPr>
      </w:pPr>
    </w:p>
    <w:p w14:paraId="14044DCE" w14:textId="77777777" w:rsidR="009C22AE" w:rsidRPr="005459E6" w:rsidRDefault="009C22AE" w:rsidP="00042CB0">
      <w:pPr>
        <w:spacing w:line="360" w:lineRule="auto"/>
        <w:jc w:val="both"/>
        <w:rPr>
          <w:rFonts w:ascii="Times New Roman" w:hAnsi="Times New Roman" w:cs="Times New Roman"/>
        </w:rPr>
      </w:pPr>
    </w:p>
    <w:p w14:paraId="743AD439" w14:textId="197EF9DB" w:rsidR="00A95F16" w:rsidRPr="005459E6" w:rsidRDefault="004E2000" w:rsidP="00042CB0">
      <w:pPr>
        <w:pStyle w:val="Titolo1"/>
        <w:spacing w:line="360" w:lineRule="auto"/>
        <w:jc w:val="both"/>
        <w:rPr>
          <w:rFonts w:ascii="Times New Roman" w:hAnsi="Times New Roman" w:cs="Times New Roman"/>
          <w:b/>
          <w:bCs/>
          <w:color w:val="auto"/>
          <w:sz w:val="22"/>
          <w:szCs w:val="22"/>
        </w:rPr>
      </w:pPr>
      <w:bookmarkStart w:id="548" w:name="_Toc73129088"/>
      <w:bookmarkStart w:id="549" w:name="_Toc85542508"/>
      <w:bookmarkStart w:id="550" w:name="_Toc87349575"/>
      <w:bookmarkStart w:id="551" w:name="_Toc87349688"/>
      <w:bookmarkStart w:id="552" w:name="_Toc87349795"/>
      <w:bookmarkStart w:id="553" w:name="_Toc107248355"/>
      <w:r w:rsidRPr="005459E6">
        <w:rPr>
          <w:rFonts w:ascii="Times New Roman" w:hAnsi="Times New Roman" w:cs="Times New Roman"/>
          <w:b/>
          <w:bCs/>
          <w:color w:val="auto"/>
          <w:sz w:val="22"/>
          <w:szCs w:val="22"/>
        </w:rPr>
        <w:t>References</w:t>
      </w:r>
      <w:bookmarkEnd w:id="548"/>
      <w:bookmarkEnd w:id="549"/>
      <w:bookmarkEnd w:id="550"/>
      <w:bookmarkEnd w:id="551"/>
      <w:bookmarkEnd w:id="552"/>
      <w:bookmarkEnd w:id="553"/>
    </w:p>
    <w:p w14:paraId="1CA058E7" w14:textId="3EEB77E2" w:rsidR="00B75647" w:rsidRPr="00B75647" w:rsidRDefault="000B0CE8"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5459E6">
        <w:rPr>
          <w:rFonts w:ascii="Times New Roman" w:hAnsi="Times New Roman" w:cs="Times New Roman"/>
        </w:rPr>
        <w:fldChar w:fldCharType="begin" w:fldLock="1"/>
      </w:r>
      <w:r w:rsidRPr="005459E6">
        <w:rPr>
          <w:rFonts w:ascii="Times New Roman" w:hAnsi="Times New Roman" w:cs="Times New Roman"/>
        </w:rPr>
        <w:instrText xml:space="preserve">ADDIN Mendeley Bibliography CSL_BIBLIOGRAPHY </w:instrText>
      </w:r>
      <w:r w:rsidRPr="005459E6">
        <w:rPr>
          <w:rFonts w:ascii="Times New Roman" w:hAnsi="Times New Roman" w:cs="Times New Roman"/>
        </w:rPr>
        <w:fldChar w:fldCharType="separate"/>
      </w:r>
      <w:r w:rsidR="00B75647" w:rsidRPr="00B75647">
        <w:rPr>
          <w:rFonts w:ascii="Times New Roman" w:hAnsi="Times New Roman" w:cs="Times New Roman"/>
          <w:noProof/>
          <w:szCs w:val="24"/>
        </w:rPr>
        <w:t xml:space="preserve">Adams, J. M. (2019). The Value of Worker Well-Being. </w:t>
      </w:r>
      <w:r w:rsidR="00B75647" w:rsidRPr="00B75647">
        <w:rPr>
          <w:rFonts w:ascii="Times New Roman" w:hAnsi="Times New Roman" w:cs="Times New Roman"/>
          <w:i/>
          <w:iCs/>
          <w:noProof/>
          <w:szCs w:val="24"/>
        </w:rPr>
        <w:t>Public Health Reports</w:t>
      </w:r>
      <w:r w:rsidR="00B75647" w:rsidRPr="00B75647">
        <w:rPr>
          <w:rFonts w:ascii="Times New Roman" w:hAnsi="Times New Roman" w:cs="Times New Roman"/>
          <w:noProof/>
          <w:szCs w:val="24"/>
        </w:rPr>
        <w:t xml:space="preserve">, </w:t>
      </w:r>
      <w:r w:rsidR="00B75647" w:rsidRPr="00B75647">
        <w:rPr>
          <w:rFonts w:ascii="Times New Roman" w:hAnsi="Times New Roman" w:cs="Times New Roman"/>
          <w:i/>
          <w:iCs/>
          <w:noProof/>
          <w:szCs w:val="24"/>
        </w:rPr>
        <w:t>134</w:t>
      </w:r>
      <w:r w:rsidR="00B75647" w:rsidRPr="00B75647">
        <w:rPr>
          <w:rFonts w:ascii="Times New Roman" w:hAnsi="Times New Roman" w:cs="Times New Roman"/>
          <w:noProof/>
          <w:szCs w:val="24"/>
        </w:rPr>
        <w:t>(6), 583–586. https://doi.org/10.1177/0033354919878434</w:t>
      </w:r>
    </w:p>
    <w:p w14:paraId="4E7F52F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Ahern, D. K. (2007). Challenges and Opportunities of eHealth Research. </w:t>
      </w:r>
      <w:r w:rsidRPr="00B75647">
        <w:rPr>
          <w:rFonts w:ascii="Times New Roman" w:hAnsi="Times New Roman" w:cs="Times New Roman"/>
          <w:i/>
          <w:iCs/>
          <w:noProof/>
          <w:szCs w:val="24"/>
        </w:rPr>
        <w:t>American Journal of Preventive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(5 SUPPL.). https://doi.org/10.1016/j.amepre.2007.01.016</w:t>
      </w:r>
    </w:p>
    <w:p w14:paraId="059F68D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Ahern, D. K., Kreslake, J. M., &amp; Phalen, J. M. (2006). What is eHealth (6): Perspectives on the evolution of eHealth research.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(1). https://doi.org/10.2196/jmir.8.1.e4</w:t>
      </w:r>
    </w:p>
    <w:p w14:paraId="4F84B02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Ahmed, H. U., &amp; Mari, J. de J. (2014). The role of research in the prevention of mental disorders. </w:t>
      </w:r>
      <w:r w:rsidRPr="00B75647">
        <w:rPr>
          <w:rFonts w:ascii="Times New Roman" w:hAnsi="Times New Roman" w:cs="Times New Roman"/>
          <w:i/>
          <w:iCs/>
          <w:noProof/>
          <w:szCs w:val="24"/>
        </w:rPr>
        <w:t>Trends in Psychiatry and Psychotherapy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36</w:t>
      </w:r>
      <w:r w:rsidRPr="00B75647">
        <w:rPr>
          <w:rFonts w:ascii="Times New Roman" w:hAnsi="Times New Roman" w:cs="Times New Roman"/>
          <w:noProof/>
          <w:szCs w:val="24"/>
        </w:rPr>
        <w:t>(1), 1–2. https://doi.org/10.1590/2237-6089-2014-1000</w:t>
      </w:r>
    </w:p>
    <w:p w14:paraId="3067AC8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Ahmed, Z., Mohamed, K., Zeeshan, S., &amp; Dong, X. Q. (2020). Artificial intelligence with multi-functional machine learning platform development for better healthcare and precision medicine. </w:t>
      </w:r>
      <w:r w:rsidRPr="00B75647">
        <w:rPr>
          <w:rFonts w:ascii="Times New Roman" w:hAnsi="Times New Roman" w:cs="Times New Roman"/>
          <w:i/>
          <w:iCs/>
          <w:noProof/>
          <w:szCs w:val="24"/>
        </w:rPr>
        <w:t>Database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2020</w:t>
      </w:r>
      <w:r w:rsidRPr="00B75647">
        <w:rPr>
          <w:rFonts w:ascii="Times New Roman" w:hAnsi="Times New Roman" w:cs="Times New Roman"/>
          <w:noProof/>
          <w:szCs w:val="24"/>
        </w:rPr>
        <w:t>, 1–35. https://doi.org/10.1093/database/baaa010</w:t>
      </w:r>
    </w:p>
    <w:p w14:paraId="14528C6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Ajana, B. (2017). Digital health and the biopolitics of the Quantified Self. </w:t>
      </w:r>
      <w:r w:rsidRPr="00B75647">
        <w:rPr>
          <w:rFonts w:ascii="Times New Roman" w:hAnsi="Times New Roman" w:cs="Times New Roman"/>
          <w:i/>
          <w:iCs/>
          <w:noProof/>
          <w:szCs w:val="24"/>
        </w:rPr>
        <w:t>Digital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 205520761668950. https://doi.org/10.1177/2055207616689509</w:t>
      </w:r>
    </w:p>
    <w:p w14:paraId="3DE0878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Ajana, B. (2020). Personal metrics: Users’ experiences and perceptions of self-tracking practices and data. </w:t>
      </w:r>
      <w:r w:rsidRPr="00B75647">
        <w:rPr>
          <w:rFonts w:ascii="Times New Roman" w:hAnsi="Times New Roman" w:cs="Times New Roman"/>
          <w:i/>
          <w:iCs/>
          <w:noProof/>
          <w:szCs w:val="24"/>
        </w:rPr>
        <w:t>Social Science Information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59</w:t>
      </w:r>
      <w:r w:rsidRPr="00B75647">
        <w:rPr>
          <w:rFonts w:ascii="Times New Roman" w:hAnsi="Times New Roman" w:cs="Times New Roman"/>
          <w:noProof/>
          <w:szCs w:val="24"/>
        </w:rPr>
        <w:t>(4), 654–678. https://doi.org/10.1177/0539018420959522</w:t>
      </w:r>
    </w:p>
    <w:p w14:paraId="69BC56E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Aldeer, M., Javanmard, M., &amp; Martin, R. P. (2018). A review of medication adherence monitoring technologies. </w:t>
      </w:r>
      <w:r w:rsidRPr="00B75647">
        <w:rPr>
          <w:rFonts w:ascii="Times New Roman" w:hAnsi="Times New Roman" w:cs="Times New Roman"/>
          <w:i/>
          <w:iCs/>
          <w:noProof/>
          <w:szCs w:val="24"/>
        </w:rPr>
        <w:t>Applied System Innovation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(2), 1–27. https://doi.org/10.3390/asi1020014</w:t>
      </w:r>
    </w:p>
    <w:p w14:paraId="795DD3D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Alexander, R., Aragón, O. R., Bookwala, J., Cherbuin, N., Gatt, J. M., Kahrilas, I. J., Kästner, N., Lawrence, A., Lowe, L., Morrison, R. G., Mueller, S. C., Nusslock, R., Papadelis, C., Polnaszek, K. L., Helene Richter, S., Silton, R. L., &amp; Styliadis, C. (2021). The neuroscience of positive emotions and affect: Implications for cultivating happiness and wellbeing. </w:t>
      </w:r>
      <w:r w:rsidRPr="00B75647">
        <w:rPr>
          <w:rFonts w:ascii="Times New Roman" w:hAnsi="Times New Roman" w:cs="Times New Roman"/>
          <w:i/>
          <w:iCs/>
          <w:noProof/>
          <w:szCs w:val="24"/>
        </w:rPr>
        <w:t>Neuroscience and Biobehavioral Reviews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121</w:t>
      </w:r>
      <w:r w:rsidRPr="00B75647">
        <w:rPr>
          <w:rFonts w:ascii="Times New Roman" w:hAnsi="Times New Roman" w:cs="Times New Roman"/>
          <w:noProof/>
          <w:szCs w:val="24"/>
        </w:rPr>
        <w:t>, 220–249. https://doi.org/10.1016/j.neubiorev.2020.12.002</w:t>
      </w:r>
    </w:p>
    <w:p w14:paraId="1F950B1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Allen, L. N., &amp; Christie, G. P. (2016). The Emergence of Personalized Health Technology.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(5), e99–e99. https://doi.org/10.2196/jmir.5357</w:t>
      </w:r>
    </w:p>
    <w:p w14:paraId="33D65FE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Altheide, D. L., &amp; Johnson, J. M. (1994). </w:t>
      </w:r>
      <w:r w:rsidRPr="00B75647">
        <w:rPr>
          <w:rFonts w:ascii="Times New Roman" w:hAnsi="Times New Roman" w:cs="Times New Roman"/>
          <w:i/>
          <w:iCs/>
          <w:noProof/>
          <w:szCs w:val="24"/>
        </w:rPr>
        <w:t>Criteria for assessing interpretive validity in qualitative research.</w:t>
      </w:r>
    </w:p>
    <w:p w14:paraId="422AA4E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Anderson, D. (2019). Artificial Intelligence and Applications in PM&amp;R. </w:t>
      </w:r>
      <w:r w:rsidRPr="00B75647">
        <w:rPr>
          <w:rFonts w:ascii="Times New Roman" w:hAnsi="Times New Roman" w:cs="Times New Roman"/>
          <w:i/>
          <w:iCs/>
          <w:noProof/>
          <w:szCs w:val="24"/>
        </w:rPr>
        <w:t>American Journal of Physical Medicine &amp; Rehabilitation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98</w:t>
      </w:r>
      <w:r w:rsidRPr="00B75647">
        <w:rPr>
          <w:rFonts w:ascii="Times New Roman" w:hAnsi="Times New Roman" w:cs="Times New Roman"/>
          <w:noProof/>
          <w:szCs w:val="24"/>
        </w:rPr>
        <w:t>(11). https://journals.lww.com/ajpmr/Fulltext/2019/11000/Artificial_Intelligence_and_Applications_in_PM_R.18.aspx</w:t>
      </w:r>
    </w:p>
    <w:p w14:paraId="7905B07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Anderson, L., &amp; Ostrom, A. L. (2015). </w:t>
      </w:r>
      <w:r w:rsidRPr="00B75647">
        <w:rPr>
          <w:rFonts w:ascii="Times New Roman" w:hAnsi="Times New Roman" w:cs="Times New Roman"/>
          <w:i/>
          <w:iCs/>
          <w:noProof/>
          <w:szCs w:val="24"/>
        </w:rPr>
        <w:t>Transformative service research: advancing our knowledge about service and well-being</w:t>
      </w:r>
      <w:r w:rsidRPr="00B75647">
        <w:rPr>
          <w:rFonts w:ascii="Times New Roman" w:hAnsi="Times New Roman" w:cs="Times New Roman"/>
          <w:noProof/>
          <w:szCs w:val="24"/>
        </w:rPr>
        <w:t>. SAGE Publications Sage CA: Los Angeles, CA.</w:t>
      </w:r>
    </w:p>
    <w:p w14:paraId="6A4F06E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Anderson, L., Ostrom, A. L., Corus, C., Fisk, R. P., Gallan, A. S., Giraldo, M., Mende, M., Mulder, M., Rayburn, S. W., &amp; Rosenbaum, M. S. (2013). Transformative service research: An agenda for the future.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66</w:t>
      </w:r>
      <w:r w:rsidRPr="00B75647">
        <w:rPr>
          <w:rFonts w:ascii="Times New Roman" w:hAnsi="Times New Roman" w:cs="Times New Roman"/>
          <w:noProof/>
          <w:szCs w:val="24"/>
        </w:rPr>
        <w:t>(8), 1203–1210.</w:t>
      </w:r>
    </w:p>
    <w:p w14:paraId="74C82DD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Andrew, C. (2018). </w:t>
      </w:r>
      <w:r w:rsidRPr="00B75647">
        <w:rPr>
          <w:rFonts w:ascii="Times New Roman" w:hAnsi="Times New Roman" w:cs="Times New Roman"/>
          <w:i/>
          <w:iCs/>
          <w:noProof/>
          <w:szCs w:val="24"/>
        </w:rPr>
        <w:t>Frequency Bands – What Are They And How Do I Access Them?</w:t>
      </w:r>
      <w:r w:rsidRPr="00B75647">
        <w:rPr>
          <w:rFonts w:ascii="Times New Roman" w:hAnsi="Times New Roman" w:cs="Times New Roman"/>
          <w:noProof/>
          <w:szCs w:val="24"/>
        </w:rPr>
        <w:t xml:space="preserve"> Emotiv. https://www.emotiv.com/knowledge-base/frequency-bands-what-are-they-and-how-do-i-access-them/</w:t>
      </w:r>
    </w:p>
    <w:p w14:paraId="3E94A41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Ansar, W., &amp; Goswami, S. (2021). Combating the menace: A survey on characterization and detection of fake news from a data science perspective. </w:t>
      </w:r>
      <w:r w:rsidRPr="00B75647">
        <w:rPr>
          <w:rFonts w:ascii="Times New Roman" w:hAnsi="Times New Roman" w:cs="Times New Roman"/>
          <w:i/>
          <w:iCs/>
          <w:noProof/>
          <w:szCs w:val="24"/>
        </w:rPr>
        <w:t>International Journal of Information Management Data Insights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(2), 100052. https://doi.org/10.1016/j.jjimei.2021.100052</w:t>
      </w:r>
    </w:p>
    <w:p w14:paraId="67671B4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Araújo, T., Chagas, P., Alves, J., Santos, C., Sousa Santos, B., &amp; Serique Meiguins, B. (2020). A Real-World Approach on the Problem of Chart Recognition Using Classification, Detection and Perspective Correction. </w:t>
      </w:r>
      <w:r w:rsidRPr="00B75647">
        <w:rPr>
          <w:rFonts w:ascii="Times New Roman" w:hAnsi="Times New Roman" w:cs="Times New Roman"/>
          <w:i/>
          <w:iCs/>
          <w:noProof/>
          <w:szCs w:val="24"/>
        </w:rPr>
        <w:t>Sensors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(16). https://doi.org/10.3390/s20164370</w:t>
      </w:r>
    </w:p>
    <w:p w14:paraId="798E83B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Arpitha, M. S., Mithun, K. A., Rakesh, S., Singh, A., &amp; Yadav, A. (2018). Better Healthcare using Machine Learning. </w:t>
      </w:r>
      <w:r w:rsidRPr="00B75647">
        <w:rPr>
          <w:rFonts w:ascii="Times New Roman" w:hAnsi="Times New Roman" w:cs="Times New Roman"/>
          <w:i/>
          <w:iCs/>
          <w:noProof/>
          <w:szCs w:val="24"/>
        </w:rPr>
        <w:t>International Journal of Advanced Research in Computer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(3), 10–14. https://doi.org/10.1109/ABLAZE.2015.7154917</w:t>
      </w:r>
    </w:p>
    <w:p w14:paraId="6B5F757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Ary, D., Jacobs, L. C., &amp; Razavieh, A., Ary, D., Jacobs, L., Sorensen, C., &amp; Razavieh, A. (2018). </w:t>
      </w:r>
      <w:r w:rsidRPr="00B75647">
        <w:rPr>
          <w:rFonts w:ascii="Times New Roman" w:hAnsi="Times New Roman" w:cs="Times New Roman"/>
          <w:i/>
          <w:iCs/>
          <w:noProof/>
          <w:szCs w:val="24"/>
        </w:rPr>
        <w:t>Introduction to research in education</w:t>
      </w:r>
      <w:r w:rsidRPr="00B75647">
        <w:rPr>
          <w:rFonts w:ascii="Times New Roman" w:hAnsi="Times New Roman" w:cs="Times New Roman"/>
          <w:noProof/>
          <w:szCs w:val="24"/>
        </w:rPr>
        <w:t>. Cengage Learning.</w:t>
      </w:r>
    </w:p>
    <w:p w14:paraId="482A57C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Asan, O., Bayrak, A. E., &amp; Choudhury, A. (2020). Artificial Intelligence and Human Trust in Healthcare: Focus on Clinicians.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(6), 1–7. https://doi.org/10.2196/15154</w:t>
      </w:r>
    </w:p>
    <w:p w14:paraId="1B766FB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Asimakopoulos, S., Asimakopoulos, G., &amp; Spillers, F. (2017). Motivation and user engagement in fitness tracking: Heuristics for mobile healthcare wearables. </w:t>
      </w:r>
      <w:r w:rsidRPr="00B75647">
        <w:rPr>
          <w:rFonts w:ascii="Times New Roman" w:hAnsi="Times New Roman" w:cs="Times New Roman"/>
          <w:i/>
          <w:iCs/>
          <w:noProof/>
          <w:szCs w:val="24"/>
        </w:rPr>
        <w:t>Informatics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(1), 5.</w:t>
      </w:r>
    </w:p>
    <w:p w14:paraId="29A9AEE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Asio, J. M. R. (2021). Determinants of work productivity among selected tertiary education employees: A PreCOVID-19 pandemic analysis. </w:t>
      </w:r>
      <w:r w:rsidRPr="00B75647">
        <w:rPr>
          <w:rFonts w:ascii="Times New Roman" w:hAnsi="Times New Roman" w:cs="Times New Roman"/>
          <w:i/>
          <w:iCs/>
          <w:noProof/>
          <w:szCs w:val="24"/>
        </w:rPr>
        <w:t>Asio, JMR (2021). Determinants of Work Productivity among Selected Tertiary Education Employees: A PreCOVID-19 Pandemic Analysis. International Journal of Didactical Studies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(1), 101455.</w:t>
      </w:r>
    </w:p>
    <w:p w14:paraId="6DA8B14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Åslund, C., Starrin, B., &amp; Nilsson, K. W. (2014). Psychosomatic symptoms and low psychological well-being in relation to employment status: The influence of social capital in a large cross-sectional study in Sweden. </w:t>
      </w:r>
      <w:r w:rsidRPr="00B75647">
        <w:rPr>
          <w:rFonts w:ascii="Times New Roman" w:hAnsi="Times New Roman" w:cs="Times New Roman"/>
          <w:i/>
          <w:iCs/>
          <w:noProof/>
          <w:szCs w:val="24"/>
        </w:rPr>
        <w:t>International Journal for Equity in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(1), 1–10. https://doi.org/10.1186/1475-9276-13-22</w:t>
      </w:r>
    </w:p>
    <w:p w14:paraId="7BA6FD2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Auf, H., Dagman, J., Renström, S., &amp; Chaplin, J. (2021). Gamification and Nudging Techniques for Improving User Engagement in Mental Health and Well-Being Apps. </w:t>
      </w:r>
      <w:r w:rsidRPr="00B75647">
        <w:rPr>
          <w:rFonts w:ascii="Times New Roman" w:hAnsi="Times New Roman" w:cs="Times New Roman"/>
          <w:i/>
          <w:iCs/>
          <w:noProof/>
          <w:szCs w:val="24"/>
        </w:rPr>
        <w:t>Proceedings of the Design Society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(AUGUST), 1647–1656. https://doi.org/10.1017/pds.2021.426</w:t>
      </w:r>
    </w:p>
    <w:p w14:paraId="504B099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Australian Institute of Health and Welfare. (2020). Physical health of people with mental illness. </w:t>
      </w:r>
      <w:r w:rsidRPr="00B75647">
        <w:rPr>
          <w:rFonts w:ascii="Times New Roman" w:hAnsi="Times New Roman" w:cs="Times New Roman"/>
          <w:i/>
          <w:iCs/>
          <w:noProof/>
          <w:szCs w:val="24"/>
        </w:rPr>
        <w:t>AIHW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 1–6. https://www.aihw.gov.au/reports/australias-health/physical-health-of-people-with-mental-illness</w:t>
      </w:r>
    </w:p>
    <w:p w14:paraId="69BC2E9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Balcombe, L., &amp; De Leo, D. (2021). Digital mental health challenges and the horizon ahead for solutions. </w:t>
      </w:r>
      <w:r w:rsidRPr="00B75647">
        <w:rPr>
          <w:rFonts w:ascii="Times New Roman" w:hAnsi="Times New Roman" w:cs="Times New Roman"/>
          <w:i/>
          <w:iCs/>
          <w:noProof/>
          <w:szCs w:val="24"/>
        </w:rPr>
        <w:t>JMIR Mental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(3). https://doi.org/10.2196/26811</w:t>
      </w:r>
    </w:p>
    <w:p w14:paraId="735421E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Barile, S., Grimaldi, M., Loia, F., &amp; Sirianni, C. A. (2020). Technology, value co-creation and innovation in service ecosystems: Toward sustainable co-innovation. </w:t>
      </w:r>
      <w:r w:rsidRPr="00B75647">
        <w:rPr>
          <w:rFonts w:ascii="Times New Roman" w:hAnsi="Times New Roman" w:cs="Times New Roman"/>
          <w:i/>
          <w:iCs/>
          <w:noProof/>
          <w:szCs w:val="24"/>
        </w:rPr>
        <w:t>Sustainability (Switzerland)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(7). https://doi.org/10.3390/su12072759</w:t>
      </w:r>
    </w:p>
    <w:p w14:paraId="7DA6A7C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Baron, R. A. (1991). Positive effects of conflict: A cognitive perspective. </w:t>
      </w:r>
      <w:r w:rsidRPr="00B75647">
        <w:rPr>
          <w:rFonts w:ascii="Times New Roman" w:hAnsi="Times New Roman" w:cs="Times New Roman"/>
          <w:i/>
          <w:iCs/>
          <w:noProof/>
          <w:szCs w:val="24"/>
        </w:rPr>
        <w:t>Employee Responsibilities and Rights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(1), 25–36.</w:t>
      </w:r>
    </w:p>
    <w:p w14:paraId="7D80B63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Bartlett, C. J., &amp; Coles, E. C. (1998). Psychological health and well-being: Why and how should public health specialists measure it? part 2: Stress, subjective well-being and overall conclusions. </w:t>
      </w:r>
      <w:r w:rsidRPr="00B75647">
        <w:rPr>
          <w:rFonts w:ascii="Times New Roman" w:hAnsi="Times New Roman" w:cs="Times New Roman"/>
          <w:i/>
          <w:iCs/>
          <w:noProof/>
          <w:szCs w:val="24"/>
        </w:rPr>
        <w:t>Journal of Public Health (United Kingdom)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(3), 288–294. https://doi.org/10.1093/oxfordjournals.pubmed.a024771</w:t>
      </w:r>
    </w:p>
    <w:p w14:paraId="4DDC671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Bates, D., Mächler, M., Bolker, B., &amp; Walker, S. (2014). Fitting linear mixed-effects models using lme4. </w:t>
      </w:r>
      <w:r w:rsidRPr="00B75647">
        <w:rPr>
          <w:rFonts w:ascii="Times New Roman" w:hAnsi="Times New Roman" w:cs="Times New Roman"/>
          <w:i/>
          <w:iCs/>
          <w:noProof/>
          <w:szCs w:val="24"/>
        </w:rPr>
        <w:t>ArXiv Preprint ArXiv:1406.5823</w:t>
      </w:r>
      <w:r w:rsidRPr="00B75647">
        <w:rPr>
          <w:rFonts w:ascii="Times New Roman" w:hAnsi="Times New Roman" w:cs="Times New Roman"/>
          <w:noProof/>
          <w:szCs w:val="24"/>
        </w:rPr>
        <w:t>.</w:t>
      </w:r>
    </w:p>
    <w:p w14:paraId="1B6B3C2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Behera, R. K., Bala, P. K., &amp; Dhir, A. (2019). The emerging role of cognitive computing in healthcare: A systematic literature review. </w:t>
      </w:r>
      <w:r w:rsidRPr="00B75647">
        <w:rPr>
          <w:rFonts w:ascii="Times New Roman" w:hAnsi="Times New Roman" w:cs="Times New Roman"/>
          <w:i/>
          <w:iCs/>
          <w:noProof/>
          <w:szCs w:val="24"/>
        </w:rPr>
        <w:t>International Journal of Medical Informatics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129</w:t>
      </w:r>
      <w:r w:rsidRPr="00B75647">
        <w:rPr>
          <w:rFonts w:ascii="Times New Roman" w:hAnsi="Times New Roman" w:cs="Times New Roman"/>
          <w:noProof/>
          <w:szCs w:val="24"/>
        </w:rPr>
        <w:t>(July), 154–166. https://doi.org/10.1016/j.ijmedinf.2019.04.024</w:t>
      </w:r>
    </w:p>
    <w:p w14:paraId="7BEFDF3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Bengtsson, M. (2016). How to plan and perform a qualitative study using content analysis. </w:t>
      </w:r>
      <w:r w:rsidRPr="00B75647">
        <w:rPr>
          <w:rFonts w:ascii="Times New Roman" w:hAnsi="Times New Roman" w:cs="Times New Roman"/>
          <w:i/>
          <w:iCs/>
          <w:noProof/>
          <w:szCs w:val="24"/>
        </w:rPr>
        <w:t>NursingPlus Open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(February), 8–14. https://doi.org/10.1016/j.npls.2016.01.001</w:t>
      </w:r>
    </w:p>
    <w:p w14:paraId="3C521CA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Bennett, J., Rokas, O., &amp; Chen, L. (2017). Healthcare in the Smart Home: A study of past, present and future. </w:t>
      </w:r>
      <w:r w:rsidRPr="00B75647">
        <w:rPr>
          <w:rFonts w:ascii="Times New Roman" w:hAnsi="Times New Roman" w:cs="Times New Roman"/>
          <w:i/>
          <w:iCs/>
          <w:noProof/>
          <w:szCs w:val="24"/>
        </w:rPr>
        <w:t>Sustainability (Switzerland)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(5), 1–23. https://doi.org/10.3390/su9050840</w:t>
      </w:r>
    </w:p>
    <w:p w14:paraId="352272B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Berman, E. (2017). An Exploratory Sequential Mixed Methods Approach to Understanding Researchers’ Data Management Practices at UVM: Integrated Findings to Develop Research Data Services. </w:t>
      </w:r>
      <w:r w:rsidRPr="00B75647">
        <w:rPr>
          <w:rFonts w:ascii="Times New Roman" w:hAnsi="Times New Roman" w:cs="Times New Roman"/>
          <w:i/>
          <w:iCs/>
          <w:noProof/>
          <w:szCs w:val="24"/>
        </w:rPr>
        <w:t>Journal of EScience Librarianship</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(1), e1104. https://doi.org/10.7191/jeslib.2017.1104</w:t>
      </w:r>
    </w:p>
    <w:p w14:paraId="0597788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Berry, L. L. (2019). Service innovation is urgent in healthcare. </w:t>
      </w:r>
      <w:r w:rsidRPr="00B75647">
        <w:rPr>
          <w:rFonts w:ascii="Times New Roman" w:hAnsi="Times New Roman" w:cs="Times New Roman"/>
          <w:i/>
          <w:iCs/>
          <w:noProof/>
          <w:szCs w:val="24"/>
        </w:rPr>
        <w:t>AMS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(1–2), 78–92. https://doi.org/10.1007/s13162-019-00135-x</w:t>
      </w:r>
    </w:p>
    <w:p w14:paraId="1EF68BD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Berry, L. L., &amp; Bendapudi, N. (2007). Health Care: A Fertile Field for Service Research.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(2), 111–122. https://doi.org/10.1177/1094670507306682</w:t>
      </w:r>
    </w:p>
    <w:p w14:paraId="735E5EB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Blumberg, B. F., Cooper, D. R., &amp; Schindler, P. S. (2005). Survey research. </w:t>
      </w:r>
      <w:r w:rsidRPr="00B75647">
        <w:rPr>
          <w:rFonts w:ascii="Times New Roman" w:hAnsi="Times New Roman" w:cs="Times New Roman"/>
          <w:i/>
          <w:iCs/>
          <w:noProof/>
          <w:szCs w:val="24"/>
        </w:rPr>
        <w:t>Business Research Methods</w:t>
      </w:r>
      <w:r w:rsidRPr="00B75647">
        <w:rPr>
          <w:rFonts w:ascii="Times New Roman" w:hAnsi="Times New Roman" w:cs="Times New Roman"/>
          <w:noProof/>
          <w:szCs w:val="24"/>
        </w:rPr>
        <w:t>, 243–276.</w:t>
      </w:r>
    </w:p>
    <w:p w14:paraId="0664562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Boehm, J. K., &amp; Kubzansky, L. D. (2012). The heart’s content: The association between positive psychological well-being and cardiovascular health. In </w:t>
      </w:r>
      <w:r w:rsidRPr="00B75647">
        <w:rPr>
          <w:rFonts w:ascii="Times New Roman" w:hAnsi="Times New Roman" w:cs="Times New Roman"/>
          <w:i/>
          <w:iCs/>
          <w:noProof/>
          <w:szCs w:val="24"/>
        </w:rPr>
        <w:t>Psychological Bulletin</w:t>
      </w:r>
      <w:r w:rsidRPr="00B75647">
        <w:rPr>
          <w:rFonts w:ascii="Times New Roman" w:hAnsi="Times New Roman" w:cs="Times New Roman"/>
          <w:noProof/>
          <w:szCs w:val="24"/>
        </w:rPr>
        <w:t xml:space="preserve"> (Vol. 138, Issue 4, pp. 655–691). American Psychological Association. https://doi.org/10.1037/a0027448</w:t>
      </w:r>
    </w:p>
    <w:p w14:paraId="52497DD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Bohr, A., &amp; Memarzadeh, K. (2020). The rise of artificial intelligence in healthcare applications. </w:t>
      </w:r>
      <w:r w:rsidRPr="00B75647">
        <w:rPr>
          <w:rFonts w:ascii="Times New Roman" w:hAnsi="Times New Roman" w:cs="Times New Roman"/>
          <w:i/>
          <w:iCs/>
          <w:noProof/>
          <w:szCs w:val="24"/>
        </w:rPr>
        <w:t>Artificial Intelligence in Healthcare</w:t>
      </w:r>
      <w:r w:rsidRPr="00B75647">
        <w:rPr>
          <w:rFonts w:ascii="Times New Roman" w:hAnsi="Times New Roman" w:cs="Times New Roman"/>
          <w:noProof/>
          <w:szCs w:val="24"/>
        </w:rPr>
        <w:t>, 25–60. https://doi.org/10.1016/B978-0-12-818438-7.00002-2</w:t>
      </w:r>
    </w:p>
    <w:p w14:paraId="686C937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Bolarinwa, O. (2015). Principles and methods of validity and reliability testing of questionnaires used in social and health science researches. </w:t>
      </w:r>
      <w:r w:rsidRPr="00B75647">
        <w:rPr>
          <w:rFonts w:ascii="Times New Roman" w:hAnsi="Times New Roman" w:cs="Times New Roman"/>
          <w:i/>
          <w:iCs/>
          <w:noProof/>
          <w:szCs w:val="24"/>
        </w:rPr>
        <w:t>Nigerian Postgraduate Medical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(4), 195. https://doi.org/10.4103/1117-1936.173959</w:t>
      </w:r>
    </w:p>
    <w:p w14:paraId="2863171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Bornmann, L. (2013). What is societal impact of research and how can it be assessed? a literature survey. </w:t>
      </w:r>
      <w:r w:rsidRPr="00B75647">
        <w:rPr>
          <w:rFonts w:ascii="Times New Roman" w:hAnsi="Times New Roman" w:cs="Times New Roman"/>
          <w:i/>
          <w:iCs/>
          <w:noProof/>
          <w:szCs w:val="24"/>
        </w:rPr>
        <w:t>Journal of the American Society for Information Science and Technology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64</w:t>
      </w:r>
      <w:r w:rsidRPr="00B75647">
        <w:rPr>
          <w:rFonts w:ascii="Times New Roman" w:hAnsi="Times New Roman" w:cs="Times New Roman"/>
          <w:noProof/>
          <w:szCs w:val="24"/>
        </w:rPr>
        <w:t>(2), 217–233. https://doi.org/10.1002/asi.22803</w:t>
      </w:r>
    </w:p>
    <w:p w14:paraId="7C79069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Bosle, C., Fischer, J. E., &amp; Herr, R. M. (2021). Creating a measure to operationalize engaged well-being at work. </w:t>
      </w:r>
      <w:r w:rsidRPr="00B75647">
        <w:rPr>
          <w:rFonts w:ascii="Times New Roman" w:hAnsi="Times New Roman" w:cs="Times New Roman"/>
          <w:i/>
          <w:iCs/>
          <w:noProof/>
          <w:szCs w:val="24"/>
        </w:rPr>
        <w:t>Journal of Occupational Medicine and Toxicology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(1), 1–12. https://doi.org/10.1186/s12995-021-00297-0</w:t>
      </w:r>
    </w:p>
    <w:p w14:paraId="49FFEFF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Bughin, J., Hazan, E., Allas, T., Hjartar, K., Manyika, J., Sjatil, P. E., &amp; Shigina, I. (2019). Tech for Good Smoothing disruption, improving well-being. </w:t>
      </w:r>
      <w:r w:rsidRPr="00B75647">
        <w:rPr>
          <w:rFonts w:ascii="Times New Roman" w:hAnsi="Times New Roman" w:cs="Times New Roman"/>
          <w:i/>
          <w:iCs/>
          <w:noProof/>
          <w:szCs w:val="24"/>
        </w:rPr>
        <w:t>McKinsey Global Institute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May</w:t>
      </w:r>
      <w:r w:rsidRPr="00B75647">
        <w:rPr>
          <w:rFonts w:ascii="Times New Roman" w:hAnsi="Times New Roman" w:cs="Times New Roman"/>
          <w:noProof/>
          <w:szCs w:val="24"/>
        </w:rPr>
        <w:t>, 1–78. https://www.mckinsey.com/~/media/mckinsey/featured insights/future of organizations/tech for good using technology to smooth disruption and improve well being/tech-for-good-mgi-discussion-paper.ashx</w:t>
      </w:r>
    </w:p>
    <w:p w14:paraId="7AA6518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Bui, T., Zackula, R., Dugan, K., &amp; Ablah, E. (2021). Workplace Stress and Productivity: A Cross-Sectional Study. </w:t>
      </w:r>
      <w:r w:rsidRPr="00B75647">
        <w:rPr>
          <w:rFonts w:ascii="Times New Roman" w:hAnsi="Times New Roman" w:cs="Times New Roman"/>
          <w:i/>
          <w:iCs/>
          <w:noProof/>
          <w:szCs w:val="24"/>
        </w:rPr>
        <w:t>Kansas Journal of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14</w:t>
      </w:r>
      <w:r w:rsidRPr="00B75647">
        <w:rPr>
          <w:rFonts w:ascii="Times New Roman" w:hAnsi="Times New Roman" w:cs="Times New Roman"/>
          <w:noProof/>
          <w:szCs w:val="24"/>
        </w:rPr>
        <w:t>, 42–45. https://doi.org/10.17161/kjm.vol1413424</w:t>
      </w:r>
    </w:p>
    <w:p w14:paraId="59920CE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Butryn, M. L., Arigo, D., Raggio, G. A., Colasanti, M., &amp; Forman, E. M. (2016). Enhancing physical activity promotion in midlife women with technology-based self-monitoring and social connectivity: a pilot study. </w:t>
      </w:r>
      <w:r w:rsidRPr="00B75647">
        <w:rPr>
          <w:rFonts w:ascii="Times New Roman" w:hAnsi="Times New Roman" w:cs="Times New Roman"/>
          <w:i/>
          <w:iCs/>
          <w:noProof/>
          <w:szCs w:val="24"/>
        </w:rPr>
        <w:t>Journal of Health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(8), 1548–1555.</w:t>
      </w:r>
    </w:p>
    <w:p w14:paraId="530676C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Caballé, N. C., Castillo-Sequera, J. L., Gómez-Pulido, J. A., Gómez-Pulido, J. M., &amp; Polo-Luque, M. L. (2020). Machine learning applied to diagnosis of human diseases: A systematic review. </w:t>
      </w:r>
      <w:r w:rsidRPr="00B75647">
        <w:rPr>
          <w:rFonts w:ascii="Times New Roman" w:hAnsi="Times New Roman" w:cs="Times New Roman"/>
          <w:i/>
          <w:iCs/>
          <w:noProof/>
          <w:szCs w:val="24"/>
        </w:rPr>
        <w:t>Applied Sciences (Switzerland)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(15), 1–28. https://doi.org/10.3390/app10155135</w:t>
      </w:r>
    </w:p>
    <w:p w14:paraId="3A0871B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Cabitza, F., Rasoini, R., &amp; Gensini, G. F. (2017). Unintended consequences of machine learning in medicine. </w:t>
      </w:r>
      <w:r w:rsidRPr="00B75647">
        <w:rPr>
          <w:rFonts w:ascii="Times New Roman" w:hAnsi="Times New Roman" w:cs="Times New Roman"/>
          <w:i/>
          <w:iCs/>
          <w:noProof/>
          <w:szCs w:val="24"/>
        </w:rPr>
        <w:t>JAMA - Journal of the American Medical Association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318</w:t>
      </w:r>
      <w:r w:rsidRPr="00B75647">
        <w:rPr>
          <w:rFonts w:ascii="Times New Roman" w:hAnsi="Times New Roman" w:cs="Times New Roman"/>
          <w:noProof/>
          <w:szCs w:val="24"/>
        </w:rPr>
        <w:t>(6), 517–518. https://doi.org/10.1001/jama.2017.7797</w:t>
      </w:r>
    </w:p>
    <w:p w14:paraId="71001C4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Čaić, M., Odekerken-Schröder, G., &amp; Mahr, D. (2018). Service robots: value co-creation and co-destruction in elderly care networks. </w:t>
      </w:r>
      <w:r w:rsidRPr="00B75647">
        <w:rPr>
          <w:rFonts w:ascii="Times New Roman" w:hAnsi="Times New Roman" w:cs="Times New Roman"/>
          <w:i/>
          <w:iCs/>
          <w:noProof/>
          <w:szCs w:val="24"/>
        </w:rPr>
        <w:t>Journal of Service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29</w:t>
      </w:r>
      <w:r w:rsidRPr="00B75647">
        <w:rPr>
          <w:rFonts w:ascii="Times New Roman" w:hAnsi="Times New Roman" w:cs="Times New Roman"/>
          <w:noProof/>
          <w:szCs w:val="24"/>
        </w:rPr>
        <w:t>(2), 178–205. https://doi.org/10.1108/JOSM-07-2017-0179</w:t>
      </w:r>
    </w:p>
    <w:p w14:paraId="2C49A79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Cannard, C., Brandmeyer, T., Wahbeh, H., &amp; Delorme, A. (2020). Self-health monitoring and wearable neurotechnologies. </w:t>
      </w:r>
      <w:r w:rsidRPr="00B75647">
        <w:rPr>
          <w:rFonts w:ascii="Times New Roman" w:hAnsi="Times New Roman" w:cs="Times New Roman"/>
          <w:i/>
          <w:iCs/>
          <w:noProof/>
          <w:szCs w:val="24"/>
        </w:rPr>
        <w:t>Handbook of Clinical Neurology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168</w:t>
      </w:r>
      <w:r w:rsidRPr="00B75647">
        <w:rPr>
          <w:rFonts w:ascii="Times New Roman" w:hAnsi="Times New Roman" w:cs="Times New Roman"/>
          <w:noProof/>
          <w:szCs w:val="24"/>
        </w:rPr>
        <w:t>, 207–232. https://doi.org/10.1016/B978-0-444-63934-9.00016-0</w:t>
      </w:r>
    </w:p>
    <w:p w14:paraId="20AFE10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Car, J., Tan, W. S., Huang, Z., Sloot, P., &amp; Franklin, B. D. (2017). eHealth in the future of medications management: Personalisation, monitoring and adherence. </w:t>
      </w:r>
      <w:r w:rsidRPr="00B75647">
        <w:rPr>
          <w:rFonts w:ascii="Times New Roman" w:hAnsi="Times New Roman" w:cs="Times New Roman"/>
          <w:i/>
          <w:iCs/>
          <w:noProof/>
          <w:szCs w:val="24"/>
        </w:rPr>
        <w:t>BMC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(1). https://doi.org/10.1186/s12916-017-0838-0</w:t>
      </w:r>
    </w:p>
    <w:p w14:paraId="16582C0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Carruthers, C., &amp; Hood, C. D. (2004). The power of the positive: Leisure and well-being. </w:t>
      </w:r>
      <w:r w:rsidRPr="00B75647">
        <w:rPr>
          <w:rFonts w:ascii="Times New Roman" w:hAnsi="Times New Roman" w:cs="Times New Roman"/>
          <w:i/>
          <w:iCs/>
          <w:noProof/>
          <w:szCs w:val="24"/>
        </w:rPr>
        <w:t>Therapeutic Recreation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38</w:t>
      </w:r>
      <w:r w:rsidRPr="00B75647">
        <w:rPr>
          <w:rFonts w:ascii="Times New Roman" w:hAnsi="Times New Roman" w:cs="Times New Roman"/>
          <w:noProof/>
          <w:szCs w:val="24"/>
        </w:rPr>
        <w:t>(2), 225–245.</w:t>
      </w:r>
    </w:p>
    <w:p w14:paraId="4F9DA64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Cearns, M., Hahn, T., &amp; Baune, B. T. (2019). Recommendations and future directions for supervised machine learning in psychiatry. </w:t>
      </w:r>
      <w:r w:rsidRPr="00B75647">
        <w:rPr>
          <w:rFonts w:ascii="Times New Roman" w:hAnsi="Times New Roman" w:cs="Times New Roman"/>
          <w:i/>
          <w:iCs/>
          <w:noProof/>
          <w:szCs w:val="24"/>
        </w:rPr>
        <w:t>Translational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(1). https://doi.org/10.1038/s41398-019-0607-2</w:t>
      </w:r>
    </w:p>
    <w:p w14:paraId="6E0142F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Ceri, V., &amp; Cicek, I. (2021). Psychological Well-Being, Depression and Stress During COVID-19 Pandemic in Turkey: A Comparative Study of Healthcare Professionals and Non-Healthcare Professionals. </w:t>
      </w:r>
      <w:r w:rsidRPr="00B75647">
        <w:rPr>
          <w:rFonts w:ascii="Times New Roman" w:hAnsi="Times New Roman" w:cs="Times New Roman"/>
          <w:i/>
          <w:iCs/>
          <w:noProof/>
          <w:szCs w:val="24"/>
        </w:rPr>
        <w:t>Psychology, Health and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26</w:t>
      </w:r>
      <w:r w:rsidRPr="00B75647">
        <w:rPr>
          <w:rFonts w:ascii="Times New Roman" w:hAnsi="Times New Roman" w:cs="Times New Roman"/>
          <w:noProof/>
          <w:szCs w:val="24"/>
        </w:rPr>
        <w:t>(1), 85–97. https://doi.org/10.1080/13548506.2020.1859566</w:t>
      </w:r>
    </w:p>
    <w:p w14:paraId="4173E98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Chakrabartty, S. N. (2013). Best split-half and maximum reliability. </w:t>
      </w:r>
      <w:r w:rsidRPr="00B75647">
        <w:rPr>
          <w:rFonts w:ascii="Times New Roman" w:hAnsi="Times New Roman" w:cs="Times New Roman"/>
          <w:i/>
          <w:iCs/>
          <w:noProof/>
          <w:szCs w:val="24"/>
        </w:rPr>
        <w:t>IOSR Journal of Research &amp; Method in Education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(1), 1–8.</w:t>
      </w:r>
    </w:p>
    <w:p w14:paraId="16D1F4F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Chamorro-Koc, M., Peake, J., Meek, A., &amp; Manimont, G. (2021). Self-efficacy and trust in consumers’ use of health-technologies devices for sports. </w:t>
      </w:r>
      <w:r w:rsidRPr="00B75647">
        <w:rPr>
          <w:rFonts w:ascii="Times New Roman" w:hAnsi="Times New Roman" w:cs="Times New Roman"/>
          <w:i/>
          <w:iCs/>
          <w:noProof/>
          <w:szCs w:val="24"/>
        </w:rPr>
        <w:t>Heliyon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(8), e07794. https://doi.org/10.1016/j.heliyon.2021.e07794</w:t>
      </w:r>
    </w:p>
    <w:p w14:paraId="0FAFB8A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Chandler, J. D., &amp; Vargo, S. L. (2011). Contextualization and value-in-context: How context frames exchange. </w:t>
      </w:r>
      <w:r w:rsidRPr="00B75647">
        <w:rPr>
          <w:rFonts w:ascii="Times New Roman" w:hAnsi="Times New Roman" w:cs="Times New Roman"/>
          <w:i/>
          <w:iCs/>
          <w:noProof/>
          <w:szCs w:val="24"/>
        </w:rPr>
        <w:t>Marketing Theory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(1), 35–49.</w:t>
      </w:r>
    </w:p>
    <w:p w14:paraId="634B50A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Chen, J., &amp; See, K. C. (2020). Artificial Intelligence for COVID-19: Rapid Review.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(10). https://doi.org/10.2196/21476</w:t>
      </w:r>
    </w:p>
    <w:p w14:paraId="5B62182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Chicco, D., Warrens, M. J., &amp; Jurman, G. (2021). The coefficient of determination R-squared is more informative than SMAPE, MAE, MAPE, MSE and RMSE in regression analysis evaluation. </w:t>
      </w:r>
      <w:r w:rsidRPr="00B75647">
        <w:rPr>
          <w:rFonts w:ascii="Times New Roman" w:hAnsi="Times New Roman" w:cs="Times New Roman"/>
          <w:i/>
          <w:iCs/>
          <w:noProof/>
          <w:szCs w:val="24"/>
        </w:rPr>
        <w:t>PeerJ Computer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 1–24. https://doi.org/10.7717/PEERJ-CS.623</w:t>
      </w:r>
    </w:p>
    <w:p w14:paraId="5D45187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Chikersal, P., Doherty, G., &amp; Thieme, A. (n.d.). </w:t>
      </w:r>
      <w:r w:rsidRPr="00B75647">
        <w:rPr>
          <w:rFonts w:ascii="Times New Roman" w:hAnsi="Times New Roman" w:cs="Times New Roman"/>
          <w:i/>
          <w:iCs/>
          <w:noProof/>
          <w:szCs w:val="24"/>
        </w:rPr>
        <w:t>Towards Using AI to Augment Human Support in Digital Mental Healthcare</w:t>
      </w:r>
      <w:r w:rsidRPr="00B75647">
        <w:rPr>
          <w:rFonts w:ascii="Times New Roman" w:hAnsi="Times New Roman" w:cs="Times New Roman"/>
          <w:noProof/>
          <w:szCs w:val="24"/>
        </w:rPr>
        <w:t>. www.silvercloudhealth.com</w:t>
      </w:r>
    </w:p>
    <w:p w14:paraId="3EC92D1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Chilver, M. R., Keller, A. S., Park, H. R. P., Jamshidi, J., Montalto, A., Schofield, P. R., Clark, C. R., Harmon-Jones, E., Williams, L. M., &amp; Gatt, J. M. (2020). Electroencephalography profiles as a biomarker of wellbeing: a twin study. </w:t>
      </w:r>
      <w:r w:rsidRPr="00B75647">
        <w:rPr>
          <w:rFonts w:ascii="Times New Roman" w:hAnsi="Times New Roman" w:cs="Times New Roman"/>
          <w:i/>
          <w:iCs/>
          <w:noProof/>
          <w:szCs w:val="24"/>
        </w:rPr>
        <w:t>Journal of Psychiatric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126</w:t>
      </w:r>
      <w:r w:rsidRPr="00B75647">
        <w:rPr>
          <w:rFonts w:ascii="Times New Roman" w:hAnsi="Times New Roman" w:cs="Times New Roman"/>
          <w:noProof/>
          <w:szCs w:val="24"/>
        </w:rPr>
        <w:t>, 114–121.</w:t>
      </w:r>
    </w:p>
    <w:p w14:paraId="46D4396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Cho, J., Martin, P., Margrett, J., MacDonald, M., &amp; Poon, L. W. (2011). The relationship between physical health and psychological well-being among oldest-old adults. </w:t>
      </w:r>
      <w:r w:rsidRPr="00B75647">
        <w:rPr>
          <w:rFonts w:ascii="Times New Roman" w:hAnsi="Times New Roman" w:cs="Times New Roman"/>
          <w:i/>
          <w:iCs/>
          <w:noProof/>
          <w:szCs w:val="24"/>
        </w:rPr>
        <w:t>Journal of Aging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2011</w:t>
      </w:r>
      <w:r w:rsidRPr="00B75647">
        <w:rPr>
          <w:rFonts w:ascii="Times New Roman" w:hAnsi="Times New Roman" w:cs="Times New Roman"/>
          <w:noProof/>
          <w:szCs w:val="24"/>
        </w:rPr>
        <w:t>. https://doi.org/10.4061/2011/605041</w:t>
      </w:r>
    </w:p>
    <w:p w14:paraId="56AB01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Chriskos, P., Frantzidis, C. A., Gkivogkli, P. T., Bamidis, P. D., &amp; Kourtidou-Papadeli, C. (2018). Achieving accurate automatic sleep staging on manually pre-processed EEG data through synchronization feature extraction and graph metrics. </w:t>
      </w:r>
      <w:r w:rsidRPr="00B75647">
        <w:rPr>
          <w:rFonts w:ascii="Times New Roman" w:hAnsi="Times New Roman" w:cs="Times New Roman"/>
          <w:i/>
          <w:iCs/>
          <w:noProof/>
          <w:szCs w:val="24"/>
        </w:rPr>
        <w:t>Frontiers in Human Neuroscience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(March), 1–13. https://doi.org/10.3389/fnhum.2018.00110</w:t>
      </w:r>
    </w:p>
    <w:p w14:paraId="795356D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Christophe, F., Hyvämäki, T., Rackauskas, S., Rahman, M., Rinne, T., Sivill, L., &amp; Nangini, C. (2011). What is Service Research? Present Status and Future Directions. In </w:t>
      </w:r>
      <w:r w:rsidRPr="00B75647">
        <w:rPr>
          <w:rFonts w:ascii="Times New Roman" w:hAnsi="Times New Roman" w:cs="Times New Roman"/>
          <w:i/>
          <w:iCs/>
          <w:noProof/>
          <w:szCs w:val="24"/>
        </w:rPr>
        <w:t>Bit Bang: Entrepreneurship and Services</w:t>
      </w:r>
      <w:r w:rsidRPr="00B75647">
        <w:rPr>
          <w:rFonts w:ascii="Times New Roman" w:hAnsi="Times New Roman" w:cs="Times New Roman"/>
          <w:noProof/>
          <w:szCs w:val="24"/>
        </w:rPr>
        <w:t xml:space="preserve"> (pp. 102–121).</w:t>
      </w:r>
    </w:p>
    <w:p w14:paraId="0D3836A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Clark, K. (2020). Learning from the client: The challenges of psychotherapy research and the contribution of qualitative methodologies. </w:t>
      </w:r>
      <w:r w:rsidRPr="00B75647">
        <w:rPr>
          <w:rFonts w:ascii="Times New Roman" w:hAnsi="Times New Roman" w:cs="Times New Roman"/>
          <w:i/>
          <w:iCs/>
          <w:noProof/>
          <w:szCs w:val="24"/>
        </w:rPr>
        <w:t>UWE Bristol</w:t>
      </w:r>
      <w:r w:rsidRPr="00B75647">
        <w:rPr>
          <w:rFonts w:ascii="Times New Roman" w:hAnsi="Times New Roman" w:cs="Times New Roman"/>
          <w:noProof/>
          <w:szCs w:val="24"/>
        </w:rPr>
        <w:t>.</w:t>
      </w:r>
    </w:p>
    <w:p w14:paraId="40955A8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Clemente, M., &amp; Hezomi, H. (2016). Stress and Psychological Well-being: An Explanatory Study of the Iranian Female Adolescents. </w:t>
      </w:r>
      <w:r w:rsidRPr="00B75647">
        <w:rPr>
          <w:rFonts w:ascii="Times New Roman" w:hAnsi="Times New Roman" w:cs="Times New Roman"/>
          <w:i/>
          <w:iCs/>
          <w:noProof/>
          <w:szCs w:val="24"/>
        </w:rPr>
        <w:t>Journal of Child and Adolescent Behaviour</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04</w:t>
      </w:r>
      <w:r w:rsidRPr="00B75647">
        <w:rPr>
          <w:rFonts w:ascii="Times New Roman" w:hAnsi="Times New Roman" w:cs="Times New Roman"/>
          <w:noProof/>
          <w:szCs w:val="24"/>
        </w:rPr>
        <w:t>(01), 1–5. https://doi.org/10.4172/2375-4494.1000282</w:t>
      </w:r>
    </w:p>
    <w:p w14:paraId="3CBF50F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Cohen, J. (1988). </w:t>
      </w:r>
      <w:r w:rsidRPr="00B75647">
        <w:rPr>
          <w:rFonts w:ascii="Times New Roman" w:hAnsi="Times New Roman" w:cs="Times New Roman"/>
          <w:i/>
          <w:iCs/>
          <w:noProof/>
          <w:szCs w:val="24"/>
        </w:rPr>
        <w:t>Statistical Power Analysis for the Behavioral Sciences. Hillsdle</w:t>
      </w:r>
      <w:r w:rsidRPr="00B75647">
        <w:rPr>
          <w:rFonts w:ascii="Times New Roman" w:hAnsi="Times New Roman" w:cs="Times New Roman"/>
          <w:noProof/>
          <w:szCs w:val="24"/>
        </w:rPr>
        <w:t>. Erlbaum. Conner, BE (1988). The Box in the Barn. Columbus: Highlights for ….</w:t>
      </w:r>
    </w:p>
    <w:p w14:paraId="12924F6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Cohen, S., Gianaros, P. J., &amp; Manuck, S. B. (2016). A stage model of stress and disease. </w:t>
      </w:r>
      <w:r w:rsidRPr="00B75647">
        <w:rPr>
          <w:rFonts w:ascii="Times New Roman" w:hAnsi="Times New Roman" w:cs="Times New Roman"/>
          <w:i/>
          <w:iCs/>
          <w:noProof/>
          <w:szCs w:val="24"/>
        </w:rPr>
        <w:t>Perspectives on Psychological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(4), 456–463.</w:t>
      </w:r>
    </w:p>
    <w:p w14:paraId="11FDE2D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Conover, W. J., &amp; Iman, R. L. (1981). Rank transformations as a bridge between parametric and nonparametric statistics. </w:t>
      </w:r>
      <w:r w:rsidRPr="00B75647">
        <w:rPr>
          <w:rFonts w:ascii="Times New Roman" w:hAnsi="Times New Roman" w:cs="Times New Roman"/>
          <w:i/>
          <w:iCs/>
          <w:noProof/>
          <w:szCs w:val="24"/>
        </w:rPr>
        <w:t>The American Statistician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35</w:t>
      </w:r>
      <w:r w:rsidRPr="00B75647">
        <w:rPr>
          <w:rFonts w:ascii="Times New Roman" w:hAnsi="Times New Roman" w:cs="Times New Roman"/>
          <w:noProof/>
          <w:szCs w:val="24"/>
        </w:rPr>
        <w:t>(3), 124–129.</w:t>
      </w:r>
    </w:p>
    <w:p w14:paraId="53F313B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Consolvo, S., Everitt, K., Smith, I., &amp; Landay, J. A. (2006). Design requirements for technologies that encourage physical activity. </w:t>
      </w:r>
      <w:r w:rsidRPr="00B75647">
        <w:rPr>
          <w:rFonts w:ascii="Times New Roman" w:hAnsi="Times New Roman" w:cs="Times New Roman"/>
          <w:i/>
          <w:iCs/>
          <w:noProof/>
          <w:szCs w:val="24"/>
        </w:rPr>
        <w:t>Proceedings of the SIGCHI Conference on Human Factors in Computing Systems</w:t>
      </w:r>
      <w:r w:rsidRPr="00B75647">
        <w:rPr>
          <w:rFonts w:ascii="Times New Roman" w:hAnsi="Times New Roman" w:cs="Times New Roman"/>
          <w:noProof/>
          <w:szCs w:val="24"/>
        </w:rPr>
        <w:t>, 457–466.</w:t>
      </w:r>
    </w:p>
    <w:p w14:paraId="2F48184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Cook, S. C., Schwartz, A. C., &amp; Kaslow, N. J. (2017). Evidence-Based Psychotherapy: Advantages and Challenges. </w:t>
      </w:r>
      <w:r w:rsidRPr="00B75647">
        <w:rPr>
          <w:rFonts w:ascii="Times New Roman" w:hAnsi="Times New Roman" w:cs="Times New Roman"/>
          <w:i/>
          <w:iCs/>
          <w:noProof/>
          <w:szCs w:val="24"/>
        </w:rPr>
        <w:t>Neurotherapeutics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14</w:t>
      </w:r>
      <w:r w:rsidRPr="00B75647">
        <w:rPr>
          <w:rFonts w:ascii="Times New Roman" w:hAnsi="Times New Roman" w:cs="Times New Roman"/>
          <w:noProof/>
          <w:szCs w:val="24"/>
        </w:rPr>
        <w:t>(3), 537–545. https://doi.org/10.1007/s13311-017-0549-4</w:t>
      </w:r>
    </w:p>
    <w:p w14:paraId="7BD7B8C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Costa, L. S. (2016). Innovation in healthcare services: notes on the limits of field research. </w:t>
      </w:r>
      <w:r w:rsidRPr="00B75647">
        <w:rPr>
          <w:rFonts w:ascii="Times New Roman" w:hAnsi="Times New Roman" w:cs="Times New Roman"/>
          <w:i/>
          <w:iCs/>
          <w:noProof/>
          <w:szCs w:val="24"/>
        </w:rPr>
        <w:t>Cadernos de Saúde Pública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(suppl 2), 1–12. https://doi.org/10.1590/0102-311x00151915</w:t>
      </w:r>
    </w:p>
    <w:p w14:paraId="1DD970F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Cotton, P., &amp; Hart, P. M. (2003). Occupational wellbeing and performance: A review of organisational health research. </w:t>
      </w:r>
      <w:r w:rsidRPr="00B75647">
        <w:rPr>
          <w:rFonts w:ascii="Times New Roman" w:hAnsi="Times New Roman" w:cs="Times New Roman"/>
          <w:i/>
          <w:iCs/>
          <w:noProof/>
          <w:szCs w:val="24"/>
        </w:rPr>
        <w:t>Australian Psychologist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38</w:t>
      </w:r>
      <w:r w:rsidRPr="00B75647">
        <w:rPr>
          <w:rFonts w:ascii="Times New Roman" w:hAnsi="Times New Roman" w:cs="Times New Roman"/>
          <w:noProof/>
          <w:szCs w:val="24"/>
        </w:rPr>
        <w:t>(2), 118–127.</w:t>
      </w:r>
    </w:p>
    <w:p w14:paraId="39D0253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Coutanche, M. N., &amp; Hallion, L. S. (2020). The Cambridge Handbook of Research Methods in Clinical Psychology. </w:t>
      </w:r>
      <w:r w:rsidRPr="00B75647">
        <w:rPr>
          <w:rFonts w:ascii="Times New Roman" w:hAnsi="Times New Roman" w:cs="Times New Roman"/>
          <w:i/>
          <w:iCs/>
          <w:noProof/>
          <w:szCs w:val="24"/>
        </w:rPr>
        <w:t>The Cambridge Handbook of Research Methods in Clinical Psychology</w:t>
      </w:r>
      <w:r w:rsidRPr="00B75647">
        <w:rPr>
          <w:rFonts w:ascii="Times New Roman" w:hAnsi="Times New Roman" w:cs="Times New Roman"/>
          <w:noProof/>
          <w:szCs w:val="24"/>
        </w:rPr>
        <w:t>, 1–52. https://doi.org/10.1017/9781316995808</w:t>
      </w:r>
    </w:p>
    <w:p w14:paraId="0130E5F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Crosswell, A. D., &amp; Lockwood, K. G. (2020). Best practices for stress measurement: How to measure psychological stress in health research. </w:t>
      </w:r>
      <w:r w:rsidRPr="00B75647">
        <w:rPr>
          <w:rFonts w:ascii="Times New Roman" w:hAnsi="Times New Roman" w:cs="Times New Roman"/>
          <w:i/>
          <w:iCs/>
          <w:noProof/>
          <w:szCs w:val="24"/>
        </w:rPr>
        <w:t>Health Psychology Open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(2). https://doi.org/10.1177/2055102920933072</w:t>
      </w:r>
    </w:p>
    <w:p w14:paraId="4BF2B13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Crowley, J., Antti, O., Shawe-Taylor, J., Chetouani, M., Paiva, A., Nowak, A., Jonker, C., Pedreschi, D., Giannotti, F., van Harmelen, F., Hajic, J., van den Hoven, J., Chatila, R., &amp; Rogers, Y. (2019). </w:t>
      </w:r>
      <w:r w:rsidRPr="00B75647">
        <w:rPr>
          <w:rFonts w:ascii="Times New Roman" w:hAnsi="Times New Roman" w:cs="Times New Roman"/>
          <w:i/>
          <w:iCs/>
          <w:noProof/>
          <w:szCs w:val="24"/>
        </w:rPr>
        <w:t>Toward AI Systems that Augment and Empower Humans by Understanding Us, our Society and the World Around Us</w:t>
      </w:r>
      <w:r w:rsidRPr="00B75647">
        <w:rPr>
          <w:rFonts w:ascii="Times New Roman" w:hAnsi="Times New Roman" w:cs="Times New Roman"/>
          <w:noProof/>
          <w:szCs w:val="24"/>
        </w:rPr>
        <w:t>.</w:t>
      </w:r>
    </w:p>
    <w:p w14:paraId="388529D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Crowston, K., Liu, X., Allen, E. E. ., &amp; Heckman, R. (2005). </w:t>
      </w:r>
      <w:r w:rsidRPr="00B75647">
        <w:rPr>
          <w:rFonts w:ascii="Times New Roman" w:hAnsi="Times New Roman" w:cs="Times New Roman"/>
          <w:i/>
          <w:iCs/>
          <w:noProof/>
          <w:szCs w:val="24"/>
        </w:rPr>
        <w:t>Machine Learning and Rule-Based Automated Coding of Qualitative Data</w:t>
      </w:r>
      <w:r w:rsidRPr="00B75647">
        <w:rPr>
          <w:rFonts w:ascii="Times New Roman" w:hAnsi="Times New Roman" w:cs="Times New Roman"/>
          <w:noProof/>
          <w:szCs w:val="24"/>
        </w:rPr>
        <w:t>. https://crowston.syr.edu/content/machine-learning-and-rule-based-automated-coding-qualitative-data</w:t>
      </w:r>
    </w:p>
    <w:p w14:paraId="67A36F3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Cunningham, S. G., Brillante, M., Allardice, B., Conway, N., McAlpine, R. R., &amp; Wake, D. J. (2019). My Diabetes My Way: Supporting online diabetes self-management: Progress and analysis from 2016.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1–11. https://doi.org/10.1186/s12938-019-0635-4</w:t>
      </w:r>
    </w:p>
    <w:p w14:paraId="03EE040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Dahl, C. J., Christine, D. W. M., &amp; Davidson, R. J. (2020). The plasticity of well-being: A training-based framework for the cultivation of human flourishing. </w:t>
      </w:r>
      <w:r w:rsidRPr="00B75647">
        <w:rPr>
          <w:rFonts w:ascii="Times New Roman" w:hAnsi="Times New Roman" w:cs="Times New Roman"/>
          <w:i/>
          <w:iCs/>
          <w:noProof/>
          <w:szCs w:val="24"/>
        </w:rPr>
        <w:t>Proceedings of the National Academy of Sciences of the United States of America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117</w:t>
      </w:r>
      <w:r w:rsidRPr="00B75647">
        <w:rPr>
          <w:rFonts w:ascii="Times New Roman" w:hAnsi="Times New Roman" w:cs="Times New Roman"/>
          <w:noProof/>
          <w:szCs w:val="24"/>
        </w:rPr>
        <w:t>(51), 32197–32206. https://doi.org/10.1073/pnas.2014859117</w:t>
      </w:r>
    </w:p>
    <w:p w14:paraId="5D1CFD6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Darke, P., Shanks, G., &amp; Broadbent, M. (1998). Successfully completing case study research: combining rigour, relevance and pragmatism. </w:t>
      </w:r>
      <w:r w:rsidRPr="00B75647">
        <w:rPr>
          <w:rFonts w:ascii="Times New Roman" w:hAnsi="Times New Roman" w:cs="Times New Roman"/>
          <w:i/>
          <w:iCs/>
          <w:noProof/>
          <w:szCs w:val="24"/>
        </w:rPr>
        <w:t>Information Systems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(4), 273–289. http://www.blackwell-synergy.com.ludwig.lub.lu.se/doi/pdf/10.1046/j.1365-2575.1998.00040.x?cookieSet=1</w:t>
      </w:r>
    </w:p>
    <w:p w14:paraId="3C31F3C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Davies, S. C. (2014). </w:t>
      </w:r>
      <w:r w:rsidRPr="00B75647">
        <w:rPr>
          <w:rFonts w:ascii="Times New Roman" w:hAnsi="Times New Roman" w:cs="Times New Roman"/>
          <w:i/>
          <w:iCs/>
          <w:noProof/>
          <w:szCs w:val="24"/>
        </w:rPr>
        <w:t>Annual report of the chief medical officer: public mental health priorities: investing in the evidence</w:t>
      </w:r>
      <w:r w:rsidRPr="00B75647">
        <w:rPr>
          <w:rFonts w:ascii="Times New Roman" w:hAnsi="Times New Roman" w:cs="Times New Roman"/>
          <w:noProof/>
          <w:szCs w:val="24"/>
        </w:rPr>
        <w:t>.</w:t>
      </w:r>
    </w:p>
    <w:p w14:paraId="63618B8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Dawadi, S., Shrestha, S., &amp; Giri, R. A. (2021). Mixed-Methods Research: A Discussion on its Types, Challenges, and Criticisms. </w:t>
      </w:r>
      <w:r w:rsidRPr="00B75647">
        <w:rPr>
          <w:rFonts w:ascii="Times New Roman" w:hAnsi="Times New Roman" w:cs="Times New Roman"/>
          <w:i/>
          <w:iCs/>
          <w:noProof/>
          <w:szCs w:val="24"/>
        </w:rPr>
        <w:t>Journal of Practical Studies in Education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(2), 25–36. https://doi.org/10.46809/jpse.v2i2.20</w:t>
      </w:r>
    </w:p>
    <w:p w14:paraId="3031C3E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 Witte, N. A. J., Joris, S., Van Assche, E., &amp; Van Daele, T. (2021). Technological and Digital Interventions for Mental Health and Wellbeing: An Overview of Systematic Reviews. </w:t>
      </w:r>
      <w:r w:rsidRPr="00B75647">
        <w:rPr>
          <w:rFonts w:ascii="Times New Roman" w:hAnsi="Times New Roman" w:cs="Times New Roman"/>
          <w:i/>
          <w:iCs/>
          <w:noProof/>
          <w:szCs w:val="24"/>
        </w:rPr>
        <w:t>Frontiers in Digital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(December), 1–10. https://doi.org/10.3389/fdgth.2021.754337</w:t>
      </w:r>
    </w:p>
    <w:p w14:paraId="00347DC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Deaton, A. (2008). Income, health, and well-being around the world: Evidence from the Gallup World Poll. </w:t>
      </w:r>
      <w:r w:rsidRPr="00B75647">
        <w:rPr>
          <w:rFonts w:ascii="Times New Roman" w:hAnsi="Times New Roman" w:cs="Times New Roman"/>
          <w:i/>
          <w:iCs/>
          <w:noProof/>
          <w:szCs w:val="24"/>
        </w:rPr>
        <w:t>Journal of Economic Perspectives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(2), 53–72.</w:t>
      </w:r>
    </w:p>
    <w:p w14:paraId="78CA42D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DeCarlo, L. T. (1997). On the meaning and use of kurtosis. </w:t>
      </w:r>
      <w:r w:rsidRPr="00B75647">
        <w:rPr>
          <w:rFonts w:ascii="Times New Roman" w:hAnsi="Times New Roman" w:cs="Times New Roman"/>
          <w:i/>
          <w:iCs/>
          <w:noProof/>
          <w:szCs w:val="24"/>
        </w:rPr>
        <w:t>Psychological Methods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(3), 292.</w:t>
      </w:r>
    </w:p>
    <w:p w14:paraId="0272FC2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Deci, E. L., &amp; Ryan, R. M. (2008). Hedonia, eudaimonia, and well-being: An introduction. </w:t>
      </w:r>
      <w:r w:rsidRPr="00B75647">
        <w:rPr>
          <w:rFonts w:ascii="Times New Roman" w:hAnsi="Times New Roman" w:cs="Times New Roman"/>
          <w:i/>
          <w:iCs/>
          <w:noProof/>
          <w:szCs w:val="24"/>
        </w:rPr>
        <w:t>Journal of Happiness Studies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(1), 1–11. https://doi.org/10.1007/s10902-006-9018-1</w:t>
      </w:r>
    </w:p>
    <w:p w14:paraId="103F9E4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Demirkan, H., Bess, C., Spohrer, J., Rayes, A., Allen, D., &amp; Moghaddam, Y. (2015). Innovations with smart service systems: Analytics, big data, cognitive assistance, and the internet of everything. </w:t>
      </w:r>
      <w:r w:rsidRPr="00B75647">
        <w:rPr>
          <w:rFonts w:ascii="Times New Roman" w:hAnsi="Times New Roman" w:cs="Times New Roman"/>
          <w:i/>
          <w:iCs/>
          <w:noProof/>
          <w:szCs w:val="24"/>
        </w:rPr>
        <w:t>Communications of the Association for Information Systems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37</w:t>
      </w:r>
      <w:r w:rsidRPr="00B75647">
        <w:rPr>
          <w:rFonts w:ascii="Times New Roman" w:hAnsi="Times New Roman" w:cs="Times New Roman"/>
          <w:noProof/>
          <w:szCs w:val="24"/>
        </w:rPr>
        <w:t>(1), 733–752. https://doi.org/10.17705/1cais.03735</w:t>
      </w:r>
    </w:p>
    <w:p w14:paraId="73A7381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Devi, D., Sophia, S., Athithya Janani, A., &amp; Karpagam, M. (2020). Brain wave based cognitive state prediction for monitoring health care conditions. </w:t>
      </w:r>
      <w:r w:rsidRPr="00B75647">
        <w:rPr>
          <w:rFonts w:ascii="Times New Roman" w:hAnsi="Times New Roman" w:cs="Times New Roman"/>
          <w:i/>
          <w:iCs/>
          <w:noProof/>
          <w:szCs w:val="24"/>
        </w:rPr>
        <w:t>Materials Today: Proceedings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xxxx</w:t>
      </w:r>
      <w:r w:rsidRPr="00B75647">
        <w:rPr>
          <w:rFonts w:ascii="Times New Roman" w:hAnsi="Times New Roman" w:cs="Times New Roman"/>
          <w:noProof/>
          <w:szCs w:val="24"/>
        </w:rPr>
        <w:t>. https://doi.org/10.1016/j.matpr.2020.09.616</w:t>
      </w:r>
    </w:p>
    <w:p w14:paraId="7120EE8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Diener, E. (2000). Subjective well-being: The science of happiness and a proposal for a national index. </w:t>
      </w:r>
      <w:r w:rsidRPr="00B75647">
        <w:rPr>
          <w:rFonts w:ascii="Times New Roman" w:hAnsi="Times New Roman" w:cs="Times New Roman"/>
          <w:i/>
          <w:iCs/>
          <w:noProof/>
          <w:szCs w:val="24"/>
        </w:rPr>
        <w:t>American Psychologist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55</w:t>
      </w:r>
      <w:r w:rsidRPr="00B75647">
        <w:rPr>
          <w:rFonts w:ascii="Times New Roman" w:hAnsi="Times New Roman" w:cs="Times New Roman"/>
          <w:noProof/>
          <w:szCs w:val="24"/>
        </w:rPr>
        <w:t>(1), 34.</w:t>
      </w:r>
    </w:p>
    <w:p w14:paraId="176C89A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Diener, E. (2006). Guidelines for national indicators of subjective well-being and ill-being. </w:t>
      </w:r>
      <w:r w:rsidRPr="00B75647">
        <w:rPr>
          <w:rFonts w:ascii="Times New Roman" w:hAnsi="Times New Roman" w:cs="Times New Roman"/>
          <w:i/>
          <w:iCs/>
          <w:noProof/>
          <w:szCs w:val="24"/>
        </w:rPr>
        <w:t>Journal of Happiness Studies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(4), 397–404.</w:t>
      </w:r>
    </w:p>
    <w:p w14:paraId="39E91A2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Diener, E. (2009). Assessing Well-Being. The Collected Works of Ed Diener. </w:t>
      </w:r>
      <w:r w:rsidRPr="00B75647">
        <w:rPr>
          <w:rFonts w:ascii="Times New Roman" w:hAnsi="Times New Roman" w:cs="Times New Roman"/>
          <w:i/>
          <w:iCs/>
          <w:noProof/>
          <w:szCs w:val="24"/>
        </w:rPr>
        <w:t>Springer</w:t>
      </w:r>
      <w:r w:rsidRPr="00B75647">
        <w:rPr>
          <w:rFonts w:ascii="Times New Roman" w:hAnsi="Times New Roman" w:cs="Times New Roman"/>
          <w:noProof/>
          <w:szCs w:val="24"/>
        </w:rPr>
        <w:t>, 101–102. https://doi.org/10.1007/978-90-481-2354-4</w:t>
      </w:r>
    </w:p>
    <w:p w14:paraId="3E9CAE7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Diener, E., Pressman, S. D., Hunter, J., &amp; Delgadillo‐Chase, D. (2017). If, why, and when subjective well‐being influences health, and future needed research. </w:t>
      </w:r>
      <w:r w:rsidRPr="00B75647">
        <w:rPr>
          <w:rFonts w:ascii="Times New Roman" w:hAnsi="Times New Roman" w:cs="Times New Roman"/>
          <w:i/>
          <w:iCs/>
          <w:noProof/>
          <w:szCs w:val="24"/>
        </w:rPr>
        <w:t>Applied Psychology: Health and Well‐Being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(2), 133–167.</w:t>
      </w:r>
    </w:p>
    <w:p w14:paraId="1BDD1D5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Diener, E., Wirtz, D., Tov, W., Kim-Prieto, C., Choi, D. won, Oishi, S., &amp; Biswas-Diener, R. (2010). New well-being measures: Short scales to assess flourishing and positive and negative feelings. </w:t>
      </w:r>
      <w:r w:rsidRPr="00B75647">
        <w:rPr>
          <w:rFonts w:ascii="Times New Roman" w:hAnsi="Times New Roman" w:cs="Times New Roman"/>
          <w:i/>
          <w:iCs/>
          <w:noProof/>
          <w:szCs w:val="24"/>
        </w:rPr>
        <w:t>Social Indicators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97</w:t>
      </w:r>
      <w:r w:rsidRPr="00B75647">
        <w:rPr>
          <w:rFonts w:ascii="Times New Roman" w:hAnsi="Times New Roman" w:cs="Times New Roman"/>
          <w:noProof/>
          <w:szCs w:val="24"/>
        </w:rPr>
        <w:t>(2), 143–156. https://doi.org/10.1007/s11205-009-9493-y</w:t>
      </w:r>
    </w:p>
    <w:p w14:paraId="0CBA4DF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Donald, I., Taylor, P., Johnson, S., Cooper, C., Cartwright, S., &amp; Robertson, S. (2005). Work environments, stress, and productivity: An examination using ASSET. </w:t>
      </w:r>
      <w:r w:rsidRPr="00B75647">
        <w:rPr>
          <w:rFonts w:ascii="Times New Roman" w:hAnsi="Times New Roman" w:cs="Times New Roman"/>
          <w:i/>
          <w:iCs/>
          <w:noProof/>
          <w:szCs w:val="24"/>
        </w:rPr>
        <w:t>International Journal of Stress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(4), 409–423. https://doi.org/10.1037/1072-5245.12.4.409</w:t>
      </w:r>
    </w:p>
    <w:p w14:paraId="624EF17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Dryman, M. T., McTeague, L. M., Olino, T. M., &amp; Heimberg, R. G. (2017). Evaluation of an open-access CBT-based Internet program for social anxiety: Patterns  of use, retention, and outcomes. </w:t>
      </w:r>
      <w:r w:rsidRPr="00B75647">
        <w:rPr>
          <w:rFonts w:ascii="Times New Roman" w:hAnsi="Times New Roman" w:cs="Times New Roman"/>
          <w:i/>
          <w:iCs/>
          <w:noProof/>
          <w:szCs w:val="24"/>
        </w:rPr>
        <w:t>Journal of Consulting and Clinical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85</w:t>
      </w:r>
      <w:r w:rsidRPr="00B75647">
        <w:rPr>
          <w:rFonts w:ascii="Times New Roman" w:hAnsi="Times New Roman" w:cs="Times New Roman"/>
          <w:noProof/>
          <w:szCs w:val="24"/>
        </w:rPr>
        <w:t>(10), 988–999. https://doi.org/10.1037/ccp0000232</w:t>
      </w:r>
    </w:p>
    <w:p w14:paraId="0993886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Dubois, A., &amp; Gadde, L.-E. (2002). Systematic combining: an abductive approach to case research.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55</w:t>
      </w:r>
      <w:r w:rsidRPr="00B75647">
        <w:rPr>
          <w:rFonts w:ascii="Times New Roman" w:hAnsi="Times New Roman" w:cs="Times New Roman"/>
          <w:noProof/>
          <w:szCs w:val="24"/>
        </w:rPr>
        <w:t>(7), 553–560.</w:t>
      </w:r>
    </w:p>
    <w:p w14:paraId="7BE3B2A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Dumitru, V. M., &amp; Cozman, D. (2012). The Relationship between Stress and Personality Factors. </w:t>
      </w:r>
      <w:r w:rsidRPr="00B75647">
        <w:rPr>
          <w:rFonts w:ascii="Times New Roman" w:hAnsi="Times New Roman" w:cs="Times New Roman"/>
          <w:i/>
          <w:iCs/>
          <w:noProof/>
          <w:szCs w:val="24"/>
        </w:rPr>
        <w:t>International Journal of the Bioflux Society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(1), 34–39. http://www.hvm.bioflux.com.ro/docs/HVM_4.1.7.pdf</w:t>
      </w:r>
    </w:p>
    <w:p w14:paraId="69497A1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Ehrenthal, J. C. F., Gruen, T. W., &amp; Hofstetter, J. S. (2021). </w:t>
      </w:r>
      <w:r w:rsidRPr="00B75647">
        <w:rPr>
          <w:rFonts w:ascii="Times New Roman" w:hAnsi="Times New Roman" w:cs="Times New Roman"/>
          <w:i/>
          <w:iCs/>
          <w:noProof/>
          <w:szCs w:val="24"/>
        </w:rPr>
        <w:t>Recommendations for Conducting Service-Dominant Logic Research BT  - New Trends in Business Information Systems and Technology: Digital Innovation and Digital Business Transformation</w:t>
      </w:r>
      <w:r w:rsidRPr="00B75647">
        <w:rPr>
          <w:rFonts w:ascii="Times New Roman" w:hAnsi="Times New Roman" w:cs="Times New Roman"/>
          <w:noProof/>
          <w:szCs w:val="24"/>
        </w:rPr>
        <w:t xml:space="preserve"> (R. Dornberger (Ed.); pp. 281–297). Springer International Publishing. https://doi.org/10.1007/978-3-030-48332-6_19</w:t>
      </w:r>
    </w:p>
    <w:p w14:paraId="42DDEB3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Eisenberg, D., Golberstein, E., Whitlock, J. L., &amp; Downs, M. F. (2013). Social contagion of mental health: Evidence from college roommates. </w:t>
      </w:r>
      <w:r w:rsidRPr="00B75647">
        <w:rPr>
          <w:rFonts w:ascii="Times New Roman" w:hAnsi="Times New Roman" w:cs="Times New Roman"/>
          <w:i/>
          <w:iCs/>
          <w:noProof/>
          <w:szCs w:val="24"/>
        </w:rPr>
        <w:t>Health Economics (United Kingdom)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(8), 965–986. https://doi.org/10.1002/hec.2873</w:t>
      </w:r>
    </w:p>
    <w:p w14:paraId="5695B0E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Eisenhardt, K. M., &amp; Graebner, M. E. (2007). Theory building from cases: Opportunities and challenges. </w:t>
      </w:r>
      <w:r w:rsidRPr="00B75647">
        <w:rPr>
          <w:rFonts w:ascii="Times New Roman" w:hAnsi="Times New Roman" w:cs="Times New Roman"/>
          <w:i/>
          <w:iCs/>
          <w:noProof/>
          <w:szCs w:val="24"/>
        </w:rPr>
        <w:t>Academy of Management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50</w:t>
      </w:r>
      <w:r w:rsidRPr="00B75647">
        <w:rPr>
          <w:rFonts w:ascii="Times New Roman" w:hAnsi="Times New Roman" w:cs="Times New Roman"/>
          <w:noProof/>
          <w:szCs w:val="24"/>
        </w:rPr>
        <w:t>(1), 25–32.</w:t>
      </w:r>
    </w:p>
    <w:p w14:paraId="47AFE3B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Elfil, M., &amp; Negida, A. (2017). Sampling methods in Clinical Research; an Educational Review. </w:t>
      </w:r>
      <w:r w:rsidRPr="00B75647">
        <w:rPr>
          <w:rFonts w:ascii="Times New Roman" w:hAnsi="Times New Roman" w:cs="Times New Roman"/>
          <w:i/>
          <w:iCs/>
          <w:noProof/>
          <w:szCs w:val="24"/>
        </w:rPr>
        <w:t>Emergency (Tehran, Iran)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(1), e52. https://doi.org/10.22037/emergency.v5i1.15215</w:t>
      </w:r>
    </w:p>
    <w:p w14:paraId="41C0730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Elgendi, M. (2012). On the Analysis of Fingertip Photoplethysmogram Signals. </w:t>
      </w:r>
      <w:r w:rsidRPr="00B75647">
        <w:rPr>
          <w:rFonts w:ascii="Times New Roman" w:hAnsi="Times New Roman" w:cs="Times New Roman"/>
          <w:i/>
          <w:iCs/>
          <w:noProof/>
          <w:szCs w:val="24"/>
        </w:rPr>
        <w:t>Current Cardiology Reviews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(1), 14–25. https://doi.org/10.2174/157340312801215782</w:t>
      </w:r>
    </w:p>
    <w:p w14:paraId="0F096AD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Elshawi, R., Al-Mallah, M. H., &amp; Sakr, S. (2019). On the interpretability of machine learning-based model for predicting hypertension. </w:t>
      </w:r>
      <w:r w:rsidRPr="00B75647">
        <w:rPr>
          <w:rFonts w:ascii="Times New Roman" w:hAnsi="Times New Roman" w:cs="Times New Roman"/>
          <w:i/>
          <w:iCs/>
          <w:noProof/>
          <w:szCs w:val="24"/>
        </w:rPr>
        <w:t>BMC Medical Informatics and Decision Making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w:t>
      </w:r>
      <w:r w:rsidRPr="00B75647">
        <w:rPr>
          <w:rFonts w:ascii="Times New Roman" w:hAnsi="Times New Roman" w:cs="Times New Roman"/>
          <w:noProof/>
          <w:szCs w:val="24"/>
        </w:rPr>
        <w:t>(1). https://doi.org/10.1186/s12911-019-0874-0</w:t>
      </w:r>
    </w:p>
    <w:p w14:paraId="7754CD1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Emotiv. (2021). </w:t>
      </w:r>
      <w:r w:rsidRPr="00B75647">
        <w:rPr>
          <w:rFonts w:ascii="Times New Roman" w:hAnsi="Times New Roman" w:cs="Times New Roman"/>
          <w:i/>
          <w:iCs/>
          <w:noProof/>
          <w:szCs w:val="24"/>
        </w:rPr>
        <w:t>The Introductory Guide to Neuroscience</w:t>
      </w:r>
      <w:r w:rsidRPr="00B75647">
        <w:rPr>
          <w:rFonts w:ascii="Times New Roman" w:hAnsi="Times New Roman" w:cs="Times New Roman"/>
          <w:noProof/>
          <w:szCs w:val="24"/>
        </w:rPr>
        <w:t>. https://www.emotiv.com/neuroscience-guide/</w:t>
      </w:r>
    </w:p>
    <w:p w14:paraId="0B4DB9E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Ermolina, A., &amp; Tiberius, V. (2021). Voice-controlled intelligent personal assistants in health care: International delphi study.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23</w:t>
      </w:r>
      <w:r w:rsidRPr="00B75647">
        <w:rPr>
          <w:rFonts w:ascii="Times New Roman" w:hAnsi="Times New Roman" w:cs="Times New Roman"/>
          <w:noProof/>
          <w:szCs w:val="24"/>
        </w:rPr>
        <w:t>(4), 1–11. https://doi.org/10.2196/25312</w:t>
      </w:r>
    </w:p>
    <w:p w14:paraId="3FE1FA8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Eyre, H. A., Berk, M., &amp; Lavretsky, H. (2021). </w:t>
      </w:r>
      <w:r w:rsidRPr="00B75647">
        <w:rPr>
          <w:rFonts w:ascii="Times New Roman" w:hAnsi="Times New Roman" w:cs="Times New Roman"/>
          <w:i/>
          <w:iCs/>
          <w:noProof/>
          <w:szCs w:val="24"/>
        </w:rPr>
        <w:t>Convergence Mental Health: A Transdisciplinary Approach to Innovation</w:t>
      </w:r>
      <w:r w:rsidRPr="00B75647">
        <w:rPr>
          <w:rFonts w:ascii="Times New Roman" w:hAnsi="Times New Roman" w:cs="Times New Roman"/>
          <w:noProof/>
          <w:szCs w:val="24"/>
        </w:rPr>
        <w:t>. Oxford University Press, USA.</w:t>
      </w:r>
    </w:p>
    <w:p w14:paraId="5B5519E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Faul, F., Erdfelder, E., Buchner, A., &amp; Lang, A.-G. (2009). Statistical power analyses using G* Power 3.1: Tests for correlation and regression analyses. </w:t>
      </w:r>
      <w:r w:rsidRPr="00B75647">
        <w:rPr>
          <w:rFonts w:ascii="Times New Roman" w:hAnsi="Times New Roman" w:cs="Times New Roman"/>
          <w:i/>
          <w:iCs/>
          <w:noProof/>
          <w:szCs w:val="24"/>
        </w:rPr>
        <w:t>Behavior Research Methods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41</w:t>
      </w:r>
      <w:r w:rsidRPr="00B75647">
        <w:rPr>
          <w:rFonts w:ascii="Times New Roman" w:hAnsi="Times New Roman" w:cs="Times New Roman"/>
          <w:noProof/>
          <w:szCs w:val="24"/>
        </w:rPr>
        <w:t>(4), 1149–1160.</w:t>
      </w:r>
    </w:p>
    <w:p w14:paraId="6ACFC5B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Fava, G. A., Cosci, F., &amp; Sonino, N. (2017). Current Psychosomatic Practice. </w:t>
      </w:r>
      <w:r w:rsidRPr="00B75647">
        <w:rPr>
          <w:rFonts w:ascii="Times New Roman" w:hAnsi="Times New Roman" w:cs="Times New Roman"/>
          <w:i/>
          <w:iCs/>
          <w:noProof/>
          <w:szCs w:val="24"/>
        </w:rPr>
        <w:t>Psychotherapy and Psychosomatics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86</w:t>
      </w:r>
      <w:r w:rsidRPr="00B75647">
        <w:rPr>
          <w:rFonts w:ascii="Times New Roman" w:hAnsi="Times New Roman" w:cs="Times New Roman"/>
          <w:noProof/>
          <w:szCs w:val="24"/>
        </w:rPr>
        <w:t>(1), 13–30. https://doi.org/10.1159/000448856</w:t>
      </w:r>
    </w:p>
    <w:p w14:paraId="3FE05DD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Fava, G. A., &amp; Sonino, N. (2000). Psychosomatic medicine: Emerging trends and perspectives. </w:t>
      </w:r>
      <w:r w:rsidRPr="00B75647">
        <w:rPr>
          <w:rFonts w:ascii="Times New Roman" w:hAnsi="Times New Roman" w:cs="Times New Roman"/>
          <w:i/>
          <w:iCs/>
          <w:noProof/>
          <w:szCs w:val="24"/>
        </w:rPr>
        <w:t>Psychotherapy and Psychosomatics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69</w:t>
      </w:r>
      <w:r w:rsidRPr="00B75647">
        <w:rPr>
          <w:rFonts w:ascii="Times New Roman" w:hAnsi="Times New Roman" w:cs="Times New Roman"/>
          <w:noProof/>
          <w:szCs w:val="24"/>
        </w:rPr>
        <w:t>(4), 184–197. https://doi.org/10.1159/000012393</w:t>
      </w:r>
    </w:p>
    <w:p w14:paraId="1D7DA84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Feldman, K., Faust, L., Wu, X., Huang, C., &amp; Chawla, N. V. (2017). Beyond volume: The impact of complex healthcare data on the machine learning pipeline. </w:t>
      </w:r>
      <w:r w:rsidRPr="00B75647">
        <w:rPr>
          <w:rFonts w:ascii="Times New Roman" w:hAnsi="Times New Roman" w:cs="Times New Roman"/>
          <w:i/>
          <w:iCs/>
          <w:noProof/>
          <w:szCs w:val="24"/>
        </w:rPr>
        <w:t>Lecture Notes in Computer Science (Including Subseries Lecture Notes in Artificial Intelligence and Lecture Notes in Bioinformatics)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10344 LNAI</w:t>
      </w:r>
      <w:r w:rsidRPr="00B75647">
        <w:rPr>
          <w:rFonts w:ascii="Times New Roman" w:hAnsi="Times New Roman" w:cs="Times New Roman"/>
          <w:noProof/>
          <w:szCs w:val="24"/>
        </w:rPr>
        <w:t>, 150–169. https://doi.org/10.1007/978-3-319-69775-8_9</w:t>
      </w:r>
    </w:p>
    <w:p w14:paraId="78AC653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Feng, S., Mäntymäki, M., Dhir, A., &amp; Salmela, H. (2021). How self-tracking and the quantified self promote health and well-being: Systematic review.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23</w:t>
      </w:r>
      <w:r w:rsidRPr="00B75647">
        <w:rPr>
          <w:rFonts w:ascii="Times New Roman" w:hAnsi="Times New Roman" w:cs="Times New Roman"/>
          <w:noProof/>
          <w:szCs w:val="24"/>
        </w:rPr>
        <w:t>(9), 1–21. https://doi.org/10.2196/25171</w:t>
      </w:r>
    </w:p>
    <w:p w14:paraId="08B47B4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Fenn, K., &amp; Byrne, M. (2013). The key principles of cognitive behavioural therapy. </w:t>
      </w:r>
      <w:r w:rsidRPr="00B75647">
        <w:rPr>
          <w:rFonts w:ascii="Times New Roman" w:hAnsi="Times New Roman" w:cs="Times New Roman"/>
          <w:i/>
          <w:iCs/>
          <w:noProof/>
          <w:szCs w:val="24"/>
        </w:rPr>
        <w:t>InnovAiT: Education and Inspiration for General Practice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(9), 579–585. https://doi.org/10.1177/1755738012471029</w:t>
      </w:r>
    </w:p>
    <w:p w14:paraId="0EEAFDF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Fichman, M., &amp; Cummings, J. (2000). Multiple Imputation for Missing Data: Making the Most of What You Know. </w:t>
      </w:r>
      <w:r w:rsidRPr="00B75647">
        <w:rPr>
          <w:rFonts w:ascii="Times New Roman" w:hAnsi="Times New Roman" w:cs="Times New Roman"/>
          <w:i/>
          <w:iCs/>
          <w:noProof/>
          <w:szCs w:val="24"/>
        </w:rPr>
        <w:t>Organizational Research Methods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 https://doi.org/10.1177/1094428103255532</w:t>
      </w:r>
    </w:p>
    <w:p w14:paraId="681E6B2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Field, A. (2017). </w:t>
      </w:r>
      <w:r w:rsidRPr="00B75647">
        <w:rPr>
          <w:rFonts w:ascii="Times New Roman" w:hAnsi="Times New Roman" w:cs="Times New Roman"/>
          <w:i/>
          <w:iCs/>
          <w:noProof/>
          <w:szCs w:val="24"/>
        </w:rPr>
        <w:t>Discovering statistics using IBM SPSS statistics: north American edition: sage</w:t>
      </w:r>
      <w:r w:rsidRPr="00B75647">
        <w:rPr>
          <w:rFonts w:ascii="Times New Roman" w:hAnsi="Times New Roman" w:cs="Times New Roman"/>
          <w:noProof/>
          <w:szCs w:val="24"/>
        </w:rPr>
        <w:t>.</w:t>
      </w:r>
    </w:p>
    <w:p w14:paraId="7202E49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Field, J. M., Fotheringham, D., Subramony, M., Gustafsson, A., Ostrom, A. L., Lemon, K. N., Huang, M.-H., &amp; McColl-Kennedy, J. R. (2021). Service Research Priorities: Designing Sustainable Service Ecosystems.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0</w:t>
      </w:r>
      <w:r w:rsidRPr="00B75647">
        <w:rPr>
          <w:rFonts w:ascii="Times New Roman" w:hAnsi="Times New Roman" w:cs="Times New Roman"/>
          <w:noProof/>
          <w:szCs w:val="24"/>
        </w:rPr>
        <w:t>(0), 109467052110313. https://doi.org/10.1177/10946705211031302</w:t>
      </w:r>
    </w:p>
    <w:p w14:paraId="7408014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Figueiredo, M., Caldeira, C., Chen, Y., &amp; Zheng, K. (2017). Routine self-tracking of health: reasons, facilitating factors, and the potential impact on health management practices. </w:t>
      </w:r>
      <w:r w:rsidRPr="00B75647">
        <w:rPr>
          <w:rFonts w:ascii="Times New Roman" w:hAnsi="Times New Roman" w:cs="Times New Roman"/>
          <w:i/>
          <w:iCs/>
          <w:noProof/>
          <w:szCs w:val="24"/>
        </w:rPr>
        <w:t>AMIA ... Annual Symposium Proceedings. AMIA Symposium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2017</w:t>
      </w:r>
      <w:r w:rsidRPr="00B75647">
        <w:rPr>
          <w:rFonts w:ascii="Times New Roman" w:hAnsi="Times New Roman" w:cs="Times New Roman"/>
          <w:noProof/>
          <w:szCs w:val="24"/>
        </w:rPr>
        <w:t>, 706–714.</w:t>
      </w:r>
    </w:p>
    <w:p w14:paraId="72267A1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Fisk, R. P., Dean, A. M., Alkire, L., Joubert, A., Previte, J., Robertson, N., &amp; Rosenbaum, M. S. (2018). Design for service inclusion: creating inclusive service systems by 2050. </w:t>
      </w:r>
      <w:r w:rsidRPr="00B75647">
        <w:rPr>
          <w:rFonts w:ascii="Times New Roman" w:hAnsi="Times New Roman" w:cs="Times New Roman"/>
          <w:i/>
          <w:iCs/>
          <w:noProof/>
          <w:szCs w:val="24"/>
        </w:rPr>
        <w:t>Journal of Service Management</w:t>
      </w:r>
      <w:r w:rsidRPr="00B75647">
        <w:rPr>
          <w:rFonts w:ascii="Times New Roman" w:hAnsi="Times New Roman" w:cs="Times New Roman"/>
          <w:noProof/>
          <w:szCs w:val="24"/>
        </w:rPr>
        <w:t>.</w:t>
      </w:r>
    </w:p>
    <w:p w14:paraId="4926376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Fondevila-­‐gascón, J.-­‐francesc, Mir-­‐bernal, P., Puiggròs-­‐román, E., Muñoz-­‐gonzález, M., Berbel-­‐giménez, G., Gutiérrez-­‐aragón, Ó., Feliu-­‐roé, L., Santana-­‐lópez, E., Rom-­‐rodríguez, J., Sorribas-­‐morales, C., &amp; Crespo, J. L. (2016). </w:t>
      </w:r>
      <w:r w:rsidRPr="00B75647">
        <w:rPr>
          <w:rFonts w:ascii="Times New Roman" w:hAnsi="Times New Roman" w:cs="Times New Roman"/>
          <w:i/>
          <w:iCs/>
          <w:noProof/>
          <w:szCs w:val="24"/>
        </w:rPr>
        <w:t>Sentiment analysis as a qualitative methodology to analyze social media: study case of tourism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 21–31.</w:t>
      </w:r>
    </w:p>
    <w:p w14:paraId="5A27E75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Fouad, I. A., &amp; Labib, F. E.-Z. M. (2016). Using Emotiv EPOC Neuroheadset To Acquire Data In Brain-Computer Interface. </w:t>
      </w:r>
      <w:r w:rsidRPr="00B75647">
        <w:rPr>
          <w:rFonts w:ascii="Times New Roman" w:hAnsi="Times New Roman" w:cs="Times New Roman"/>
          <w:i/>
          <w:iCs/>
          <w:noProof/>
          <w:szCs w:val="24"/>
        </w:rPr>
        <w:t>International Journal of Advanced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(January).</w:t>
      </w:r>
    </w:p>
    <w:p w14:paraId="47E30A0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Fraiwan, L., AlKhodari, M., Ninan, J., Mustafa, B., Saleh, A., &amp; Ghazal, M. (2017). Diabetic foot ulcer mobile detection system using smart phone thermal camera: A feasibility study.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(1), 1–19. https://doi.org/10.1186/s12938-017-0408-x</w:t>
      </w:r>
    </w:p>
    <w:p w14:paraId="6C03F64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Fredrickson, B. L., &amp; Joiner, T. (2002). Positive emotions trigger upward spirals toward emotional well-being. </w:t>
      </w:r>
      <w:r w:rsidRPr="00B75647">
        <w:rPr>
          <w:rFonts w:ascii="Times New Roman" w:hAnsi="Times New Roman" w:cs="Times New Roman"/>
          <w:i/>
          <w:iCs/>
          <w:noProof/>
          <w:szCs w:val="24"/>
        </w:rPr>
        <w:t>Psychological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(2), 172–175.</w:t>
      </w:r>
    </w:p>
    <w:p w14:paraId="6F0BA57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Frey, B. B. (2018). </w:t>
      </w:r>
      <w:r w:rsidRPr="00B75647">
        <w:rPr>
          <w:rFonts w:ascii="Times New Roman" w:hAnsi="Times New Roman" w:cs="Times New Roman"/>
          <w:i/>
          <w:iCs/>
          <w:noProof/>
          <w:szCs w:val="24"/>
        </w:rPr>
        <w:t>The SAGE Encyclopedia of Educational Research, Measurement, and Evaluation</w:t>
      </w:r>
      <w:r w:rsidRPr="00B75647">
        <w:rPr>
          <w:rFonts w:ascii="Times New Roman" w:hAnsi="Times New Roman" w:cs="Times New Roman"/>
          <w:noProof/>
          <w:szCs w:val="24"/>
        </w:rPr>
        <w:t>. https://doi.org/10.4135/9781506326139 NV  - 4</w:t>
      </w:r>
    </w:p>
    <w:p w14:paraId="2CD765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Fritz, T., Huang, E. M., Murphy, G. C., &amp; Zimmermann, T. (2014). Persuasive technology in the real world: a study of long-term use of activity sensing devices for fitness. </w:t>
      </w:r>
      <w:r w:rsidRPr="00B75647">
        <w:rPr>
          <w:rFonts w:ascii="Times New Roman" w:hAnsi="Times New Roman" w:cs="Times New Roman"/>
          <w:i/>
          <w:iCs/>
          <w:noProof/>
          <w:szCs w:val="24"/>
        </w:rPr>
        <w:t>Proceedings of the SIGCHI Conference on Human Factors in Computing Systems</w:t>
      </w:r>
      <w:r w:rsidRPr="00B75647">
        <w:rPr>
          <w:rFonts w:ascii="Times New Roman" w:hAnsi="Times New Roman" w:cs="Times New Roman"/>
          <w:noProof/>
          <w:szCs w:val="24"/>
        </w:rPr>
        <w:t>, 487–496.</w:t>
      </w:r>
    </w:p>
    <w:p w14:paraId="5E4B8A3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Frow, P., McColl-Kennedy, J. R., &amp; Payne, A. (2016a). Co-creation practices: Their role in shaping a health care ecosystem. </w:t>
      </w:r>
      <w:r w:rsidRPr="00B75647">
        <w:rPr>
          <w:rFonts w:ascii="Times New Roman" w:hAnsi="Times New Roman" w:cs="Times New Roman"/>
          <w:i/>
          <w:iCs/>
          <w:noProof/>
          <w:szCs w:val="24"/>
        </w:rPr>
        <w:t>Industrial Marketing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56</w:t>
      </w:r>
      <w:r w:rsidRPr="00B75647">
        <w:rPr>
          <w:rFonts w:ascii="Times New Roman" w:hAnsi="Times New Roman" w:cs="Times New Roman"/>
          <w:noProof/>
          <w:szCs w:val="24"/>
        </w:rPr>
        <w:t>, 24–39. https://doi.org/10.1016/j.indmarman.2016.03.007</w:t>
      </w:r>
    </w:p>
    <w:p w14:paraId="1301730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Frow, P., McColl-Kennedy, J. R., &amp; Payne, A. (2016b). Co-creation practices: Their role in shaping a health care ecosystem. </w:t>
      </w:r>
      <w:r w:rsidRPr="00B75647">
        <w:rPr>
          <w:rFonts w:ascii="Times New Roman" w:hAnsi="Times New Roman" w:cs="Times New Roman"/>
          <w:i/>
          <w:iCs/>
          <w:noProof/>
          <w:szCs w:val="24"/>
        </w:rPr>
        <w:t>Industrial Marketing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56</w:t>
      </w:r>
      <w:r w:rsidRPr="00B75647">
        <w:rPr>
          <w:rFonts w:ascii="Times New Roman" w:hAnsi="Times New Roman" w:cs="Times New Roman"/>
          <w:noProof/>
          <w:szCs w:val="24"/>
        </w:rPr>
        <w:t>, 24–39. https://doi.org/10.1016/j.indmarman.2016.03.007</w:t>
      </w:r>
    </w:p>
    <w:p w14:paraId="39A6F61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Gallan, A. S., Jarvis, C. B., Brown, S. W., &amp; Bitner, M. J. (2013). Customer positivity and participation in services: An empirical test in a health care context.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41</w:t>
      </w:r>
      <w:r w:rsidRPr="00B75647">
        <w:rPr>
          <w:rFonts w:ascii="Times New Roman" w:hAnsi="Times New Roman" w:cs="Times New Roman"/>
          <w:noProof/>
          <w:szCs w:val="24"/>
        </w:rPr>
        <w:t>(3), 338–356. https://doi.org/10.1007/s11747-012-0307-4</w:t>
      </w:r>
    </w:p>
    <w:p w14:paraId="553A9CD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Gallup. (2020). </w:t>
      </w:r>
      <w:r w:rsidRPr="00B75647">
        <w:rPr>
          <w:rFonts w:ascii="Times New Roman" w:hAnsi="Times New Roman" w:cs="Times New Roman"/>
          <w:i/>
          <w:iCs/>
          <w:noProof/>
          <w:szCs w:val="24"/>
        </w:rPr>
        <w:t>Meta-Analysis</w:t>
      </w:r>
      <w:r w:rsidRPr="00B75647">
        <w:rPr>
          <w:rFonts w:ascii="Times New Roman" w:hAnsi="Times New Roman" w:cs="Times New Roman"/>
          <w:noProof/>
          <w:szCs w:val="24"/>
        </w:rPr>
        <w:t>. https://www.gallup.com/workplace/321725/gallup-q12-meta-analysis-report.aspx</w:t>
      </w:r>
    </w:p>
    <w:p w14:paraId="449F42C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Gatimu, R. M., Cheruiyot, W., &amp; Kimwele, M. (2015). </w:t>
      </w:r>
      <w:r w:rsidRPr="00B75647">
        <w:rPr>
          <w:rFonts w:ascii="Times New Roman" w:hAnsi="Times New Roman" w:cs="Times New Roman"/>
          <w:i/>
          <w:iCs/>
          <w:noProof/>
          <w:szCs w:val="24"/>
        </w:rPr>
        <w:t>Enhancing Data Staging as a Mechanism for Fast Data Access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August</w:t>
      </w:r>
      <w:r w:rsidRPr="00B75647">
        <w:rPr>
          <w:rFonts w:ascii="Times New Roman" w:hAnsi="Times New Roman" w:cs="Times New Roman"/>
          <w:noProof/>
          <w:szCs w:val="24"/>
        </w:rPr>
        <w:t>. https://doi.org/10.7753/IJCATR0408.1001</w:t>
      </w:r>
    </w:p>
    <w:p w14:paraId="2CD1133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Gatouillat, A., Badr, Y., Massot, B., &amp; Sejdic, E. (2018). Internet of Medical Things: A Review of Recent Contributions Dealing with Cyber-Physical Systems in Medicine. </w:t>
      </w:r>
      <w:r w:rsidRPr="00B75647">
        <w:rPr>
          <w:rFonts w:ascii="Times New Roman" w:hAnsi="Times New Roman" w:cs="Times New Roman"/>
          <w:i/>
          <w:iCs/>
          <w:noProof/>
          <w:szCs w:val="24"/>
        </w:rPr>
        <w:t>IEEE Internet of Things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(5), 3810–3822. https://doi.org/10.1109/JIOT.2018.2849014</w:t>
      </w:r>
    </w:p>
    <w:p w14:paraId="6BDA55A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Gaudiano, B. A. (2008). Cognitive-behavioural therapies: achievements and challenges. </w:t>
      </w:r>
      <w:r w:rsidRPr="00B75647">
        <w:rPr>
          <w:rFonts w:ascii="Times New Roman" w:hAnsi="Times New Roman" w:cs="Times New Roman"/>
          <w:i/>
          <w:iCs/>
          <w:noProof/>
          <w:szCs w:val="24"/>
        </w:rPr>
        <w:t>Evidence Based Mental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(1), 5 LP – 7. https://doi.org/10.1136/ebmh.11.1.5</w:t>
      </w:r>
    </w:p>
    <w:p w14:paraId="3213F3F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Gimpel, H., Nißen, M., &amp; Görlitz, R. A. (2017). </w:t>
      </w:r>
      <w:r w:rsidRPr="00B75647">
        <w:rPr>
          <w:rFonts w:ascii="Times New Roman" w:hAnsi="Times New Roman" w:cs="Times New Roman"/>
          <w:i/>
          <w:iCs/>
          <w:noProof/>
          <w:szCs w:val="24"/>
        </w:rPr>
        <w:t>QUANTIFYING THE QUANTIFIED SELF: A STUDY ON THE MOTIVATION OF PATIENTS TO TRACK THEIR OWN HEALTH</w:t>
      </w:r>
      <w:r w:rsidRPr="00B75647">
        <w:rPr>
          <w:rFonts w:ascii="Times New Roman" w:hAnsi="Times New Roman" w:cs="Times New Roman"/>
          <w:noProof/>
          <w:szCs w:val="24"/>
        </w:rPr>
        <w:t>. 1–16.</w:t>
      </w:r>
    </w:p>
    <w:p w14:paraId="4283ACA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Ginzberg, E. (1993). </w:t>
      </w:r>
      <w:r w:rsidRPr="00B75647">
        <w:rPr>
          <w:rFonts w:ascii="Times New Roman" w:hAnsi="Times New Roman" w:cs="Times New Roman"/>
          <w:i/>
          <w:iCs/>
          <w:noProof/>
          <w:szCs w:val="24"/>
        </w:rPr>
        <w:t>Health services research: key to health policy</w:t>
      </w:r>
      <w:r w:rsidRPr="00B75647">
        <w:rPr>
          <w:rFonts w:ascii="Times New Roman" w:hAnsi="Times New Roman" w:cs="Times New Roman"/>
          <w:noProof/>
          <w:szCs w:val="24"/>
        </w:rPr>
        <w:t>. Harvard University Press.</w:t>
      </w:r>
    </w:p>
    <w:p w14:paraId="5082DBD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Giuntella, O., Hyde, K., Saccardo, S., &amp; Sadoff, S. (2021). Lifestyle and mental health disruptions during COVID-19. </w:t>
      </w:r>
      <w:r w:rsidRPr="00B75647">
        <w:rPr>
          <w:rFonts w:ascii="Times New Roman" w:hAnsi="Times New Roman" w:cs="Times New Roman"/>
          <w:i/>
          <w:iCs/>
          <w:noProof/>
          <w:szCs w:val="24"/>
        </w:rPr>
        <w:t>Proceedings of the National Academy of Sciences of the United States of America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118</w:t>
      </w:r>
      <w:r w:rsidRPr="00B75647">
        <w:rPr>
          <w:rFonts w:ascii="Times New Roman" w:hAnsi="Times New Roman" w:cs="Times New Roman"/>
          <w:noProof/>
          <w:szCs w:val="24"/>
        </w:rPr>
        <w:t>(9). https://doi.org/10.1073/pnas.2016632118</w:t>
      </w:r>
    </w:p>
    <w:p w14:paraId="473936F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Glynn, L. G., Hayes, P. S., Casey, M., Glynn, F., Alvarez-Iglesias, A., Newell, J., ÓLaighin, G., Heaney, D., O’Donnell, M., &amp; Murphy, A. W. (2014). Effectiveness of a smartphone application to promote physical activity in primary care: the SMART MOVE randomised controlled trial. </w:t>
      </w:r>
      <w:r w:rsidRPr="00B75647">
        <w:rPr>
          <w:rFonts w:ascii="Times New Roman" w:hAnsi="Times New Roman" w:cs="Times New Roman"/>
          <w:i/>
          <w:iCs/>
          <w:noProof/>
          <w:szCs w:val="24"/>
        </w:rPr>
        <w:t>British Journal of General Practice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64</w:t>
      </w:r>
      <w:r w:rsidRPr="00B75647">
        <w:rPr>
          <w:rFonts w:ascii="Times New Roman" w:hAnsi="Times New Roman" w:cs="Times New Roman"/>
          <w:noProof/>
          <w:szCs w:val="24"/>
        </w:rPr>
        <w:t>(624), e384–e391.</w:t>
      </w:r>
    </w:p>
    <w:p w14:paraId="78FDF2A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Graham, S., Depp, C., Lee, E. E., Nebeker, C., Tu, X., Kim, H. C., &amp; Jeste, D. V. (2019a). Artificial Intelligence for Mental Health and Mental Illnesses: an Overview. </w:t>
      </w:r>
      <w:r w:rsidRPr="00B75647">
        <w:rPr>
          <w:rFonts w:ascii="Times New Roman" w:hAnsi="Times New Roman" w:cs="Times New Roman"/>
          <w:i/>
          <w:iCs/>
          <w:noProof/>
          <w:szCs w:val="24"/>
        </w:rPr>
        <w:t>Current Psychiatry Reports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(11). https://doi.org/10.1007/s11920-019-1094-0</w:t>
      </w:r>
    </w:p>
    <w:p w14:paraId="4153ADF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Graham, S., Depp, C., Lee, E. E., Nebeker, C., Tu, X., Kim, H. C., &amp; Jeste, D. V. (2019b). Artificial Intelligence for Mental Health and Mental Illnesses: an Overview. </w:t>
      </w:r>
      <w:r w:rsidRPr="00B75647">
        <w:rPr>
          <w:rFonts w:ascii="Times New Roman" w:hAnsi="Times New Roman" w:cs="Times New Roman"/>
          <w:i/>
          <w:iCs/>
          <w:noProof/>
          <w:szCs w:val="24"/>
        </w:rPr>
        <w:t>Current Psychiatry Reports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(11). https://doi.org/10.1007/s11920-019-1094-0</w:t>
      </w:r>
    </w:p>
    <w:p w14:paraId="4246A65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Guarcello, C., &amp; de Vargas, E. R. (2020). Service Innovation in Healthcare: A Systematic Literature Review. </w:t>
      </w:r>
      <w:r w:rsidRPr="00B75647">
        <w:rPr>
          <w:rFonts w:ascii="Times New Roman" w:hAnsi="Times New Roman" w:cs="Times New Roman"/>
          <w:i/>
          <w:iCs/>
          <w:noProof/>
          <w:szCs w:val="24"/>
        </w:rPr>
        <w:t>Latin American Business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(4), 353–369. https://doi.org/10.1080/10978526.2020.1802286</w:t>
      </w:r>
    </w:p>
    <w:p w14:paraId="2B6832D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Gummesson, E. (2005). Qualitative research in marketing: Road-map for a wilderness of complexityand unpredictability. </w:t>
      </w:r>
      <w:r w:rsidRPr="00B75647">
        <w:rPr>
          <w:rFonts w:ascii="Times New Roman" w:hAnsi="Times New Roman" w:cs="Times New Roman"/>
          <w:i/>
          <w:iCs/>
          <w:noProof/>
          <w:szCs w:val="24"/>
        </w:rPr>
        <w:t>European Journal of Marketing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39</w:t>
      </w:r>
      <w:r w:rsidRPr="00B75647">
        <w:rPr>
          <w:rFonts w:ascii="Times New Roman" w:hAnsi="Times New Roman" w:cs="Times New Roman"/>
          <w:noProof/>
          <w:szCs w:val="24"/>
        </w:rPr>
        <w:t>(3–4), 309–327.</w:t>
      </w:r>
    </w:p>
    <w:p w14:paraId="577451A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Gummesson, E. (2017). From relationship marketing to total relationship marketing and beyond. </w:t>
      </w:r>
      <w:r w:rsidRPr="00B75647">
        <w:rPr>
          <w:rFonts w:ascii="Times New Roman" w:hAnsi="Times New Roman" w:cs="Times New Roman"/>
          <w:i/>
          <w:iCs/>
          <w:noProof/>
          <w:szCs w:val="24"/>
        </w:rPr>
        <w:t>Journal of Services Marketing</w:t>
      </w:r>
      <w:r w:rsidRPr="00B75647">
        <w:rPr>
          <w:rFonts w:ascii="Times New Roman" w:hAnsi="Times New Roman" w:cs="Times New Roman"/>
          <w:noProof/>
          <w:szCs w:val="24"/>
        </w:rPr>
        <w:t>.</w:t>
      </w:r>
    </w:p>
    <w:p w14:paraId="246C654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Gustafsson, A., Aksoy, L., Brady, M. K., McColl-Kennedy, J. R., Sirianni, N. J., Witell, L., &amp; Wuenderlich, N. V. (2015). Conducting service research that matters. </w:t>
      </w:r>
      <w:r w:rsidRPr="00B75647">
        <w:rPr>
          <w:rFonts w:ascii="Times New Roman" w:hAnsi="Times New Roman" w:cs="Times New Roman"/>
          <w:i/>
          <w:iCs/>
          <w:noProof/>
          <w:szCs w:val="24"/>
        </w:rPr>
        <w:t>Journal of Services Marketing</w:t>
      </w:r>
      <w:r w:rsidRPr="00B75647">
        <w:rPr>
          <w:rFonts w:ascii="Times New Roman" w:hAnsi="Times New Roman" w:cs="Times New Roman"/>
          <w:noProof/>
          <w:szCs w:val="24"/>
        </w:rPr>
        <w:t>.</w:t>
      </w:r>
    </w:p>
    <w:p w14:paraId="6D7736A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Hager, B. M., Yang, A. C., &amp; Gutsell, J. N. (2018). Measuring Brain Complexity During Neural Motor Resonance. </w:t>
      </w:r>
      <w:r w:rsidRPr="00B75647">
        <w:rPr>
          <w:rFonts w:ascii="Times New Roman" w:hAnsi="Times New Roman" w:cs="Times New Roman"/>
          <w:i/>
          <w:iCs/>
          <w:noProof/>
          <w:szCs w:val="24"/>
        </w:rPr>
        <w:t>Frontiers in Neuroscience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(October), 1–10. https://doi.org/10.3389/fnins.2018.00758</w:t>
      </w:r>
    </w:p>
    <w:p w14:paraId="117986C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Hamar, B., Coberley, C., Pope, J. E., &amp; Rula, E. Y. (2015). Well-being improvement in a midsize employer: changes in well-being, productivity, health risk, and perceived employer support after implementation of a well-being improvement strategy. </w:t>
      </w:r>
      <w:r w:rsidRPr="00B75647">
        <w:rPr>
          <w:rFonts w:ascii="Times New Roman" w:hAnsi="Times New Roman" w:cs="Times New Roman"/>
          <w:i/>
          <w:iCs/>
          <w:noProof/>
          <w:szCs w:val="24"/>
        </w:rPr>
        <w:t>Journal of Occupational and Environmental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57</w:t>
      </w:r>
      <w:r w:rsidRPr="00B75647">
        <w:rPr>
          <w:rFonts w:ascii="Times New Roman" w:hAnsi="Times New Roman" w:cs="Times New Roman"/>
          <w:noProof/>
          <w:szCs w:val="24"/>
        </w:rPr>
        <w:t>(4), 367–373.</w:t>
      </w:r>
    </w:p>
    <w:p w14:paraId="7E346AE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Hamet, P. (2017). Artificial intelligence in medicine. </w:t>
      </w:r>
      <w:r w:rsidRPr="00B75647">
        <w:rPr>
          <w:rFonts w:ascii="Times New Roman" w:hAnsi="Times New Roman" w:cs="Times New Roman"/>
          <w:i/>
          <w:iCs/>
          <w:noProof/>
          <w:szCs w:val="24"/>
        </w:rPr>
        <w:t>Metabolism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69</w:t>
      </w:r>
      <w:r w:rsidRPr="00B75647">
        <w:rPr>
          <w:rFonts w:ascii="Times New Roman" w:hAnsi="Times New Roman" w:cs="Times New Roman"/>
          <w:noProof/>
          <w:szCs w:val="24"/>
        </w:rPr>
        <w:t>, S36–S40. https://doi.org/10.1016/J.METABOL.2017.01.011</w:t>
      </w:r>
    </w:p>
    <w:p w14:paraId="3BF67F0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Hamilton, D. F., Ghert, M., &amp; Simpson, A. H. R. W. (2015). Interpreting regression models in clinical outcome studies. </w:t>
      </w:r>
      <w:r w:rsidRPr="00B75647">
        <w:rPr>
          <w:rFonts w:ascii="Times New Roman" w:hAnsi="Times New Roman" w:cs="Times New Roman"/>
          <w:i/>
          <w:iCs/>
          <w:noProof/>
          <w:szCs w:val="24"/>
        </w:rPr>
        <w:t>Bone and Joint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(9), 152–153. https://doi.org/10.1302/2046-3758.49.2000571</w:t>
      </w:r>
    </w:p>
    <w:p w14:paraId="7A75133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Hancı, E., Ruijten, P. A. M., Lacroix, J., &amp; IJsselsteijn, W. A. (2021). The Impact of Mindset on Self-Tracking Experience. </w:t>
      </w:r>
      <w:r w:rsidRPr="00B75647">
        <w:rPr>
          <w:rFonts w:ascii="Times New Roman" w:hAnsi="Times New Roman" w:cs="Times New Roman"/>
          <w:i/>
          <w:iCs/>
          <w:noProof/>
          <w:szCs w:val="24"/>
        </w:rPr>
        <w:t>Frontiers in Digital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 676742. https://doi.org/10.3389/fdgth.2021.676742</w:t>
      </w:r>
    </w:p>
    <w:p w14:paraId="786F7B6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Harding, J. L., Backholer, K., Williams, E. D., Peeters, A., Cameron, A. J., Hare, M. J. L., Shaw, J. E., &amp; Magliano, D. J. (2014). Psychosocial stress is positively associated with body mass index gain over 5 years: Evidence from the longitudinal AusDiab study. </w:t>
      </w:r>
      <w:r w:rsidRPr="00B75647">
        <w:rPr>
          <w:rFonts w:ascii="Times New Roman" w:hAnsi="Times New Roman" w:cs="Times New Roman"/>
          <w:i/>
          <w:iCs/>
          <w:noProof/>
          <w:szCs w:val="24"/>
        </w:rPr>
        <w:t>Obesity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(1), 277–286. https://doi.org/10.1002/oby.20423</w:t>
      </w:r>
    </w:p>
    <w:p w14:paraId="67DED90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Harris-Wehling, J., &amp; Morris, L. C. (1991). </w:t>
      </w:r>
      <w:r w:rsidRPr="00B75647">
        <w:rPr>
          <w:rFonts w:ascii="Times New Roman" w:hAnsi="Times New Roman" w:cs="Times New Roman"/>
          <w:i/>
          <w:iCs/>
          <w:noProof/>
          <w:szCs w:val="24"/>
        </w:rPr>
        <w:t>Improving information services for health services researchers: a report to the National Library of Medicine</w:t>
      </w:r>
      <w:r w:rsidRPr="00B75647">
        <w:rPr>
          <w:rFonts w:ascii="Times New Roman" w:hAnsi="Times New Roman" w:cs="Times New Roman"/>
          <w:noProof/>
          <w:szCs w:val="24"/>
        </w:rPr>
        <w:t>. National Academies.</w:t>
      </w:r>
    </w:p>
    <w:p w14:paraId="6B3949B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Hassabis, D., Kumaran, D., Summerfield, C., &amp; Botvinick, M. (2017). Neuroscience-Inspired Artificial Intelligence. </w:t>
      </w:r>
      <w:r w:rsidRPr="00B75647">
        <w:rPr>
          <w:rFonts w:ascii="Times New Roman" w:hAnsi="Times New Roman" w:cs="Times New Roman"/>
          <w:i/>
          <w:iCs/>
          <w:noProof/>
          <w:szCs w:val="24"/>
        </w:rPr>
        <w:t>Neuron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95</w:t>
      </w:r>
      <w:r w:rsidRPr="00B75647">
        <w:rPr>
          <w:rFonts w:ascii="Times New Roman" w:hAnsi="Times New Roman" w:cs="Times New Roman"/>
          <w:noProof/>
          <w:szCs w:val="24"/>
        </w:rPr>
        <w:t>(2), 245–258. https://doi.org/10.1016/j.neuron.2017.06.011</w:t>
      </w:r>
    </w:p>
    <w:p w14:paraId="0FCEFA8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Hazarika, I. (2020). Artificial intelligence: Opportunities and implications for the health workforce. </w:t>
      </w:r>
      <w:r w:rsidRPr="00B75647">
        <w:rPr>
          <w:rFonts w:ascii="Times New Roman" w:hAnsi="Times New Roman" w:cs="Times New Roman"/>
          <w:i/>
          <w:iCs/>
          <w:noProof/>
          <w:szCs w:val="24"/>
        </w:rPr>
        <w:t>International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(4), 241–245. https://doi.org/10.1093/INTHEALTH/IHAA007</w:t>
      </w:r>
    </w:p>
    <w:p w14:paraId="126EEF3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Henning, A., &amp; van de Ven, K. (2017). “Counting your steps”: The use of wearable technology to promote employees’ health and wellbeing. </w:t>
      </w:r>
      <w:r w:rsidRPr="00B75647">
        <w:rPr>
          <w:rFonts w:ascii="Times New Roman" w:hAnsi="Times New Roman" w:cs="Times New Roman"/>
          <w:i/>
          <w:iCs/>
          <w:noProof/>
          <w:szCs w:val="24"/>
        </w:rPr>
        <w:t>Performance Enhancement and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(4), 123–124.</w:t>
      </w:r>
    </w:p>
    <w:p w14:paraId="44DC758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Henry, D., Dymnicki, A. B., Mohatt, N., Allen, J., &amp; Kelly, J. G. (2015). Clustering Methods with Qualitative Data: a Mixed-Methods Approach for Prevention  Research with Small Samples. </w:t>
      </w:r>
      <w:r w:rsidRPr="00B75647">
        <w:rPr>
          <w:rFonts w:ascii="Times New Roman" w:hAnsi="Times New Roman" w:cs="Times New Roman"/>
          <w:i/>
          <w:iCs/>
          <w:noProof/>
          <w:szCs w:val="24"/>
        </w:rPr>
        <w:t>Prevention Science : The Official Journal of the Society for Prevention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(7), 1007–1016. https://doi.org/10.1007/s11121-015-0561-z</w:t>
      </w:r>
    </w:p>
    <w:p w14:paraId="5894FC9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Hernandez, R., Bassett, S. M., Boughton, S. W., Schuette, S. A., Shiu, E. W., &amp; Moskowitz, J. T. (2018). Psychological Well-Being and Physical Health: Associations, Mechanisms, and Future Directions. </w:t>
      </w:r>
      <w:r w:rsidRPr="00B75647">
        <w:rPr>
          <w:rFonts w:ascii="Times New Roman" w:hAnsi="Times New Roman" w:cs="Times New Roman"/>
          <w:i/>
          <w:iCs/>
          <w:noProof/>
          <w:szCs w:val="24"/>
        </w:rPr>
        <w:t>Emotion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(1), 18–29. https://doi.org/10.1177/1754073917697824</w:t>
      </w:r>
    </w:p>
    <w:p w14:paraId="66AA995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Herzig, C., Viere, T., Schaltegger, S., Burritt, R. L., &amp; Lee, K.-H. (2012). Environmental management accounting: case studies of South-East Asian companies. </w:t>
      </w:r>
      <w:r w:rsidRPr="00B75647">
        <w:rPr>
          <w:rFonts w:ascii="Times New Roman" w:hAnsi="Times New Roman" w:cs="Times New Roman"/>
          <w:i/>
          <w:iCs/>
          <w:noProof/>
          <w:szCs w:val="24"/>
        </w:rPr>
        <w:t>Accounting Forum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36</w:t>
      </w:r>
      <w:r w:rsidRPr="00B75647">
        <w:rPr>
          <w:rFonts w:ascii="Times New Roman" w:hAnsi="Times New Roman" w:cs="Times New Roman"/>
          <w:noProof/>
          <w:szCs w:val="24"/>
        </w:rPr>
        <w:t>(4), 310–312.</w:t>
      </w:r>
    </w:p>
    <w:p w14:paraId="39CAC90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Heyen, N. B. (2020). From self-tracking to self-expertise: The production of self-related knowledge by doing personal science. </w:t>
      </w:r>
      <w:r w:rsidRPr="00B75647">
        <w:rPr>
          <w:rFonts w:ascii="Times New Roman" w:hAnsi="Times New Roman" w:cs="Times New Roman"/>
          <w:i/>
          <w:iCs/>
          <w:noProof/>
          <w:szCs w:val="24"/>
        </w:rPr>
        <w:t>Public Understanding of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29</w:t>
      </w:r>
      <w:r w:rsidRPr="00B75647">
        <w:rPr>
          <w:rFonts w:ascii="Times New Roman" w:hAnsi="Times New Roman" w:cs="Times New Roman"/>
          <w:noProof/>
          <w:szCs w:val="24"/>
        </w:rPr>
        <w:t>(2), 124–138. https://doi.org/10.1177/0963662519888757</w:t>
      </w:r>
    </w:p>
    <w:p w14:paraId="338EBA2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Hirschle, A. L. T., &amp; Gondim, S. M. G. (2020). Stress and well-being at work: A literature review. </w:t>
      </w:r>
      <w:r w:rsidRPr="00B75647">
        <w:rPr>
          <w:rFonts w:ascii="Times New Roman" w:hAnsi="Times New Roman" w:cs="Times New Roman"/>
          <w:i/>
          <w:iCs/>
          <w:noProof/>
          <w:szCs w:val="24"/>
        </w:rPr>
        <w:t>Ciencia e Saude Coletiva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25</w:t>
      </w:r>
      <w:r w:rsidRPr="00B75647">
        <w:rPr>
          <w:rFonts w:ascii="Times New Roman" w:hAnsi="Times New Roman" w:cs="Times New Roman"/>
          <w:noProof/>
          <w:szCs w:val="24"/>
        </w:rPr>
        <w:t>(7), 2721–2736. https://doi.org/10.1590/1413-81232020257.27902017</w:t>
      </w:r>
    </w:p>
    <w:p w14:paraId="0588553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Hodges, L. J., Walker, J., Kleiboer, A. M., Ramirez, A. J., Richardson, A., Velikova, G., &amp; Sharpe, M. (2011). What is a psychological intervention? A metareview and practical proposal. </w:t>
      </w:r>
      <w:r w:rsidRPr="00B75647">
        <w:rPr>
          <w:rFonts w:ascii="Times New Roman" w:hAnsi="Times New Roman" w:cs="Times New Roman"/>
          <w:i/>
          <w:iCs/>
          <w:noProof/>
          <w:szCs w:val="24"/>
        </w:rPr>
        <w:t>Psycho‐oncology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(5), 470–478.</w:t>
      </w:r>
    </w:p>
    <w:p w14:paraId="5A3AF4A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Hoglend, P. (1999). Psychotherapy research: New findings and implications for training and practice. </w:t>
      </w:r>
      <w:r w:rsidRPr="00B75647">
        <w:rPr>
          <w:rFonts w:ascii="Times New Roman" w:hAnsi="Times New Roman" w:cs="Times New Roman"/>
          <w:i/>
          <w:iCs/>
          <w:noProof/>
          <w:szCs w:val="24"/>
        </w:rPr>
        <w:t>Journal of Psychotherapy Practice and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(4), 257–263.</w:t>
      </w:r>
    </w:p>
    <w:p w14:paraId="22C88F4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Holman, H., &amp; Lorig, K. (2000). Patients as partners in managing chronic disease. </w:t>
      </w:r>
      <w:r w:rsidRPr="00B75647">
        <w:rPr>
          <w:rFonts w:ascii="Times New Roman" w:hAnsi="Times New Roman" w:cs="Times New Roman"/>
          <w:i/>
          <w:iCs/>
          <w:noProof/>
          <w:szCs w:val="24"/>
        </w:rPr>
        <w:t>British Medical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320</w:t>
      </w:r>
      <w:r w:rsidRPr="00B75647">
        <w:rPr>
          <w:rFonts w:ascii="Times New Roman" w:hAnsi="Times New Roman" w:cs="Times New Roman"/>
          <w:noProof/>
          <w:szCs w:val="24"/>
        </w:rPr>
        <w:t>(7234), 526–527. https://doi.org/10.1136/bmj.320.7234.526</w:t>
      </w:r>
    </w:p>
    <w:p w14:paraId="032E2E4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Huang, M.-H., &amp; Rust, R. T. (2017). Technology-driven service strategy.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45</w:t>
      </w:r>
      <w:r w:rsidRPr="00B75647">
        <w:rPr>
          <w:rFonts w:ascii="Times New Roman" w:hAnsi="Times New Roman" w:cs="Times New Roman"/>
          <w:noProof/>
          <w:szCs w:val="24"/>
        </w:rPr>
        <w:t>(6), 906–924.</w:t>
      </w:r>
    </w:p>
    <w:p w14:paraId="1DB2213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Huang, M. H., &amp; Rust, R. T. (2018). Artificial Intelligence in Service.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(2), 155–172. https://doi.org/10.1177/1094670517752459</w:t>
      </w:r>
    </w:p>
    <w:p w14:paraId="55B07F5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Hughes, R., &amp; States, A. for H. R. and Q. U. (2008). Health services research Scope and Significance. </w:t>
      </w:r>
      <w:r w:rsidRPr="00B75647">
        <w:rPr>
          <w:rFonts w:ascii="Times New Roman" w:hAnsi="Times New Roman" w:cs="Times New Roman"/>
          <w:i/>
          <w:iCs/>
          <w:noProof/>
          <w:szCs w:val="24"/>
        </w:rPr>
        <w:t>Patient Safety and Quality : An Evidence-Based Handbook for Nurses</w:t>
      </w:r>
      <w:r w:rsidRPr="00B75647">
        <w:rPr>
          <w:rFonts w:ascii="Times New Roman" w:hAnsi="Times New Roman" w:cs="Times New Roman"/>
          <w:noProof/>
          <w:szCs w:val="24"/>
        </w:rPr>
        <w:t>, 163–178.</w:t>
      </w:r>
    </w:p>
    <w:p w14:paraId="6F1206F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Huppert, F. A. (2009). Psychological Well-being: Evidence Regarding its Causes and Consequences. </w:t>
      </w:r>
      <w:r w:rsidRPr="00B75647">
        <w:rPr>
          <w:rFonts w:ascii="Times New Roman" w:hAnsi="Times New Roman" w:cs="Times New Roman"/>
          <w:i/>
          <w:iCs/>
          <w:noProof/>
          <w:szCs w:val="24"/>
        </w:rPr>
        <w:t>Applied Psychology: Health and Well-Being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(2), 137–164. https://doi.org/10.1111/j.1758-0854.2009.01008.x</w:t>
      </w:r>
    </w:p>
    <w:p w14:paraId="21A2342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Huppert, F. A., &amp; So, T. T. C. (2013). Flourishing across Europe: Application of a new conceptual framework for defining well-being. </w:t>
      </w:r>
      <w:r w:rsidRPr="00B75647">
        <w:rPr>
          <w:rFonts w:ascii="Times New Roman" w:hAnsi="Times New Roman" w:cs="Times New Roman"/>
          <w:i/>
          <w:iCs/>
          <w:noProof/>
          <w:szCs w:val="24"/>
        </w:rPr>
        <w:t>Social Indicators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110</w:t>
      </w:r>
      <w:r w:rsidRPr="00B75647">
        <w:rPr>
          <w:rFonts w:ascii="Times New Roman" w:hAnsi="Times New Roman" w:cs="Times New Roman"/>
          <w:noProof/>
          <w:szCs w:val="24"/>
        </w:rPr>
        <w:t>(3), 837–861.</w:t>
      </w:r>
    </w:p>
    <w:p w14:paraId="66B8ABB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Intellectus Statistics. (2021). </w:t>
      </w:r>
      <w:r w:rsidRPr="00B75647">
        <w:rPr>
          <w:rFonts w:ascii="Times New Roman" w:hAnsi="Times New Roman" w:cs="Times New Roman"/>
          <w:i/>
          <w:iCs/>
          <w:noProof/>
          <w:szCs w:val="24"/>
        </w:rPr>
        <w:t>Intellectus Statistics</w:t>
      </w:r>
      <w:r w:rsidRPr="00B75647">
        <w:rPr>
          <w:rFonts w:ascii="Times New Roman" w:hAnsi="Times New Roman" w:cs="Times New Roman"/>
          <w:noProof/>
          <w:szCs w:val="24"/>
        </w:rPr>
        <w:t>. https://analyze.intellectusstatistics.com/</w:t>
      </w:r>
    </w:p>
    <w:p w14:paraId="559F7D1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Isham, A., Mair, S., &amp; Jackson, T. (2020). </w:t>
      </w:r>
      <w:r w:rsidRPr="00B75647">
        <w:rPr>
          <w:rFonts w:ascii="Times New Roman" w:hAnsi="Times New Roman" w:cs="Times New Roman"/>
          <w:i/>
          <w:iCs/>
          <w:noProof/>
          <w:szCs w:val="24"/>
        </w:rPr>
        <w:t>Wellbeing and Productivity: a review of the literature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January 2020</w:t>
      </w:r>
      <w:r w:rsidRPr="00B75647">
        <w:rPr>
          <w:rFonts w:ascii="Times New Roman" w:hAnsi="Times New Roman" w:cs="Times New Roman"/>
          <w:noProof/>
          <w:szCs w:val="24"/>
        </w:rPr>
        <w:t>, 1–128.</w:t>
      </w:r>
    </w:p>
    <w:p w14:paraId="628FBD3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Ishihara‐Paul, L., Wainwright, N. W. J., Khaw, K., Luben, R. N., Welch, A. A., Day, N. E., Brayne, C., &amp; Surtees, P. G. (2008). Prospective association between emotional health and clinical evidence of Parkinson’s disease. </w:t>
      </w:r>
      <w:r w:rsidRPr="00B75647">
        <w:rPr>
          <w:rFonts w:ascii="Times New Roman" w:hAnsi="Times New Roman" w:cs="Times New Roman"/>
          <w:i/>
          <w:iCs/>
          <w:noProof/>
          <w:szCs w:val="24"/>
        </w:rPr>
        <w:t>European Journal of Neurology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(11), 1148–1154.</w:t>
      </w:r>
    </w:p>
    <w:p w14:paraId="3F5BC91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Jarrahi, M. H., Gafinowitz, N., &amp; Shin, G. (2018). Activity trackers, prior motivation, and perceived informational and motivational affordances. </w:t>
      </w:r>
      <w:r w:rsidRPr="00B75647">
        <w:rPr>
          <w:rFonts w:ascii="Times New Roman" w:hAnsi="Times New Roman" w:cs="Times New Roman"/>
          <w:i/>
          <w:iCs/>
          <w:noProof/>
          <w:szCs w:val="24"/>
        </w:rPr>
        <w:t>Personal and Ubiquitous Computing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(2), 433–448.</w:t>
      </w:r>
    </w:p>
    <w:p w14:paraId="3F3E61D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Jiang, F., Jiang, Y., Zhi, H., Dong, Y., Li, H., Ma, S., Wang, Y., Dong, Q., Shen, H., &amp; Wang, Y. (2017a). Artificial intelligence in healthcare: Past, present and future. </w:t>
      </w:r>
      <w:r w:rsidRPr="00B75647">
        <w:rPr>
          <w:rFonts w:ascii="Times New Roman" w:hAnsi="Times New Roman" w:cs="Times New Roman"/>
          <w:i/>
          <w:iCs/>
          <w:noProof/>
          <w:szCs w:val="24"/>
        </w:rPr>
        <w:t>Stroke and Vascular Neurology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(4), 230–243. https://doi.org/10.1136/svn-2017-000101</w:t>
      </w:r>
    </w:p>
    <w:p w14:paraId="573BE02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Jiang, F., Jiang, Y., Zhi, H., Dong, Y., Li, H., Ma, S., Wang, Y. Y., Dong, Q., Shen, H., &amp; Wang, Y. Y. (2017b). Artificial intelligence in healthcare: past, present and future. </w:t>
      </w:r>
      <w:r w:rsidRPr="00B75647">
        <w:rPr>
          <w:rFonts w:ascii="Times New Roman" w:hAnsi="Times New Roman" w:cs="Times New Roman"/>
          <w:i/>
          <w:iCs/>
          <w:noProof/>
          <w:szCs w:val="24"/>
        </w:rPr>
        <w:t>Stroke and Vascular Neurology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(4), 230–243. https://doi.org/10.1136/svn-2017-000101</w:t>
      </w:r>
    </w:p>
    <w:p w14:paraId="2F120AD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Jin, D., Halvari, H., Maehle, N., &amp; Olafsen, A. H. (2020a). Self-tracking behaviour in physical activity: a systematic review of drivers and outcomes of fitness tracking. </w:t>
      </w:r>
      <w:r w:rsidRPr="00B75647">
        <w:rPr>
          <w:rFonts w:ascii="Times New Roman" w:hAnsi="Times New Roman" w:cs="Times New Roman"/>
          <w:i/>
          <w:iCs/>
          <w:noProof/>
          <w:szCs w:val="24"/>
        </w:rPr>
        <w:t>Behaviour and Information Technology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0</w:t>
      </w:r>
      <w:r w:rsidRPr="00B75647">
        <w:rPr>
          <w:rFonts w:ascii="Times New Roman" w:hAnsi="Times New Roman" w:cs="Times New Roman"/>
          <w:noProof/>
          <w:szCs w:val="24"/>
        </w:rPr>
        <w:t>(0), 1–20. https://doi.org/10.1080/0144929X.2020.1801840</w:t>
      </w:r>
    </w:p>
    <w:p w14:paraId="62376E9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Jin, D., Halvari, H., Maehle, N., &amp; Olafsen, A. H. (2020b). Self-tracking behaviour in physical activity: a systematic review of drivers and outcomes of fitness tracking. </w:t>
      </w:r>
      <w:r w:rsidRPr="00B75647">
        <w:rPr>
          <w:rFonts w:ascii="Times New Roman" w:hAnsi="Times New Roman" w:cs="Times New Roman"/>
          <w:i/>
          <w:iCs/>
          <w:noProof/>
          <w:szCs w:val="24"/>
        </w:rPr>
        <w:t>Behaviour &amp; Information Technology</w:t>
      </w:r>
      <w:r w:rsidRPr="00B75647">
        <w:rPr>
          <w:rFonts w:ascii="Times New Roman" w:hAnsi="Times New Roman" w:cs="Times New Roman"/>
          <w:noProof/>
          <w:szCs w:val="24"/>
        </w:rPr>
        <w:t>, 1–20.</w:t>
      </w:r>
    </w:p>
    <w:p w14:paraId="039A7A7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Joiner, K., &amp; Lusch, R. (2015). Evolving to a Service-Dominant Logic for Health. </w:t>
      </w:r>
      <w:r w:rsidRPr="00B75647">
        <w:rPr>
          <w:rFonts w:ascii="Times New Roman" w:hAnsi="Times New Roman" w:cs="Times New Roman"/>
          <w:i/>
          <w:iCs/>
          <w:noProof/>
          <w:szCs w:val="24"/>
        </w:rPr>
        <w:t>Australian Health Review</w:t>
      </w:r>
      <w:r w:rsidRPr="00B75647">
        <w:rPr>
          <w:rFonts w:ascii="Times New Roman" w:hAnsi="Times New Roman" w:cs="Times New Roman"/>
          <w:noProof/>
          <w:szCs w:val="24"/>
        </w:rPr>
        <w:t>.</w:t>
      </w:r>
    </w:p>
    <w:p w14:paraId="5857DD8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Joiner, K., &amp; Lusch, R. (2016). Evolving to a new service-dominant logic for health care. </w:t>
      </w:r>
      <w:r w:rsidRPr="00B75647">
        <w:rPr>
          <w:rFonts w:ascii="Times New Roman" w:hAnsi="Times New Roman" w:cs="Times New Roman"/>
          <w:i/>
          <w:iCs/>
          <w:noProof/>
          <w:szCs w:val="24"/>
        </w:rPr>
        <w:t>Innovation and Entrepreneurship in Health</w:t>
      </w:r>
      <w:r w:rsidRPr="00B75647">
        <w:rPr>
          <w:rFonts w:ascii="Times New Roman" w:hAnsi="Times New Roman" w:cs="Times New Roman"/>
          <w:noProof/>
          <w:szCs w:val="24"/>
        </w:rPr>
        <w:t>, 25. https://doi.org/10.2147/ieh.s93473</w:t>
      </w:r>
    </w:p>
    <w:p w14:paraId="3DDA386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Juchnowicz, M., &amp; Kinowska, H. (2021). Employee well-being and digitalwork during the COVID-19 pandemic. </w:t>
      </w:r>
      <w:r w:rsidRPr="00B75647">
        <w:rPr>
          <w:rFonts w:ascii="Times New Roman" w:hAnsi="Times New Roman" w:cs="Times New Roman"/>
          <w:i/>
          <w:iCs/>
          <w:noProof/>
          <w:szCs w:val="24"/>
        </w:rPr>
        <w:t>Information (Switzerland)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(8), 1–13. https://doi.org/10.3390/info12080293</w:t>
      </w:r>
    </w:p>
    <w:p w14:paraId="77B3396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Jurkeviciute, M., van Velsen, L., Eriksson, H., Lifvergren, S., Trimarchi, P. D., Andin, U., &amp; Svensson, J. (2020). Identifying the Value of an eHealth Intervention Aimed at Cognitive Impairments:  Observational Study in Different Contexts and Service Models.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(10), e17720. https://doi.org/10.2196/17720</w:t>
      </w:r>
    </w:p>
    <w:p w14:paraId="31AF4BF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Justyna, W. (2017). The Neuroscience of Goals and Behavior Change Elliot. </w:t>
      </w:r>
      <w:r w:rsidRPr="00B75647">
        <w:rPr>
          <w:rFonts w:ascii="Times New Roman" w:hAnsi="Times New Roman" w:cs="Times New Roman"/>
          <w:i/>
          <w:iCs/>
          <w:noProof/>
          <w:szCs w:val="24"/>
        </w:rPr>
        <w:t>Physiology &amp; Behavior</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176</w:t>
      </w:r>
      <w:r w:rsidRPr="00B75647">
        <w:rPr>
          <w:rFonts w:ascii="Times New Roman" w:hAnsi="Times New Roman" w:cs="Times New Roman"/>
          <w:noProof/>
          <w:szCs w:val="24"/>
        </w:rPr>
        <w:t>(5), 139–148. https://doi.org/10.1037/cpb0000094.The</w:t>
      </w:r>
    </w:p>
    <w:p w14:paraId="2D02FBB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Kailkhura, B., Gallagher, B., Kim, S., Hiszpanski, A., &amp; Han, T. Y. J. (2019). Reliable and explainable machine-learning methods for accelerated material discovery. </w:t>
      </w:r>
      <w:r w:rsidRPr="00B75647">
        <w:rPr>
          <w:rFonts w:ascii="Times New Roman" w:hAnsi="Times New Roman" w:cs="Times New Roman"/>
          <w:i/>
          <w:iCs/>
          <w:noProof/>
          <w:szCs w:val="24"/>
        </w:rPr>
        <w:t>Npj Computational Materials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(1), 1–9. https://doi.org/10.1038/s41524-019-0248-2</w:t>
      </w:r>
    </w:p>
    <w:p w14:paraId="667F1D9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Karami, A., Dahl, A. A., Turner-McGrievy, G., Kharrazi, H., &amp; Shaw, G. (2018). Characterizing diabetes, diet, exercise, and obesity comments on Twitter. </w:t>
      </w:r>
      <w:r w:rsidRPr="00B75647">
        <w:rPr>
          <w:rFonts w:ascii="Times New Roman" w:hAnsi="Times New Roman" w:cs="Times New Roman"/>
          <w:i/>
          <w:iCs/>
          <w:noProof/>
          <w:szCs w:val="24"/>
        </w:rPr>
        <w:t>International Journal of Information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38</w:t>
      </w:r>
      <w:r w:rsidRPr="00B75647">
        <w:rPr>
          <w:rFonts w:ascii="Times New Roman" w:hAnsi="Times New Roman" w:cs="Times New Roman"/>
          <w:noProof/>
          <w:szCs w:val="24"/>
        </w:rPr>
        <w:t>(1), 1–6. https://doi.org/10.1016/j.ijinfomgt.2017.08.002</w:t>
      </w:r>
    </w:p>
    <w:p w14:paraId="359E93E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Kashdan, T. B., Biswas-Diener, R., &amp; King, L. A. (2008). Reconsidering happiness: The costs of distinguishing between hedonics and eudaimonia. </w:t>
      </w:r>
      <w:r w:rsidRPr="00B75647">
        <w:rPr>
          <w:rFonts w:ascii="Times New Roman" w:hAnsi="Times New Roman" w:cs="Times New Roman"/>
          <w:i/>
          <w:iCs/>
          <w:noProof/>
          <w:szCs w:val="24"/>
        </w:rPr>
        <w:t>Journal of Positive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(4), 219–233. https://doi.org/10.1080/17439760802303044</w:t>
      </w:r>
    </w:p>
    <w:p w14:paraId="1F9CD64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Kelly, C. J., &amp; Young, A. J. (2017). Promoting innovation in healthcare. </w:t>
      </w:r>
      <w:r w:rsidRPr="00B75647">
        <w:rPr>
          <w:rFonts w:ascii="Times New Roman" w:hAnsi="Times New Roman" w:cs="Times New Roman"/>
          <w:i/>
          <w:iCs/>
          <w:noProof/>
          <w:szCs w:val="24"/>
        </w:rPr>
        <w:t>Future Hospital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(2), 121–125. https://doi.org/10.7861/futurehosp.4-2-121</w:t>
      </w:r>
    </w:p>
    <w:p w14:paraId="5ED5B8C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Keyes, C. L. M., Shmotkin, D., &amp; Ryff, C. D. (2002). Optimizing well-being: the empirical encounter of two traditions. </w:t>
      </w:r>
      <w:r w:rsidRPr="00B75647">
        <w:rPr>
          <w:rFonts w:ascii="Times New Roman" w:hAnsi="Times New Roman" w:cs="Times New Roman"/>
          <w:i/>
          <w:iCs/>
          <w:noProof/>
          <w:szCs w:val="24"/>
        </w:rPr>
        <w:t>Journal of Personality and Social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82</w:t>
      </w:r>
      <w:r w:rsidRPr="00B75647">
        <w:rPr>
          <w:rFonts w:ascii="Times New Roman" w:hAnsi="Times New Roman" w:cs="Times New Roman"/>
          <w:noProof/>
          <w:szCs w:val="24"/>
        </w:rPr>
        <w:t>(6), 1007.</w:t>
      </w:r>
    </w:p>
    <w:p w14:paraId="481DEF8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Khalid, S., Nasreen, S., &amp; Mary, Q. (2014). </w:t>
      </w:r>
      <w:r w:rsidRPr="00B75647">
        <w:rPr>
          <w:rFonts w:ascii="Times New Roman" w:hAnsi="Times New Roman" w:cs="Times New Roman"/>
          <w:i/>
          <w:iCs/>
          <w:noProof/>
          <w:szCs w:val="24"/>
        </w:rPr>
        <w:t>A Survey of Feature Selection and Feature Extraction Techniques in Machine Learning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October</w:t>
      </w:r>
      <w:r w:rsidRPr="00B75647">
        <w:rPr>
          <w:rFonts w:ascii="Times New Roman" w:hAnsi="Times New Roman" w:cs="Times New Roman"/>
          <w:noProof/>
          <w:szCs w:val="24"/>
        </w:rPr>
        <w:t>. https://doi.org/10.1109/SAI.2014.6918213</w:t>
      </w:r>
    </w:p>
    <w:p w14:paraId="3F7BBE7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Khurana, U., Samulowitz, H., &amp; Turaga, D. (2017). Feature Engineering for Predictive Modeling using Reinforcement Learning. </w:t>
      </w:r>
      <w:r w:rsidRPr="00B75647">
        <w:rPr>
          <w:rFonts w:ascii="Times New Roman" w:hAnsi="Times New Roman" w:cs="Times New Roman"/>
          <w:i/>
          <w:iCs/>
          <w:noProof/>
          <w:szCs w:val="24"/>
        </w:rPr>
        <w:t>ArXiv</w:t>
      </w:r>
      <w:r w:rsidRPr="00B75647">
        <w:rPr>
          <w:rFonts w:ascii="Times New Roman" w:hAnsi="Times New Roman" w:cs="Times New Roman"/>
          <w:noProof/>
          <w:szCs w:val="24"/>
        </w:rPr>
        <w:t>, 3407–3414.</w:t>
      </w:r>
    </w:p>
    <w:p w14:paraId="0947286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Kim, E.-J., &amp; Dimsdale, J. E. (2007). The Effect of Psychosocial Stress on Sleep: A Review of Polysomnographic Evidence. </w:t>
      </w:r>
      <w:r w:rsidRPr="00B75647">
        <w:rPr>
          <w:rFonts w:ascii="Times New Roman" w:hAnsi="Times New Roman" w:cs="Times New Roman"/>
          <w:i/>
          <w:iCs/>
          <w:noProof/>
          <w:szCs w:val="24"/>
        </w:rPr>
        <w:t>Behav Sleep Med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(4), 256–278. https://doi.org/10.1080/15402000701557383.The</w:t>
      </w:r>
    </w:p>
    <w:p w14:paraId="09E51E2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Kimberlin, C. L., &amp; Winterstein, A. G. (2008). Validity and reliability of measurement instruments used in research. </w:t>
      </w:r>
      <w:r w:rsidRPr="00B75647">
        <w:rPr>
          <w:rFonts w:ascii="Times New Roman" w:hAnsi="Times New Roman" w:cs="Times New Roman"/>
          <w:i/>
          <w:iCs/>
          <w:noProof/>
          <w:szCs w:val="24"/>
        </w:rPr>
        <w:t>American Journal of Health-System Pharmacy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65</w:t>
      </w:r>
      <w:r w:rsidRPr="00B75647">
        <w:rPr>
          <w:rFonts w:ascii="Times New Roman" w:hAnsi="Times New Roman" w:cs="Times New Roman"/>
          <w:noProof/>
          <w:szCs w:val="24"/>
        </w:rPr>
        <w:t>(23), 2276–2284.</w:t>
      </w:r>
    </w:p>
    <w:p w14:paraId="35C397B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Klassen, R. M., &amp; Klassen, J. R. L. (2018). Self-efficacy beliefs of medical students: a critical review. </w:t>
      </w:r>
      <w:r w:rsidRPr="00B75647">
        <w:rPr>
          <w:rFonts w:ascii="Times New Roman" w:hAnsi="Times New Roman" w:cs="Times New Roman"/>
          <w:i/>
          <w:iCs/>
          <w:noProof/>
          <w:szCs w:val="24"/>
        </w:rPr>
        <w:t>Perspectives on Medical Education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(2), 76–82. https://doi.org/10.1007/s40037-018-0411-3</w:t>
      </w:r>
    </w:p>
    <w:p w14:paraId="2BA0FD0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Kleinaltenkamp, M., Brodie, R. J., Frow, P., Hughes, T., Peters, L. D., &amp; Woratschek, H. (2012). Resource integration. </w:t>
      </w:r>
      <w:r w:rsidRPr="00B75647">
        <w:rPr>
          <w:rFonts w:ascii="Times New Roman" w:hAnsi="Times New Roman" w:cs="Times New Roman"/>
          <w:i/>
          <w:iCs/>
          <w:noProof/>
          <w:szCs w:val="24"/>
        </w:rPr>
        <w:t>Marketing Theory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(2), 201–205. https://doi.org/10.1177/1470593111429512</w:t>
      </w:r>
    </w:p>
    <w:p w14:paraId="5A171D4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Knapp, M., McDaid, D., &amp; Parsonage, M. (2011). </w:t>
      </w:r>
      <w:r w:rsidRPr="00B75647">
        <w:rPr>
          <w:rFonts w:ascii="Times New Roman" w:hAnsi="Times New Roman" w:cs="Times New Roman"/>
          <w:i/>
          <w:iCs/>
          <w:noProof/>
          <w:szCs w:val="24"/>
        </w:rPr>
        <w:t>Mental health promotion and mental illness prevention: The economic case</w:t>
      </w:r>
      <w:r w:rsidRPr="00B75647">
        <w:rPr>
          <w:rFonts w:ascii="Times New Roman" w:hAnsi="Times New Roman" w:cs="Times New Roman"/>
          <w:noProof/>
          <w:szCs w:val="24"/>
        </w:rPr>
        <w:t>.</w:t>
      </w:r>
    </w:p>
    <w:p w14:paraId="43CB07A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Komiak, S. Y. X., &amp; Benbasat, I. (2006). The effects of personalization and familiarity on trust and adoption of recommendation agents. </w:t>
      </w:r>
      <w:r w:rsidRPr="00B75647">
        <w:rPr>
          <w:rFonts w:ascii="Times New Roman" w:hAnsi="Times New Roman" w:cs="Times New Roman"/>
          <w:i/>
          <w:iCs/>
          <w:noProof/>
          <w:szCs w:val="24"/>
        </w:rPr>
        <w:t>MIS Quarterly</w:t>
      </w:r>
      <w:r w:rsidRPr="00B75647">
        <w:rPr>
          <w:rFonts w:ascii="Times New Roman" w:hAnsi="Times New Roman" w:cs="Times New Roman"/>
          <w:noProof/>
          <w:szCs w:val="24"/>
        </w:rPr>
        <w:t>, 941–960.</w:t>
      </w:r>
    </w:p>
    <w:p w14:paraId="5EF284B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Kotera, Y., &amp; Vione, K. C. (2020). Psychological impacts of the new ways of working (NWW): A systematic review. </w:t>
      </w:r>
      <w:r w:rsidRPr="00B75647">
        <w:rPr>
          <w:rFonts w:ascii="Times New Roman" w:hAnsi="Times New Roman" w:cs="Times New Roman"/>
          <w:i/>
          <w:iCs/>
          <w:noProof/>
          <w:szCs w:val="24"/>
        </w:rPr>
        <w:t>International Journal of Environmental Research and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(14), 1–13. https://doi.org/10.3390/ijerph17145080</w:t>
      </w:r>
    </w:p>
    <w:p w14:paraId="18DA268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Kotsiantis, S. B., &amp; Kanellopoulos, D. (2006). Data preprocessing for supervised leaning. </w:t>
      </w:r>
      <w:r w:rsidRPr="00B75647">
        <w:rPr>
          <w:rFonts w:ascii="Times New Roman" w:hAnsi="Times New Roman" w:cs="Times New Roman"/>
          <w:i/>
          <w:iCs/>
          <w:noProof/>
          <w:szCs w:val="24"/>
        </w:rPr>
        <w:t>International Journal of …</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(2), 1–7. https://doi.org/10.1080/02331931003692557</w:t>
      </w:r>
    </w:p>
    <w:p w14:paraId="04054F9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Kraus, S., Schiavone, F., Pluzhnikova, A., &amp; Invernizzi, A. C. (2021). Digital transformation in healthcare: Analyzing the current state-of-research.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123</w:t>
      </w:r>
      <w:r w:rsidRPr="00B75647">
        <w:rPr>
          <w:rFonts w:ascii="Times New Roman" w:hAnsi="Times New Roman" w:cs="Times New Roman"/>
          <w:noProof/>
          <w:szCs w:val="24"/>
        </w:rPr>
        <w:t>, 557–567. https://doi.org/10.1016/j.jbusres.2020.10.030</w:t>
      </w:r>
    </w:p>
    <w:p w14:paraId="5ACBAE1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Krawczyk, B. (2016). Learning from imbalanced data: open challenges and future directions. </w:t>
      </w:r>
      <w:r w:rsidRPr="00B75647">
        <w:rPr>
          <w:rFonts w:ascii="Times New Roman" w:hAnsi="Times New Roman" w:cs="Times New Roman"/>
          <w:i/>
          <w:iCs/>
          <w:noProof/>
          <w:szCs w:val="24"/>
        </w:rPr>
        <w:t>Progress in Artificial Intelligence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(4), 221–232. https://doi.org/10.1007/s13748-016-0094-0</w:t>
      </w:r>
    </w:p>
    <w:p w14:paraId="52E3B9A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Krekel, C, Ward, G., &amp; Neve, J. De. (2019). Employee wellbeing, productivity, and firm performance: Evidence from 1.8 million employees. </w:t>
      </w:r>
      <w:r w:rsidRPr="00B75647">
        <w:rPr>
          <w:rFonts w:ascii="Times New Roman" w:hAnsi="Times New Roman" w:cs="Times New Roman"/>
          <w:i/>
          <w:iCs/>
          <w:noProof/>
          <w:szCs w:val="24"/>
        </w:rPr>
        <w:t>… -and-Firm-Performance [Accessed 12 June …</w:t>
      </w:r>
      <w:r w:rsidRPr="00B75647">
        <w:rPr>
          <w:rFonts w:ascii="Times New Roman" w:hAnsi="Times New Roman" w:cs="Times New Roman"/>
          <w:noProof/>
          <w:szCs w:val="24"/>
        </w:rPr>
        <w:t>. https://voxeu.org/article/employee-wellbeing-productivity-and-firm-performance</w:t>
      </w:r>
    </w:p>
    <w:p w14:paraId="0556D03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Krekel, Christian, Ward, G., &amp; De Neve, J.-E. (2019). Employee Wellbeing, Productivity, and Firm Performance. </w:t>
      </w:r>
      <w:r w:rsidRPr="00B75647">
        <w:rPr>
          <w:rFonts w:ascii="Times New Roman" w:hAnsi="Times New Roman" w:cs="Times New Roman"/>
          <w:i/>
          <w:iCs/>
          <w:noProof/>
          <w:szCs w:val="24"/>
        </w:rPr>
        <w:t>SSRN Electronic Journal</w:t>
      </w:r>
      <w:r w:rsidRPr="00B75647">
        <w:rPr>
          <w:rFonts w:ascii="Times New Roman" w:hAnsi="Times New Roman" w:cs="Times New Roman"/>
          <w:noProof/>
          <w:szCs w:val="24"/>
        </w:rPr>
        <w:t>. https://doi.org/10.2139/ssrn.3356581</w:t>
      </w:r>
    </w:p>
    <w:p w14:paraId="6E7F2B9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Krenzlin, H., Bettag, C., Rohde, V., Ringel, F., &amp; Keric, N. (2020). Involuntary ambulatory triage during the COVID-19 pandemic - A neurosurgical perspective.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(6), 1–7. https://doi.org/10.1371/journal.pone.0234956</w:t>
      </w:r>
    </w:p>
    <w:p w14:paraId="1FB9317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Krippendorff, K. (2018). </w:t>
      </w:r>
      <w:r w:rsidRPr="00B75647">
        <w:rPr>
          <w:rFonts w:ascii="Times New Roman" w:hAnsi="Times New Roman" w:cs="Times New Roman"/>
          <w:i/>
          <w:iCs/>
          <w:noProof/>
          <w:szCs w:val="24"/>
        </w:rPr>
        <w:t>Content analysis: An introduction to its methodology</w:t>
      </w:r>
      <w:r w:rsidRPr="00B75647">
        <w:rPr>
          <w:rFonts w:ascii="Times New Roman" w:hAnsi="Times New Roman" w:cs="Times New Roman"/>
          <w:noProof/>
          <w:szCs w:val="24"/>
        </w:rPr>
        <w:t>. Sage publications.</w:t>
      </w:r>
    </w:p>
    <w:p w14:paraId="1EABF08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Kummitha, R. K. R. (2020). Smart technologies for fighting pandemics: The techno- and human- driven approaches  in controlling the virus transmission. </w:t>
      </w:r>
      <w:r w:rsidRPr="00B75647">
        <w:rPr>
          <w:rFonts w:ascii="Times New Roman" w:hAnsi="Times New Roman" w:cs="Times New Roman"/>
          <w:i/>
          <w:iCs/>
          <w:noProof/>
          <w:szCs w:val="24"/>
        </w:rPr>
        <w:t>Government Information Quarterly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37</w:t>
      </w:r>
      <w:r w:rsidRPr="00B75647">
        <w:rPr>
          <w:rFonts w:ascii="Times New Roman" w:hAnsi="Times New Roman" w:cs="Times New Roman"/>
          <w:noProof/>
          <w:szCs w:val="24"/>
        </w:rPr>
        <w:t>(3), 101481. https://doi.org/10.1016/j.giq.2020.101481</w:t>
      </w:r>
    </w:p>
    <w:p w14:paraId="4536873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Kushwaha, A. K., Kar, A. K., &amp; Dwivedi, Y. K. (2021). Applications of big data in emerging management disciplines: A literature review using text mining. </w:t>
      </w:r>
      <w:r w:rsidRPr="00B75647">
        <w:rPr>
          <w:rFonts w:ascii="Times New Roman" w:hAnsi="Times New Roman" w:cs="Times New Roman"/>
          <w:i/>
          <w:iCs/>
          <w:noProof/>
          <w:szCs w:val="24"/>
        </w:rPr>
        <w:t>International Journal of Information Management Data Insights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(2), 100017. https://doi.org/10.1016/j.jjimei.2021.100017</w:t>
      </w:r>
    </w:p>
    <w:p w14:paraId="57EF0B1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Laird, A. R. (2021). Large, open datasets for human connectomics research: Considerations for reproducible and responsible data use. </w:t>
      </w:r>
      <w:r w:rsidRPr="00B75647">
        <w:rPr>
          <w:rFonts w:ascii="Times New Roman" w:hAnsi="Times New Roman" w:cs="Times New Roman"/>
          <w:i/>
          <w:iCs/>
          <w:noProof/>
          <w:szCs w:val="24"/>
        </w:rPr>
        <w:t>NeuroImage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244</w:t>
      </w:r>
      <w:r w:rsidRPr="00B75647">
        <w:rPr>
          <w:rFonts w:ascii="Times New Roman" w:hAnsi="Times New Roman" w:cs="Times New Roman"/>
          <w:noProof/>
          <w:szCs w:val="24"/>
        </w:rPr>
        <w:t>, 118579.</w:t>
      </w:r>
    </w:p>
    <w:p w14:paraId="0889930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LaRocco, J., Le, M. D., &amp; Paeng, D. G. (2020). A Systemic Review of Available Low-Cost EEG Headsets Used for Drowsiness Detection. </w:t>
      </w:r>
      <w:r w:rsidRPr="00B75647">
        <w:rPr>
          <w:rFonts w:ascii="Times New Roman" w:hAnsi="Times New Roman" w:cs="Times New Roman"/>
          <w:i/>
          <w:iCs/>
          <w:noProof/>
          <w:szCs w:val="24"/>
        </w:rPr>
        <w:t>Frontiers in Neuroinformatics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14</w:t>
      </w:r>
      <w:r w:rsidRPr="00B75647">
        <w:rPr>
          <w:rFonts w:ascii="Times New Roman" w:hAnsi="Times New Roman" w:cs="Times New Roman"/>
          <w:noProof/>
          <w:szCs w:val="24"/>
        </w:rPr>
        <w:t>(October), 1–14. https://doi.org/10.3389/fninf.2020.553352</w:t>
      </w:r>
    </w:p>
    <w:p w14:paraId="20DB32D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Lee, E. E., Torous, J., De Choudhury, M., Depp, C. A., Graham, S. A., Kim, H. C., Paulus, M. P., Krystal, J. H., &amp; Jeste, D. V. (2021). Artificial Intelligence for Mental Health Care: Clinical Applications, Barriers, Facilitators, and Artificial Wisdom. </w:t>
      </w:r>
      <w:r w:rsidRPr="00B75647">
        <w:rPr>
          <w:rFonts w:ascii="Times New Roman" w:hAnsi="Times New Roman" w:cs="Times New Roman"/>
          <w:i/>
          <w:iCs/>
          <w:noProof/>
          <w:szCs w:val="24"/>
        </w:rPr>
        <w:t>Biological Psychiatry: Cognitive Neuroscience and Neuroimaging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(9), 856–864. https://doi.org/10.1016/j.bpsc.2021.02.001</w:t>
      </w:r>
    </w:p>
    <w:p w14:paraId="14392E4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Lee, K., Kwon, H., Lee, B., Lee, G., Lee, J. H., Park, Y. R., &amp; Shin, S. Y. (2018). Effect of self-monitoring on long-term patient engagement with mobile health applications.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(7), 1–12. https://doi.org/10.1371/journal.pone.0201166</w:t>
      </w:r>
    </w:p>
    <w:p w14:paraId="70B136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Lee, Y. S., Jung, W. M., Jang, H., Kim, S., Chung, S. Y., &amp; Chae, Y. (2017). The dynamic relationship between emotional and physical states: An observational study of personal health records. </w:t>
      </w:r>
      <w:r w:rsidRPr="00B75647">
        <w:rPr>
          <w:rFonts w:ascii="Times New Roman" w:hAnsi="Times New Roman" w:cs="Times New Roman"/>
          <w:i/>
          <w:iCs/>
          <w:noProof/>
          <w:szCs w:val="24"/>
        </w:rPr>
        <w:t>Neuropsychiatric Disease and Treatment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 411–419. https://doi.org/10.2147/NDT.S120995</w:t>
      </w:r>
    </w:p>
    <w:p w14:paraId="59729B6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Levine, G. N., Cohen, B. E., Commodore-Mensah, Y., Fleury, J., Huffman, J. C., Khalid, U., Labarthe, D. R., Lavretsky, H., Michos, E. D., Spatz, E. S., &amp; Kubzansky, L. D. (2021). Psychological Health, Well-Being, and the Mind-Heart-Body Connection: A Scientific Statement from the American Heart Association. </w:t>
      </w:r>
      <w:r w:rsidRPr="00B75647">
        <w:rPr>
          <w:rFonts w:ascii="Times New Roman" w:hAnsi="Times New Roman" w:cs="Times New Roman"/>
          <w:i/>
          <w:iCs/>
          <w:noProof/>
          <w:szCs w:val="24"/>
        </w:rPr>
        <w:t>Circulation</w:t>
      </w:r>
      <w:r w:rsidRPr="00B75647">
        <w:rPr>
          <w:rFonts w:ascii="Times New Roman" w:hAnsi="Times New Roman" w:cs="Times New Roman"/>
          <w:noProof/>
          <w:szCs w:val="24"/>
        </w:rPr>
        <w:t>, E763–E783. https://doi.org/10.1161/CIR.0000000000000947</w:t>
      </w:r>
    </w:p>
    <w:p w14:paraId="1CBFEDB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Li, M., &amp; Chapman, G. B. (2013). Nudge to Health: Harnessing Decision Research to Promote Health Behavior. </w:t>
      </w:r>
      <w:r w:rsidRPr="00B75647">
        <w:rPr>
          <w:rFonts w:ascii="Times New Roman" w:hAnsi="Times New Roman" w:cs="Times New Roman"/>
          <w:i/>
          <w:iCs/>
          <w:noProof/>
          <w:szCs w:val="24"/>
        </w:rPr>
        <w:t>Social and Personality Psychology Compass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(3), 187–198. https://doi.org/10.1111/spc3.12019</w:t>
      </w:r>
    </w:p>
    <w:p w14:paraId="0A0F93F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Li, Y., Gu, S., Wang, Z., Li, H., Xu, X., Zhu, H., Deng, S., Ma, X., Feng, G., Wang, F., &amp; Huang, J. H. (2019). Relationship between stressful life events and sleep quality: Rumination as a mediator and resilience as a moderator. </w:t>
      </w:r>
      <w:r w:rsidRPr="00B75647">
        <w:rPr>
          <w:rFonts w:ascii="Times New Roman" w:hAnsi="Times New Roman" w:cs="Times New Roman"/>
          <w:i/>
          <w:iCs/>
          <w:noProof/>
          <w:szCs w:val="24"/>
        </w:rPr>
        <w:t>Frontiers in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(MAY), 1–9. https://doi.org/10.3389/fpsyt.2019.00348</w:t>
      </w:r>
    </w:p>
    <w:p w14:paraId="12AD638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Lins, S., Pandl, K. D., Teigeler, H., Thiebes, S., Bayer, C., &amp; Sunyaev, A. (2021). Artificial Intelligence as a Service: Classification and Research Directions. </w:t>
      </w:r>
      <w:r w:rsidRPr="00B75647">
        <w:rPr>
          <w:rFonts w:ascii="Times New Roman" w:hAnsi="Times New Roman" w:cs="Times New Roman"/>
          <w:i/>
          <w:iCs/>
          <w:noProof/>
          <w:szCs w:val="24"/>
        </w:rPr>
        <w:t>Business and Information Systems Engineering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63</w:t>
      </w:r>
      <w:r w:rsidRPr="00B75647">
        <w:rPr>
          <w:rFonts w:ascii="Times New Roman" w:hAnsi="Times New Roman" w:cs="Times New Roman"/>
          <w:noProof/>
          <w:szCs w:val="24"/>
        </w:rPr>
        <w:t>(4), 441–456. https://doi.org/10.1007/s12599-021-00708-w</w:t>
      </w:r>
    </w:p>
    <w:p w14:paraId="20D0B76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Litwin, G. H., &amp; Stringer, R. A. (2018). The Impact of Employee Engagement on Performance. </w:t>
      </w:r>
      <w:r w:rsidRPr="00B75647">
        <w:rPr>
          <w:rFonts w:ascii="Times New Roman" w:hAnsi="Times New Roman" w:cs="Times New Roman"/>
          <w:i/>
          <w:iCs/>
          <w:noProof/>
          <w:szCs w:val="24"/>
        </w:rPr>
        <w:t>Harvard Business Review Analytic Services. Sep2013</w:t>
      </w:r>
      <w:r w:rsidRPr="00B75647">
        <w:rPr>
          <w:rFonts w:ascii="Times New Roman" w:hAnsi="Times New Roman" w:cs="Times New Roman"/>
          <w:noProof/>
          <w:szCs w:val="24"/>
        </w:rPr>
        <w:t>.</w:t>
      </w:r>
    </w:p>
    <w:p w14:paraId="021866C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Loewenthal, D., &amp; Avdi, E. (2016). Is research in psychotherapy and counselling a waste of time ? </w:t>
      </w:r>
      <w:r w:rsidRPr="00B75647">
        <w:rPr>
          <w:rFonts w:ascii="Times New Roman" w:hAnsi="Times New Roman" w:cs="Times New Roman"/>
          <w:i/>
          <w:iCs/>
          <w:noProof/>
          <w:szCs w:val="24"/>
        </w:rPr>
        <w:t>European Journal of Psychotherapy &amp; Counselling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2537</w:t>
      </w:r>
      <w:r w:rsidRPr="00B75647">
        <w:rPr>
          <w:rFonts w:ascii="Times New Roman" w:hAnsi="Times New Roman" w:cs="Times New Roman"/>
          <w:noProof/>
          <w:szCs w:val="24"/>
        </w:rPr>
        <w:t>, 1–5. https://doi.org/10.1080/13642537.2016.1261651</w:t>
      </w:r>
    </w:p>
    <w:p w14:paraId="7D2A8B0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Lohr, K. N., &amp; Steinwachs, D. M. (2002). Health Services Research: An Evolving Definition of the Field. </w:t>
      </w:r>
      <w:r w:rsidRPr="00B75647">
        <w:rPr>
          <w:rFonts w:ascii="Times New Roman" w:hAnsi="Times New Roman" w:cs="Times New Roman"/>
          <w:i/>
          <w:iCs/>
          <w:noProof/>
          <w:szCs w:val="24"/>
        </w:rPr>
        <w:t>Health Services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37</w:t>
      </w:r>
      <w:r w:rsidRPr="00B75647">
        <w:rPr>
          <w:rFonts w:ascii="Times New Roman" w:hAnsi="Times New Roman" w:cs="Times New Roman"/>
          <w:noProof/>
          <w:szCs w:val="24"/>
        </w:rPr>
        <w:t>(1), 15–17. https://doi.org/10.1111/1475-6773.01020</w:t>
      </w:r>
    </w:p>
    <w:p w14:paraId="6425272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López-García, D., Sobrado, A., González-Peñalver, J. M., Górriz, J. M., &amp; Ruz, M. (2019). Multivariate Pattern Analysis of Electroencephalography Data in a Demand-Selection Task. In </w:t>
      </w:r>
      <w:r w:rsidRPr="00B75647">
        <w:rPr>
          <w:rFonts w:ascii="Times New Roman" w:hAnsi="Times New Roman" w:cs="Times New Roman"/>
          <w:i/>
          <w:iCs/>
          <w:noProof/>
          <w:szCs w:val="24"/>
        </w:rPr>
        <w:t>Lecture Notes in Computer Science (including subseries Lecture Notes in Artificial Intelligence and Lecture Notes in Bioinformatics): Vol. 11486 LNCS</w:t>
      </w:r>
      <w:r w:rsidRPr="00B75647">
        <w:rPr>
          <w:rFonts w:ascii="Times New Roman" w:hAnsi="Times New Roman" w:cs="Times New Roman"/>
          <w:noProof/>
          <w:szCs w:val="24"/>
        </w:rPr>
        <w:t>. https://doi.org/10.1007/978-3-030-19591-5_41</w:t>
      </w:r>
    </w:p>
    <w:p w14:paraId="005BBAD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Lorig, K. R., Sobel, D. S., Ritter, P. L., Laurent, D., &amp; Hobbs, M. (2001). Effect of a self-management program on patients with chronic disease. </w:t>
      </w:r>
      <w:r w:rsidRPr="00B75647">
        <w:rPr>
          <w:rFonts w:ascii="Times New Roman" w:hAnsi="Times New Roman" w:cs="Times New Roman"/>
          <w:i/>
          <w:iCs/>
          <w:noProof/>
          <w:szCs w:val="24"/>
        </w:rPr>
        <w:t>Effective Clinical Practice: ECP</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(6), 256–262.</w:t>
      </w:r>
    </w:p>
    <w:p w14:paraId="5A1BA25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Lupton, D. (2016). </w:t>
      </w:r>
      <w:r w:rsidRPr="00B75647">
        <w:rPr>
          <w:rFonts w:ascii="Times New Roman" w:hAnsi="Times New Roman" w:cs="Times New Roman"/>
          <w:i/>
          <w:iCs/>
          <w:noProof/>
          <w:szCs w:val="24"/>
        </w:rPr>
        <w:t>The Quantified Self (Cambridge: Polity)</w:t>
      </w:r>
      <w:r w:rsidRPr="00B75647">
        <w:rPr>
          <w:rFonts w:ascii="Times New Roman" w:hAnsi="Times New Roman" w:cs="Times New Roman"/>
          <w:noProof/>
          <w:szCs w:val="24"/>
        </w:rPr>
        <w:t>.</w:t>
      </w:r>
    </w:p>
    <w:p w14:paraId="7130EF4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Lusch, R. F., &amp; Vargo, S. L. (2006). Service-dominant logic: reactions, reflections and refinements. </w:t>
      </w:r>
      <w:r w:rsidRPr="00B75647">
        <w:rPr>
          <w:rFonts w:ascii="Times New Roman" w:hAnsi="Times New Roman" w:cs="Times New Roman"/>
          <w:i/>
          <w:iCs/>
          <w:noProof/>
          <w:szCs w:val="24"/>
        </w:rPr>
        <w:t>Marketing Theory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(3), 281–288.</w:t>
      </w:r>
    </w:p>
    <w:p w14:paraId="7D594E8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Lusch, R. F., &amp; Vargo, S. L. (2014). </w:t>
      </w:r>
      <w:r w:rsidRPr="00B75647">
        <w:rPr>
          <w:rFonts w:ascii="Times New Roman" w:hAnsi="Times New Roman" w:cs="Times New Roman"/>
          <w:i/>
          <w:iCs/>
          <w:noProof/>
          <w:szCs w:val="24"/>
        </w:rPr>
        <w:t>Service-dominant logic: Premises, perspectives, possibilities</w:t>
      </w:r>
      <w:r w:rsidRPr="00B75647">
        <w:rPr>
          <w:rFonts w:ascii="Times New Roman" w:hAnsi="Times New Roman" w:cs="Times New Roman"/>
          <w:noProof/>
          <w:szCs w:val="24"/>
        </w:rPr>
        <w:t>. Cambridge University Press.</w:t>
      </w:r>
    </w:p>
    <w:p w14:paraId="6627D23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Lusch, R. F., Vargo, S. L., &amp; Tanniru, M. (2010). Service, value networks and learning.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38</w:t>
      </w:r>
      <w:r w:rsidRPr="00B75647">
        <w:rPr>
          <w:rFonts w:ascii="Times New Roman" w:hAnsi="Times New Roman" w:cs="Times New Roman"/>
          <w:noProof/>
          <w:szCs w:val="24"/>
        </w:rPr>
        <w:t>(1), 19–31. https://doi.org/10.1007/s11747-008-0131-z</w:t>
      </w:r>
    </w:p>
    <w:p w14:paraId="20B9459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Macia, L. (2015). Using clustering as a tool: Mixed methods in qualitative data analysis. </w:t>
      </w:r>
      <w:r w:rsidRPr="00B75647">
        <w:rPr>
          <w:rFonts w:ascii="Times New Roman" w:hAnsi="Times New Roman" w:cs="Times New Roman"/>
          <w:i/>
          <w:iCs/>
          <w:noProof/>
          <w:szCs w:val="24"/>
        </w:rPr>
        <w:t>Qualitative Report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(7), 1083–1094. https://doi.org/10.46743/2160-3715/2015.2201</w:t>
      </w:r>
    </w:p>
    <w:p w14:paraId="7EAFFDC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Mafuba, K., &amp; Gates, B. (2012). Sequential multiple methods as a contemporary method in learning disability nursing practice research. </w:t>
      </w:r>
      <w:r w:rsidRPr="00B75647">
        <w:rPr>
          <w:rFonts w:ascii="Times New Roman" w:hAnsi="Times New Roman" w:cs="Times New Roman"/>
          <w:i/>
          <w:iCs/>
          <w:noProof/>
          <w:szCs w:val="24"/>
        </w:rPr>
        <w:t>Journal of Intellectual Disabilities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(4), 287–296. https://doi.org/10.1177/1744629512462178</w:t>
      </w:r>
    </w:p>
    <w:p w14:paraId="40A8D85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Maglio, P. P., &amp; Spohrer, J. (2008). Fundamentals of service science.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36</w:t>
      </w:r>
      <w:r w:rsidRPr="00B75647">
        <w:rPr>
          <w:rFonts w:ascii="Times New Roman" w:hAnsi="Times New Roman" w:cs="Times New Roman"/>
          <w:noProof/>
          <w:szCs w:val="24"/>
        </w:rPr>
        <w:t>(1), 18–20.</w:t>
      </w:r>
    </w:p>
    <w:p w14:paraId="28819D3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Maglio, P. P., &amp; Spohrer, J. (2013). A service science perspective on business model innovation. </w:t>
      </w:r>
      <w:r w:rsidRPr="00B75647">
        <w:rPr>
          <w:rFonts w:ascii="Times New Roman" w:hAnsi="Times New Roman" w:cs="Times New Roman"/>
          <w:i/>
          <w:iCs/>
          <w:noProof/>
          <w:szCs w:val="24"/>
        </w:rPr>
        <w:t>Industrial Marketing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42</w:t>
      </w:r>
      <w:r w:rsidRPr="00B75647">
        <w:rPr>
          <w:rFonts w:ascii="Times New Roman" w:hAnsi="Times New Roman" w:cs="Times New Roman"/>
          <w:noProof/>
          <w:szCs w:val="24"/>
        </w:rPr>
        <w:t>(5), 665–670.</w:t>
      </w:r>
    </w:p>
    <w:p w14:paraId="0F780AC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Maglio, P. P., Vargo, S. L., Caswell, N., &amp; Spohrer, J. (2009). The service system is the basic abstraction of service science. </w:t>
      </w:r>
      <w:r w:rsidRPr="00B75647">
        <w:rPr>
          <w:rFonts w:ascii="Times New Roman" w:hAnsi="Times New Roman" w:cs="Times New Roman"/>
          <w:i/>
          <w:iCs/>
          <w:noProof/>
          <w:szCs w:val="24"/>
        </w:rPr>
        <w:t>Information Systems and E-Business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(4 SPEC. ISS.), 395–406. https://doi.org/10.1007/s10257-008-0105-1</w:t>
      </w:r>
    </w:p>
    <w:p w14:paraId="0B41A9E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Maitland, J., Sherwood, S., Barkhuus, L., Anderson, I., Hall, M., Brown, B., Chalmers, M., &amp; Muller, H. (2006). Increasing the awareness of daily activity levels with pervasive computing. </w:t>
      </w:r>
      <w:r w:rsidRPr="00B75647">
        <w:rPr>
          <w:rFonts w:ascii="Times New Roman" w:hAnsi="Times New Roman" w:cs="Times New Roman"/>
          <w:i/>
          <w:iCs/>
          <w:noProof/>
          <w:szCs w:val="24"/>
        </w:rPr>
        <w:t>2006 Pervasive Health Conference and Workshops</w:t>
      </w:r>
      <w:r w:rsidRPr="00B75647">
        <w:rPr>
          <w:rFonts w:ascii="Times New Roman" w:hAnsi="Times New Roman" w:cs="Times New Roman"/>
          <w:noProof/>
          <w:szCs w:val="24"/>
        </w:rPr>
        <w:t>, 1–9.</w:t>
      </w:r>
    </w:p>
    <w:p w14:paraId="711F5B8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Malik, M., Saidin, N., Abd Wab, R., &amp; Nordin, N. (2020). Investigating the Relationship Between Stress and Psychological Well-Being among Foundation Students of UiTM. </w:t>
      </w:r>
      <w:r w:rsidRPr="00B75647">
        <w:rPr>
          <w:rFonts w:ascii="Times New Roman" w:hAnsi="Times New Roman" w:cs="Times New Roman"/>
          <w:i/>
          <w:iCs/>
          <w:noProof/>
          <w:szCs w:val="24"/>
        </w:rPr>
        <w:t>International Journal of Academic Research in Business and Social Sciences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(14), 93–101. https://doi.org/10.6007/ijarbss/v10-i14/7366</w:t>
      </w:r>
    </w:p>
    <w:p w14:paraId="5B064F3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Marceglia, S., Rigby, M., Alonso, A., Keeling, D., Kubitschke, L., &amp; Pozzi, G. (2018). DEDICATE: Proposal for a conceptual framework to develop dementia-friendly integrated eCare support.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(1), 1–18. https://doi.org/10.1186/s12938-018-0552-y</w:t>
      </w:r>
    </w:p>
    <w:p w14:paraId="1C1A95E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Marchiori, D. R., Adriaanse, M. A., &amp; De Ridder, D. T. D. (2017). Unresolved questions in nudging research: Putting the psychology back in nudging. </w:t>
      </w:r>
      <w:r w:rsidRPr="00B75647">
        <w:rPr>
          <w:rFonts w:ascii="Times New Roman" w:hAnsi="Times New Roman" w:cs="Times New Roman"/>
          <w:i/>
          <w:iCs/>
          <w:noProof/>
          <w:szCs w:val="24"/>
        </w:rPr>
        <w:t>Social and Personality Psychology Compass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(1), 1–13. https://doi.org/10.1111/spc3.12297</w:t>
      </w:r>
    </w:p>
    <w:p w14:paraId="42F48D7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Mariotti, A. (2015). The effects of chronic stress on health: New insights into the molecular mechanisms of brain-body communication. </w:t>
      </w:r>
      <w:r w:rsidRPr="00B75647">
        <w:rPr>
          <w:rFonts w:ascii="Times New Roman" w:hAnsi="Times New Roman" w:cs="Times New Roman"/>
          <w:i/>
          <w:iCs/>
          <w:noProof/>
          <w:szCs w:val="24"/>
        </w:rPr>
        <w:t>Future Science OA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(3). https://doi.org/10.4155/fso.15.21</w:t>
      </w:r>
    </w:p>
    <w:p w14:paraId="3AE4C97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Marouf, M., Vukomanovic, G., Saranovac, L., &amp; Bozic, M. (2017). Multi-purpose ECG telemetry system.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(1), 1–20. https://doi.org/10.1186/s12938-017-0371-6</w:t>
      </w:r>
    </w:p>
    <w:p w14:paraId="7611473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Mårtensson, G., Ferreira, D., Granberg, T., Cavallin, L., Oppedal, K., Padovani, A., Rektorova, I., Bonanni, L., Pardini, M., Kramberger, M. G., Taylor, J. P., Hort, J., Snædal, J., Kulisevsky, J., Blanc, F., Antonini, A., Mecocci, P., Vellas, B., Tsolaki, M., … Westman, E. (2020). The reliability of a deep learning model in clinical out-of-distribution MRI data: A multicohort study. </w:t>
      </w:r>
      <w:r w:rsidRPr="00B75647">
        <w:rPr>
          <w:rFonts w:ascii="Times New Roman" w:hAnsi="Times New Roman" w:cs="Times New Roman"/>
          <w:i/>
          <w:iCs/>
          <w:noProof/>
          <w:szCs w:val="24"/>
        </w:rPr>
        <w:t>Medical Image Analysis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66</w:t>
      </w:r>
      <w:r w:rsidRPr="00B75647">
        <w:rPr>
          <w:rFonts w:ascii="Times New Roman" w:hAnsi="Times New Roman" w:cs="Times New Roman"/>
          <w:noProof/>
          <w:szCs w:val="24"/>
        </w:rPr>
        <w:t>. https://doi.org/10.1016/j.media.2020.101714</w:t>
      </w:r>
    </w:p>
    <w:p w14:paraId="0FE5442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Martyn, P. (2021). Using Quantitative Analytical Methods to Support Qualitative Data Analysis: Lessons Learnt During a PhD Study. </w:t>
      </w:r>
      <w:r w:rsidRPr="00B75647">
        <w:rPr>
          <w:rFonts w:ascii="Times New Roman" w:hAnsi="Times New Roman" w:cs="Times New Roman"/>
          <w:i/>
          <w:iCs/>
          <w:noProof/>
          <w:szCs w:val="24"/>
        </w:rPr>
        <w:t>Accounting, Finance, &amp; Governance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27</w:t>
      </w:r>
      <w:r w:rsidRPr="00B75647">
        <w:rPr>
          <w:rFonts w:ascii="Times New Roman" w:hAnsi="Times New Roman" w:cs="Times New Roman"/>
          <w:noProof/>
          <w:szCs w:val="24"/>
        </w:rPr>
        <w:t>, 70–80. https://doi.org/10.52399/001c.22175</w:t>
      </w:r>
    </w:p>
    <w:p w14:paraId="697335F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McCloughen, A., Foster, K., Kerley, D., Delgado, C., &amp; Turnell, A. (2016). Physical health and well-being: Experiences and perspectives of young adult mental health consumers. </w:t>
      </w:r>
      <w:r w:rsidRPr="00B75647">
        <w:rPr>
          <w:rFonts w:ascii="Times New Roman" w:hAnsi="Times New Roman" w:cs="Times New Roman"/>
          <w:i/>
          <w:iCs/>
          <w:noProof/>
          <w:szCs w:val="24"/>
        </w:rPr>
        <w:t>International Journal of Mental Health Nursing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25</w:t>
      </w:r>
      <w:r w:rsidRPr="00B75647">
        <w:rPr>
          <w:rFonts w:ascii="Times New Roman" w:hAnsi="Times New Roman" w:cs="Times New Roman"/>
          <w:noProof/>
          <w:szCs w:val="24"/>
        </w:rPr>
        <w:t>(4), 299–307. https://doi.org/10.1111/inm.12189</w:t>
      </w:r>
    </w:p>
    <w:p w14:paraId="03E9793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McColl-Kennedy, J. R., Cheung, L., &amp; Ferrier, E. (2015). Co-creating service experience practices. </w:t>
      </w:r>
      <w:r w:rsidRPr="00B75647">
        <w:rPr>
          <w:rFonts w:ascii="Times New Roman" w:hAnsi="Times New Roman" w:cs="Times New Roman"/>
          <w:i/>
          <w:iCs/>
          <w:noProof/>
          <w:szCs w:val="24"/>
        </w:rPr>
        <w:t>Journal of Service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26</w:t>
      </w:r>
      <w:r w:rsidRPr="00B75647">
        <w:rPr>
          <w:rFonts w:ascii="Times New Roman" w:hAnsi="Times New Roman" w:cs="Times New Roman"/>
          <w:noProof/>
          <w:szCs w:val="24"/>
        </w:rPr>
        <w:t>(2), 249–275.</w:t>
      </w:r>
    </w:p>
    <w:p w14:paraId="2EDB962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McColl-Kennedy, J. R., Hogan, S. J., Witell, L., &amp; Snyder, H. (2017). Cocreative customer practices: Effects of health care customer value cocreation practices on well-being.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70</w:t>
      </w:r>
      <w:r w:rsidRPr="00B75647">
        <w:rPr>
          <w:rFonts w:ascii="Times New Roman" w:hAnsi="Times New Roman" w:cs="Times New Roman"/>
          <w:noProof/>
          <w:szCs w:val="24"/>
        </w:rPr>
        <w:t>(C), 55–66. https://econpapers.repec.org/RePEc:eee:jbrese:v:70:y:2017:i:c:p:55-66</w:t>
      </w:r>
    </w:p>
    <w:p w14:paraId="391B72D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McColl-Kennedy, J. R., Vargo, S. L., Dagger, T. S., Sweeney, J. C., &amp; Kasteren, Y. van. (2012a). Health care customer value cocreation practice styles.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(4), 370–389.</w:t>
      </w:r>
    </w:p>
    <w:p w14:paraId="6D1074F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McColl-Kennedy, J. R., Vargo, S. L., Dagger, T. S., Sweeney, J. C., &amp; Kasteren, Y. van. (2012b). Health Care Customer Value Cocreation Practice Styles.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(4), 370–389. https://doi.org/10.1177/1094670512442806</w:t>
      </w:r>
    </w:p>
    <w:p w14:paraId="2B634A8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McCrudden, M. T., &amp; McTigue, E. M. (2019). Implementing Integration in an Explanatory Sequential Mixed Methods Study of Belief Bias About Climate Change With High School Students. </w:t>
      </w:r>
      <w:r w:rsidRPr="00B75647">
        <w:rPr>
          <w:rFonts w:ascii="Times New Roman" w:hAnsi="Times New Roman" w:cs="Times New Roman"/>
          <w:i/>
          <w:iCs/>
          <w:noProof/>
          <w:szCs w:val="24"/>
        </w:rPr>
        <w:t>Journal of Mixed Methods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(3), 381–400. https://doi.org/10.1177/1558689818762576</w:t>
      </w:r>
    </w:p>
    <w:p w14:paraId="1B2EABA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&amp; Della Corte, V. (2013). Resource-based view and Service-dominant logic: Similarities, differences and further research. </w:t>
      </w:r>
      <w:r w:rsidRPr="00B75647">
        <w:rPr>
          <w:rFonts w:ascii="Times New Roman" w:hAnsi="Times New Roman" w:cs="Times New Roman"/>
          <w:i/>
          <w:iCs/>
          <w:noProof/>
          <w:szCs w:val="24"/>
        </w:rPr>
        <w:t>Journal of Business Market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(4), 192–213.</w:t>
      </w:r>
    </w:p>
    <w:p w14:paraId="687C0F9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Marzullo, M., Morande, S., &amp; Spena, R. (2021). </w:t>
      </w:r>
      <w:r w:rsidRPr="00B75647">
        <w:rPr>
          <w:rFonts w:ascii="Times New Roman" w:hAnsi="Times New Roman" w:cs="Times New Roman"/>
          <w:i/>
          <w:iCs/>
          <w:noProof/>
          <w:szCs w:val="24"/>
        </w:rPr>
        <w:t>How Artificial Intelligence Enhances Human Learning Abilities : Opportunities in the Fight Against COVID-19</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3962</w:t>
      </w:r>
      <w:r w:rsidRPr="00B75647">
        <w:rPr>
          <w:rFonts w:ascii="Times New Roman" w:hAnsi="Times New Roman" w:cs="Times New Roman"/>
          <w:noProof/>
          <w:szCs w:val="24"/>
        </w:rPr>
        <w:t>(February), 1–13.</w:t>
      </w:r>
    </w:p>
    <w:p w14:paraId="7A6FF41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&amp; Russo-Spena, T. (2019). </w:t>
      </w:r>
      <w:r w:rsidRPr="00B75647">
        <w:rPr>
          <w:rFonts w:ascii="Times New Roman" w:hAnsi="Times New Roman" w:cs="Times New Roman"/>
          <w:i/>
          <w:iCs/>
          <w:noProof/>
          <w:szCs w:val="24"/>
        </w:rPr>
        <w:t>Innovation in Sociomaterial Practices: The Case of IoE in The Healthcare Ecosystem</w:t>
      </w:r>
      <w:r w:rsidRPr="00B75647">
        <w:rPr>
          <w:rFonts w:ascii="Times New Roman" w:hAnsi="Times New Roman" w:cs="Times New Roman"/>
          <w:noProof/>
          <w:szCs w:val="24"/>
        </w:rPr>
        <w:t>. https://doi.org/10.1007/978-3-319-98512-1_23</w:t>
      </w:r>
    </w:p>
    <w:p w14:paraId="33F4127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Russo-Spena, T., Tregua, M., Marzullo, M., &amp; Carotenuto, A. (2020). </w:t>
      </w:r>
      <w:r w:rsidRPr="00B75647">
        <w:rPr>
          <w:rFonts w:ascii="Times New Roman" w:hAnsi="Times New Roman" w:cs="Times New Roman"/>
          <w:i/>
          <w:iCs/>
          <w:noProof/>
          <w:szCs w:val="24"/>
        </w:rPr>
        <w:t>SMART TECHNOLOGIES &amp; COVID-19 : The contribution of digital and cognitive technologies to the fight against COVID-19</w:t>
      </w:r>
      <w:r w:rsidRPr="00B75647">
        <w:rPr>
          <w:rFonts w:ascii="Times New Roman" w:hAnsi="Times New Roman" w:cs="Times New Roman"/>
          <w:noProof/>
          <w:szCs w:val="24"/>
        </w:rPr>
        <w:t>.</w:t>
      </w:r>
    </w:p>
    <w:p w14:paraId="357424B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Spena, T. R., &amp; Colurcio, M. (2010). Co-creating value innovation through resource integration. </w:t>
      </w:r>
      <w:r w:rsidRPr="00B75647">
        <w:rPr>
          <w:rFonts w:ascii="Times New Roman" w:hAnsi="Times New Roman" w:cs="Times New Roman"/>
          <w:i/>
          <w:iCs/>
          <w:noProof/>
          <w:szCs w:val="24"/>
        </w:rPr>
        <w:t>International Journal of Quality and Service Sciences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(1), 60–78. https://doi.org/10.1108/17566691011026603</w:t>
      </w:r>
    </w:p>
    <w:p w14:paraId="43B2162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Spena, T. R., Kaartemo, V., &amp; Marzullo, M. L. (2021). Smart nudging: How cognitive technologies enable choice architectures for value co-creation.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129</w:t>
      </w:r>
      <w:r w:rsidRPr="00B75647">
        <w:rPr>
          <w:rFonts w:ascii="Times New Roman" w:hAnsi="Times New Roman" w:cs="Times New Roman"/>
          <w:noProof/>
          <w:szCs w:val="24"/>
        </w:rPr>
        <w:t>, 949–960.</w:t>
      </w:r>
    </w:p>
    <w:p w14:paraId="2209293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Mele, C., Spena, T. R., &amp; Peschiera, S. (2018). Value Creation and Cognitive Technologies: Opportunities and Challenges. </w:t>
      </w:r>
      <w:r w:rsidRPr="00B75647">
        <w:rPr>
          <w:rFonts w:ascii="Times New Roman" w:hAnsi="Times New Roman" w:cs="Times New Roman"/>
          <w:i/>
          <w:iCs/>
          <w:noProof/>
          <w:szCs w:val="24"/>
        </w:rPr>
        <w:t>Journal of Creating Value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(2), 182–195. https://doi.org/10.1177/2394964318809152</w:t>
      </w:r>
    </w:p>
    <w:p w14:paraId="547FFD2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Menard, S. (2010). </w:t>
      </w:r>
      <w:r w:rsidRPr="00B75647">
        <w:rPr>
          <w:rFonts w:ascii="Times New Roman" w:hAnsi="Times New Roman" w:cs="Times New Roman"/>
          <w:i/>
          <w:iCs/>
          <w:noProof/>
          <w:szCs w:val="24"/>
        </w:rPr>
        <w:t>Logistic regression: From introductory to advanced concepts and applications</w:t>
      </w:r>
      <w:r w:rsidRPr="00B75647">
        <w:rPr>
          <w:rFonts w:ascii="Times New Roman" w:hAnsi="Times New Roman" w:cs="Times New Roman"/>
          <w:noProof/>
          <w:szCs w:val="24"/>
        </w:rPr>
        <w:t>. Sage.</w:t>
      </w:r>
    </w:p>
    <w:p w14:paraId="4D1F7B8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Mezick, E. J., Matthews, K. A., Hall, M., Kamarck, T. W., Buysse, D. J., Owens, J. F., &amp; Reis, S. E. (2009). Intra-individual variability in sleep duration and fragmentation: Associations with stress. </w:t>
      </w:r>
      <w:r w:rsidRPr="00B75647">
        <w:rPr>
          <w:rFonts w:ascii="Times New Roman" w:hAnsi="Times New Roman" w:cs="Times New Roman"/>
          <w:i/>
          <w:iCs/>
          <w:noProof/>
          <w:szCs w:val="24"/>
        </w:rPr>
        <w:t>Psychoneuroendocrinology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34</w:t>
      </w:r>
      <w:r w:rsidRPr="00B75647">
        <w:rPr>
          <w:rFonts w:ascii="Times New Roman" w:hAnsi="Times New Roman" w:cs="Times New Roman"/>
          <w:noProof/>
          <w:szCs w:val="24"/>
        </w:rPr>
        <w:t>(9), 1346–1354. https://doi.org/10.1016/j.psyneuen.2009.04.005</w:t>
      </w:r>
    </w:p>
    <w:p w14:paraId="4BD323B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Mierswa, I. (2017). </w:t>
      </w:r>
      <w:r w:rsidRPr="00B75647">
        <w:rPr>
          <w:rFonts w:ascii="Times New Roman" w:hAnsi="Times New Roman" w:cs="Times New Roman"/>
          <w:i/>
          <w:iCs/>
          <w:noProof/>
          <w:szCs w:val="24"/>
        </w:rPr>
        <w:t>How to Correctly Validate Machine Learning Models</w:t>
      </w:r>
      <w:r w:rsidRPr="00B75647">
        <w:rPr>
          <w:rFonts w:ascii="Times New Roman" w:hAnsi="Times New Roman" w:cs="Times New Roman"/>
          <w:noProof/>
          <w:szCs w:val="24"/>
        </w:rPr>
        <w:t>. 26. https://rapidminer.com/resource/correct-model-validation/</w:t>
      </w:r>
    </w:p>
    <w:p w14:paraId="7E0E015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Miller, J. (2016). The well-being and productivity link: a significant opportunity for research-into-practice. </w:t>
      </w:r>
      <w:r w:rsidRPr="00B75647">
        <w:rPr>
          <w:rFonts w:ascii="Times New Roman" w:hAnsi="Times New Roman" w:cs="Times New Roman"/>
          <w:i/>
          <w:iCs/>
          <w:noProof/>
          <w:szCs w:val="24"/>
        </w:rPr>
        <w:t>Journal of Organizational Effectiveness: People and Performance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(3), 289–311. https://doi.org/10.1108/JOEPP-07-2016-0042</w:t>
      </w:r>
    </w:p>
    <w:p w14:paraId="7A573D7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Miner, A. S., Haque, A., Fries, J. A., Fleming, S. L., Wilfley, D. E., Terence Wilson, G., Milstein, A., Jurafsky, D., Arnow, B. A., Stewart Agras, W., Fei-Fei, L., &amp; Shah, N. H. (2020). Assessing the accuracy of automatic speech recognition for psychotherapy. </w:t>
      </w:r>
      <w:r w:rsidRPr="00B75647">
        <w:rPr>
          <w:rFonts w:ascii="Times New Roman" w:hAnsi="Times New Roman" w:cs="Times New Roman"/>
          <w:i/>
          <w:iCs/>
          <w:noProof/>
          <w:szCs w:val="24"/>
        </w:rPr>
        <w:t>Npj Digital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(1). https://doi.org/10.1038/s41746-020-0285-8</w:t>
      </w:r>
    </w:p>
    <w:p w14:paraId="7FDE525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Minsky, M. (1961). Steps toward artificial intelligence. </w:t>
      </w:r>
      <w:r w:rsidRPr="00B75647">
        <w:rPr>
          <w:rFonts w:ascii="Times New Roman" w:hAnsi="Times New Roman" w:cs="Times New Roman"/>
          <w:i/>
          <w:iCs/>
          <w:noProof/>
          <w:szCs w:val="24"/>
        </w:rPr>
        <w:t>Proceedings of the IRE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49</w:t>
      </w:r>
      <w:r w:rsidRPr="00B75647">
        <w:rPr>
          <w:rFonts w:ascii="Times New Roman" w:hAnsi="Times New Roman" w:cs="Times New Roman"/>
          <w:noProof/>
          <w:szCs w:val="24"/>
        </w:rPr>
        <w:t>(1), 8–30.</w:t>
      </w:r>
    </w:p>
    <w:p w14:paraId="0F0A293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Mohajan, H. K. (2017). Two Criteria for Good Measurements in Research: Validity and Reliability. </w:t>
      </w:r>
      <w:r w:rsidRPr="00B75647">
        <w:rPr>
          <w:rFonts w:ascii="Times New Roman" w:hAnsi="Times New Roman" w:cs="Times New Roman"/>
          <w:i/>
          <w:iCs/>
          <w:noProof/>
          <w:szCs w:val="24"/>
        </w:rPr>
        <w:t>Annals of Spiru Haret University. Economic Series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(4), 59–82. https://doi.org/10.26458/1746</w:t>
      </w:r>
    </w:p>
    <w:p w14:paraId="13DC6A8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Möllenkamp, M., Zeppernick, M., &amp; Schreyögg, J. (2019). The effectiveness of nudges in improving the self-management of patients with chronic diseases: A systematic literature review. </w:t>
      </w:r>
      <w:r w:rsidRPr="00B75647">
        <w:rPr>
          <w:rFonts w:ascii="Times New Roman" w:hAnsi="Times New Roman" w:cs="Times New Roman"/>
          <w:i/>
          <w:iCs/>
          <w:noProof/>
          <w:szCs w:val="24"/>
        </w:rPr>
        <w:t>Health Policy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123</w:t>
      </w:r>
      <w:r w:rsidRPr="00B75647">
        <w:rPr>
          <w:rFonts w:ascii="Times New Roman" w:hAnsi="Times New Roman" w:cs="Times New Roman"/>
          <w:noProof/>
          <w:szCs w:val="24"/>
        </w:rPr>
        <w:t>(12), 1199–1209. https://doi.org/10.1016/j.healthpol.2019.09.008</w:t>
      </w:r>
    </w:p>
    <w:p w14:paraId="09EF18A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Molnar, C., König, G., Bischl, B., &amp; Casalicchio, G. (2020). </w:t>
      </w:r>
      <w:r w:rsidRPr="00B75647">
        <w:rPr>
          <w:rFonts w:ascii="Times New Roman" w:hAnsi="Times New Roman" w:cs="Times New Roman"/>
          <w:i/>
          <w:iCs/>
          <w:noProof/>
          <w:szCs w:val="24"/>
        </w:rPr>
        <w:t>Model-agnostic Feature Importance and Effects with Dependent Features -- A Conditional Subgroup Approach</w:t>
      </w:r>
      <w:r w:rsidRPr="00B75647">
        <w:rPr>
          <w:rFonts w:ascii="Times New Roman" w:hAnsi="Times New Roman" w:cs="Times New Roman"/>
          <w:noProof/>
          <w:szCs w:val="24"/>
        </w:rPr>
        <w:t>. http://arxiv.org/abs/2006.04628</w:t>
      </w:r>
    </w:p>
    <w:p w14:paraId="3490A7B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Morande, S., &amp; Pietronudo, M. C. (2020). Pervasive Health Systems: Convergence through Artificial Intelligence and Blockchain Technologies. </w:t>
      </w:r>
      <w:r w:rsidRPr="00B75647">
        <w:rPr>
          <w:rFonts w:ascii="Times New Roman" w:hAnsi="Times New Roman" w:cs="Times New Roman"/>
          <w:i/>
          <w:iCs/>
          <w:noProof/>
          <w:szCs w:val="24"/>
        </w:rPr>
        <w:t>Journal of Commerce and Management Thought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(2), 155. https://doi.org/10.5958/0976-478x.2020.00010.5</w:t>
      </w:r>
    </w:p>
    <w:p w14:paraId="2C7DE48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Morande, S., &amp; Tewari, V. (2020). Technology Management for Accelerated Recovery during COVID-19: A Data-Driven Machine Learning Approach. </w:t>
      </w:r>
      <w:r w:rsidRPr="00B75647">
        <w:rPr>
          <w:rFonts w:ascii="Times New Roman" w:hAnsi="Times New Roman" w:cs="Times New Roman"/>
          <w:i/>
          <w:iCs/>
          <w:noProof/>
          <w:szCs w:val="24"/>
        </w:rPr>
        <w:t>SEISENSE Journal of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(5 SE-), 33–53. https://doi.org/10.33215/sjom.v3i5.445</w:t>
      </w:r>
    </w:p>
    <w:p w14:paraId="74B5D85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Moraru, A., Costin, D., Moraru, R., &amp; Branisteanu, D. (2020). Artificial intelligence and deep learning in ophthalmology - present and future (Review). </w:t>
      </w:r>
      <w:r w:rsidRPr="00B75647">
        <w:rPr>
          <w:rFonts w:ascii="Times New Roman" w:hAnsi="Times New Roman" w:cs="Times New Roman"/>
          <w:i/>
          <w:iCs/>
          <w:noProof/>
          <w:szCs w:val="24"/>
        </w:rPr>
        <w:t>Experimental and Therapeutic Medicine</w:t>
      </w:r>
      <w:r w:rsidRPr="00B75647">
        <w:rPr>
          <w:rFonts w:ascii="Times New Roman" w:hAnsi="Times New Roman" w:cs="Times New Roman"/>
          <w:noProof/>
          <w:szCs w:val="24"/>
        </w:rPr>
        <w:t>, 3469–3473. https://doi.org/10.3892/etm.2020.9118</w:t>
      </w:r>
    </w:p>
    <w:p w14:paraId="7F39DA7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Moreno, C., Wykes, T., Galderisi, S., Nordentoft, M., Crossley, N., Jones, N., Cannon, M., Correll, C. U., Byrne, L., Carr, S., Chen, E. Y. H., Gorwood, P., Johnson, S., Kärkkäinen, H., Krystal, J. H., Lee, J., Lieberman, J., López-Jaramillo, C., Männikkö, M., … Arango, C. (2020). How mental health care should change as a consequence of the COVID-19 pandemic. </w:t>
      </w:r>
      <w:r w:rsidRPr="00B75647">
        <w:rPr>
          <w:rFonts w:ascii="Times New Roman" w:hAnsi="Times New Roman" w:cs="Times New Roman"/>
          <w:i/>
          <w:iCs/>
          <w:noProof/>
          <w:szCs w:val="24"/>
        </w:rPr>
        <w:t>The Lancet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w:t>
      </w:r>
      <w:r w:rsidRPr="00B75647">
        <w:rPr>
          <w:rFonts w:ascii="Times New Roman" w:hAnsi="Times New Roman" w:cs="Times New Roman"/>
          <w:noProof/>
          <w:szCs w:val="24"/>
        </w:rPr>
        <w:t>(9), 813–824. https://doi.org/10.1016/S2215-0366(20)30307-2</w:t>
      </w:r>
    </w:p>
    <w:p w14:paraId="697E3B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Morse, J. M. (2010). Simultaneous and sequential qualitative mixed method designs. </w:t>
      </w:r>
      <w:r w:rsidRPr="00B75647">
        <w:rPr>
          <w:rFonts w:ascii="Times New Roman" w:hAnsi="Times New Roman" w:cs="Times New Roman"/>
          <w:i/>
          <w:iCs/>
          <w:noProof/>
          <w:szCs w:val="24"/>
        </w:rPr>
        <w:t>Qualitative Inquiry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(6), 483–491. https://doi.org/10.1177/1077800410364741</w:t>
      </w:r>
    </w:p>
    <w:p w14:paraId="2AAB5FE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Musich, S., Wang, S., Hawkins, K., &amp; Klemes, A. (2016). The Impact of Personalized Preventive Care on Health Care Quality, Utilization, and Expenditures. </w:t>
      </w:r>
      <w:r w:rsidRPr="00B75647">
        <w:rPr>
          <w:rFonts w:ascii="Times New Roman" w:hAnsi="Times New Roman" w:cs="Times New Roman"/>
          <w:i/>
          <w:iCs/>
          <w:noProof/>
          <w:szCs w:val="24"/>
        </w:rPr>
        <w:t>Population Health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w:t>
      </w:r>
      <w:r w:rsidRPr="00B75647">
        <w:rPr>
          <w:rFonts w:ascii="Times New Roman" w:hAnsi="Times New Roman" w:cs="Times New Roman"/>
          <w:noProof/>
          <w:szCs w:val="24"/>
        </w:rPr>
        <w:t>(6), 389–397. https://doi.org/10.1089/pop.2015.0171</w:t>
      </w:r>
    </w:p>
    <w:p w14:paraId="0B89D02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Myers-Scotton, C. (1997). </w:t>
      </w:r>
      <w:r w:rsidRPr="00B75647">
        <w:rPr>
          <w:rFonts w:ascii="Times New Roman" w:hAnsi="Times New Roman" w:cs="Times New Roman"/>
          <w:i/>
          <w:iCs/>
          <w:noProof/>
          <w:szCs w:val="24"/>
        </w:rPr>
        <w:t>Duelling languages: Grammatical structure in codeswitching</w:t>
      </w:r>
      <w:r w:rsidRPr="00B75647">
        <w:rPr>
          <w:rFonts w:ascii="Times New Roman" w:hAnsi="Times New Roman" w:cs="Times New Roman"/>
          <w:noProof/>
          <w:szCs w:val="24"/>
        </w:rPr>
        <w:t>. Oxford University Press.</w:t>
      </w:r>
    </w:p>
    <w:p w14:paraId="4103D98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Najafi Kalyani, M., Jamshidi, N., Salami, J., &amp; Pourjam, E. (2017). Investigation of the Relationship between Psychological Variables and Sleep Quality in Students of Medical Sciences. </w:t>
      </w:r>
      <w:r w:rsidRPr="00B75647">
        <w:rPr>
          <w:rFonts w:ascii="Times New Roman" w:hAnsi="Times New Roman" w:cs="Times New Roman"/>
          <w:i/>
          <w:iCs/>
          <w:noProof/>
          <w:szCs w:val="24"/>
        </w:rPr>
        <w:t>Depression Research and Treatment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2017</w:t>
      </w:r>
      <w:r w:rsidRPr="00B75647">
        <w:rPr>
          <w:rFonts w:ascii="Times New Roman" w:hAnsi="Times New Roman" w:cs="Times New Roman"/>
          <w:noProof/>
          <w:szCs w:val="24"/>
        </w:rPr>
        <w:t>. https://doi.org/10.1155/2017/7143547</w:t>
      </w:r>
    </w:p>
    <w:p w14:paraId="4BBC52E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Ng, I. C. L., &amp; Wakenshaw, S. Y. L. (2017). The Internet-of-Things: Review and research directions. </w:t>
      </w:r>
      <w:r w:rsidRPr="00B75647">
        <w:rPr>
          <w:rFonts w:ascii="Times New Roman" w:hAnsi="Times New Roman" w:cs="Times New Roman"/>
          <w:i/>
          <w:iCs/>
          <w:noProof/>
          <w:szCs w:val="24"/>
        </w:rPr>
        <w:t>International Journal of Research in Marketing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34</w:t>
      </w:r>
      <w:r w:rsidRPr="00B75647">
        <w:rPr>
          <w:rFonts w:ascii="Times New Roman" w:hAnsi="Times New Roman" w:cs="Times New Roman"/>
          <w:noProof/>
          <w:szCs w:val="24"/>
        </w:rPr>
        <w:t>(1), 3–21.</w:t>
      </w:r>
    </w:p>
    <w:p w14:paraId="12C5395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Nijholt, A. (2019). </w:t>
      </w:r>
      <w:r w:rsidRPr="00B75647">
        <w:rPr>
          <w:rFonts w:ascii="Times New Roman" w:hAnsi="Times New Roman" w:cs="Times New Roman"/>
          <w:i/>
          <w:iCs/>
          <w:noProof/>
          <w:szCs w:val="24"/>
        </w:rPr>
        <w:t>Brain Art: Brain-computer Interfaces for Artistic Expression</w:t>
      </w:r>
      <w:r w:rsidRPr="00B75647">
        <w:rPr>
          <w:rFonts w:ascii="Times New Roman" w:hAnsi="Times New Roman" w:cs="Times New Roman"/>
          <w:noProof/>
          <w:szCs w:val="24"/>
        </w:rPr>
        <w:t>. Springer.</w:t>
      </w:r>
    </w:p>
    <w:p w14:paraId="33368FA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Nishi, M., Yamano, M., &amp; Matoba, S. (2021). Prediction of well-being and insight into work-life integration among physicians using machine learning approach.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(7 July), 1–11. https://doi.org/10.1371/journal.pone.0254795</w:t>
      </w:r>
    </w:p>
    <w:p w14:paraId="4F31147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Nollet, M., Wisden, W., &amp; Franks, N. P. (2020). Sleep deprivation and stress: A reciprocal relationship. </w:t>
      </w:r>
      <w:r w:rsidRPr="00B75647">
        <w:rPr>
          <w:rFonts w:ascii="Times New Roman" w:hAnsi="Times New Roman" w:cs="Times New Roman"/>
          <w:i/>
          <w:iCs/>
          <w:noProof/>
          <w:szCs w:val="24"/>
        </w:rPr>
        <w:t>Interface Focus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(3). https://doi.org/10.1098/rsfs.2019.0092</w:t>
      </w:r>
    </w:p>
    <w:p w14:paraId="28E9FDA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Normann, R. (2001). </w:t>
      </w:r>
      <w:r w:rsidRPr="00B75647">
        <w:rPr>
          <w:rFonts w:ascii="Times New Roman" w:hAnsi="Times New Roman" w:cs="Times New Roman"/>
          <w:i/>
          <w:iCs/>
          <w:noProof/>
          <w:szCs w:val="24"/>
        </w:rPr>
        <w:t>Reframing business: When the map changes the landscape</w:t>
      </w:r>
      <w:r w:rsidRPr="00B75647">
        <w:rPr>
          <w:rFonts w:ascii="Times New Roman" w:hAnsi="Times New Roman" w:cs="Times New Roman"/>
          <w:noProof/>
          <w:szCs w:val="24"/>
        </w:rPr>
        <w:t>. John Wiley &amp; Sons.</w:t>
      </w:r>
    </w:p>
    <w:p w14:paraId="33B5D2C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O’Leary, A. (1985). Self-efficacy and health. </w:t>
      </w:r>
      <w:r w:rsidRPr="00B75647">
        <w:rPr>
          <w:rFonts w:ascii="Times New Roman" w:hAnsi="Times New Roman" w:cs="Times New Roman"/>
          <w:i/>
          <w:iCs/>
          <w:noProof/>
          <w:szCs w:val="24"/>
        </w:rPr>
        <w:t>Behaviour Research and Therapy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23</w:t>
      </w:r>
      <w:r w:rsidRPr="00B75647">
        <w:rPr>
          <w:rFonts w:ascii="Times New Roman" w:hAnsi="Times New Roman" w:cs="Times New Roman"/>
          <w:noProof/>
          <w:szCs w:val="24"/>
        </w:rPr>
        <w:t>(4), 437–451.</w:t>
      </w:r>
    </w:p>
    <w:p w14:paraId="6163081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Ohrnberger, J., Fichera, E., &amp; Sutton, M. (2017a). The relationship between physical and mental health: A mediation analysis. </w:t>
      </w:r>
      <w:r w:rsidRPr="00B75647">
        <w:rPr>
          <w:rFonts w:ascii="Times New Roman" w:hAnsi="Times New Roman" w:cs="Times New Roman"/>
          <w:i/>
          <w:iCs/>
          <w:noProof/>
          <w:szCs w:val="24"/>
        </w:rPr>
        <w:t>Social Science and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195</w:t>
      </w:r>
      <w:r w:rsidRPr="00B75647">
        <w:rPr>
          <w:rFonts w:ascii="Times New Roman" w:hAnsi="Times New Roman" w:cs="Times New Roman"/>
          <w:noProof/>
          <w:szCs w:val="24"/>
        </w:rPr>
        <w:t>(February), 42–49. https://doi.org/10.1016/j.socscimed.2017.11.008</w:t>
      </w:r>
    </w:p>
    <w:p w14:paraId="2F3A02E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Ohrnberger, J., Fichera, E., &amp; Sutton, M. (2017b). The relationship between physical and mental health: A mediation analysis. </w:t>
      </w:r>
      <w:r w:rsidRPr="00B75647">
        <w:rPr>
          <w:rFonts w:ascii="Times New Roman" w:hAnsi="Times New Roman" w:cs="Times New Roman"/>
          <w:i/>
          <w:iCs/>
          <w:noProof/>
          <w:szCs w:val="24"/>
        </w:rPr>
        <w:t>Social Science and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195</w:t>
      </w:r>
      <w:r w:rsidRPr="00B75647">
        <w:rPr>
          <w:rFonts w:ascii="Times New Roman" w:hAnsi="Times New Roman" w:cs="Times New Roman"/>
          <w:noProof/>
          <w:szCs w:val="24"/>
        </w:rPr>
        <w:t>(February), 42–49. https://doi.org/10.1016/j.socscimed.2017.11.008</w:t>
      </w:r>
    </w:p>
    <w:p w14:paraId="5F8DC8E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Ohrnberger, J., Fichera, E., &amp; Sutton, M. (2017c). The relationship between physical and mental health: A mediation analysis. </w:t>
      </w:r>
      <w:r w:rsidRPr="00B75647">
        <w:rPr>
          <w:rFonts w:ascii="Times New Roman" w:hAnsi="Times New Roman" w:cs="Times New Roman"/>
          <w:i/>
          <w:iCs/>
          <w:noProof/>
          <w:szCs w:val="24"/>
        </w:rPr>
        <w:t>Social Science and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195</w:t>
      </w:r>
      <w:r w:rsidRPr="00B75647">
        <w:rPr>
          <w:rFonts w:ascii="Times New Roman" w:hAnsi="Times New Roman" w:cs="Times New Roman"/>
          <w:noProof/>
          <w:szCs w:val="24"/>
        </w:rPr>
        <w:t>(November), 42–49. https://doi.org/10.1016/j.socscimed.2017.11.008</w:t>
      </w:r>
    </w:p>
    <w:p w14:paraId="5D62461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Okun, S., &amp; Wicks, P. (2018). DigitalMe: A journey towards personalized health and thriving.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(1), 1–7. https://doi.org/10.1186/s12938-018-0553-x</w:t>
      </w:r>
    </w:p>
    <w:p w14:paraId="1E272B2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Omar, M. K., Aluwi, A. H., Fauzi, M. W. M., &amp; Hairpuddin, N. F. (2020). Work stress, workload, work-life balance and intention to leave among employees of an insurance company in Malaysia. </w:t>
      </w:r>
      <w:r w:rsidRPr="00B75647">
        <w:rPr>
          <w:rFonts w:ascii="Times New Roman" w:hAnsi="Times New Roman" w:cs="Times New Roman"/>
          <w:i/>
          <w:iCs/>
          <w:noProof/>
          <w:szCs w:val="24"/>
        </w:rPr>
        <w:t>International Journal of Business, Economics and Law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(2), 70–78.</w:t>
      </w:r>
    </w:p>
    <w:p w14:paraId="5FAF78B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Ooms, R., &amp; Spruit, M. (2020). Self-service data science in healthcare with automated machine learning. </w:t>
      </w:r>
      <w:r w:rsidRPr="00B75647">
        <w:rPr>
          <w:rFonts w:ascii="Times New Roman" w:hAnsi="Times New Roman" w:cs="Times New Roman"/>
          <w:i/>
          <w:iCs/>
          <w:noProof/>
          <w:szCs w:val="24"/>
        </w:rPr>
        <w:t>Applied Sciences (Switzerland)</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(9), 1–3. https://doi.org/10.3390/app10092992</w:t>
      </w:r>
    </w:p>
    <w:p w14:paraId="69B706D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Ornek, O. K., &amp; Esin, M. N. (2020). Effects of a work-related stress model based mental health promotion program on job stress, stress reactions and coping profiles of women workers: a control groups study. </w:t>
      </w:r>
      <w:r w:rsidRPr="00B75647">
        <w:rPr>
          <w:rFonts w:ascii="Times New Roman" w:hAnsi="Times New Roman" w:cs="Times New Roman"/>
          <w:i/>
          <w:iCs/>
          <w:noProof/>
          <w:szCs w:val="24"/>
        </w:rPr>
        <w:t>BMC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(1), 1–14. https://doi.org/10.1186/s12889-020-09769-0</w:t>
      </w:r>
    </w:p>
    <w:p w14:paraId="2D8EDB7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Orrù, G., Monaro, M., Conversano, C., Gemignani, A., &amp; Sartori, G. (2020). Machine learning in psychometrics and psychological research.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(January), 1–10. https://doi.org/10.3389/fpsyg.2019.02970</w:t>
      </w:r>
    </w:p>
    <w:p w14:paraId="5C876C1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Osborn, D. P. J. (2001). The poor physical health of people with mental illness. </w:t>
      </w:r>
      <w:r w:rsidRPr="00B75647">
        <w:rPr>
          <w:rFonts w:ascii="Times New Roman" w:hAnsi="Times New Roman" w:cs="Times New Roman"/>
          <w:i/>
          <w:iCs/>
          <w:noProof/>
          <w:szCs w:val="24"/>
        </w:rPr>
        <w:t>Western Journal of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175</w:t>
      </w:r>
      <w:r w:rsidRPr="00B75647">
        <w:rPr>
          <w:rFonts w:ascii="Times New Roman" w:hAnsi="Times New Roman" w:cs="Times New Roman"/>
          <w:noProof/>
          <w:szCs w:val="24"/>
        </w:rPr>
        <w:t>(5), 329–332. https://doi.org/10.1136/ewjm.175.5.329</w:t>
      </w:r>
    </w:p>
    <w:p w14:paraId="524B20E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Osborne, J. W., &amp; Waters, E. (2002). Four assumptions of multiple regression that researchers should always test. </w:t>
      </w:r>
      <w:r w:rsidRPr="00B75647">
        <w:rPr>
          <w:rFonts w:ascii="Times New Roman" w:hAnsi="Times New Roman" w:cs="Times New Roman"/>
          <w:i/>
          <w:iCs/>
          <w:noProof/>
          <w:szCs w:val="24"/>
        </w:rPr>
        <w:t>Practical Assessment, Research, and Evaluation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(1), 2.</w:t>
      </w:r>
    </w:p>
    <w:p w14:paraId="2739F04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Osei-Frimpong, K., Wilson, A., &amp; Lemke, F. (2018). Patient co-creation activities in healthcare service delivery at the micro level: The influence of online access to healthcare information. </w:t>
      </w:r>
      <w:r w:rsidRPr="00B75647">
        <w:rPr>
          <w:rFonts w:ascii="Times New Roman" w:hAnsi="Times New Roman" w:cs="Times New Roman"/>
          <w:i/>
          <w:iCs/>
          <w:noProof/>
          <w:szCs w:val="24"/>
        </w:rPr>
        <w:t>Technological Forecasting and Social Change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126</w:t>
      </w:r>
      <w:r w:rsidRPr="00B75647">
        <w:rPr>
          <w:rFonts w:ascii="Times New Roman" w:hAnsi="Times New Roman" w:cs="Times New Roman"/>
          <w:noProof/>
          <w:szCs w:val="24"/>
        </w:rPr>
        <w:t>, 14–27.</w:t>
      </w:r>
    </w:p>
    <w:p w14:paraId="74C3634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Ostrom, A. L., Field, J. M., Fotheringham, D., Subramony, M., Gustafsson, A., Lemon, K. N., Huang, M. H., &amp; McColl-Kennedy, J. R. (2021). Service Research Priorities: Managing and Delivering Service in Turbulent Times.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24</w:t>
      </w:r>
      <w:r w:rsidRPr="00B75647">
        <w:rPr>
          <w:rFonts w:ascii="Times New Roman" w:hAnsi="Times New Roman" w:cs="Times New Roman"/>
          <w:noProof/>
          <w:szCs w:val="24"/>
        </w:rPr>
        <w:t>(3), 329–353. https://doi.org/10.1177/10946705211021915</w:t>
      </w:r>
    </w:p>
    <w:p w14:paraId="06C571D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Ostrom, A. L., Parasuraman, A., Bowen, D. E., Patrício, L., &amp; Voss, C. A. (2015). Service Research Priorities in a Rapidly Changing Context.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(2), 127–159. https://doi.org/10.1177/1094670515576315</w:t>
      </w:r>
    </w:p>
    <w:p w14:paraId="5FAC27A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Oswald, A. J., Proto, E., &amp; Sgroi, D. (2015). Happiness and productivity. </w:t>
      </w:r>
      <w:r w:rsidRPr="00B75647">
        <w:rPr>
          <w:rFonts w:ascii="Times New Roman" w:hAnsi="Times New Roman" w:cs="Times New Roman"/>
          <w:i/>
          <w:iCs/>
          <w:noProof/>
          <w:szCs w:val="24"/>
        </w:rPr>
        <w:t>Journal of Labor Economics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33</w:t>
      </w:r>
      <w:r w:rsidRPr="00B75647">
        <w:rPr>
          <w:rFonts w:ascii="Times New Roman" w:hAnsi="Times New Roman" w:cs="Times New Roman"/>
          <w:noProof/>
          <w:szCs w:val="24"/>
        </w:rPr>
        <w:t>(4), 789–822.</w:t>
      </w:r>
    </w:p>
    <w:p w14:paraId="6A7B265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Ozella, L., Gauvin, L., Carenzo, L., Quaggiotto, M., Ingrassia, P. L., Tizzoni, M., Panisson, A., Colombo, D., Sapienza, A., Kalimeri, K., Corte, F. Della, &amp; Cattuto, C. (2019). Wearable proximity sensors for monitoring a mass casualty incident exercise: Feasibility study.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(4), 1–13. https://doi.org/10.2196/12251</w:t>
      </w:r>
    </w:p>
    <w:p w14:paraId="117B83B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Paglialonga, A., Cleveland Nielsen, A., Ingo, E., Barr, C., &amp; Laplante-Lévesque, A. (2018). eHealth and the hearing aid adult patient journey: A state-of-the-art review.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(1), 1–26. https://doi.org/10.1186/s12938-018-0531-3</w:t>
      </w:r>
    </w:p>
    <w:p w14:paraId="4A78093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Palmer, K., Monaco, A., Kivipelto, M., Onder, G., Maggi, S., Michel, J. P., Prieto, R., Sykara, G., &amp; Donde, S. (2020). The potential long-term impact of the COVID-19 outbreak on patients with non-communicable diseases in Europe: consequences for healthy ageing. </w:t>
      </w:r>
      <w:r w:rsidRPr="00B75647">
        <w:rPr>
          <w:rFonts w:ascii="Times New Roman" w:hAnsi="Times New Roman" w:cs="Times New Roman"/>
          <w:i/>
          <w:iCs/>
          <w:noProof/>
          <w:szCs w:val="24"/>
        </w:rPr>
        <w:t>Aging Clinical and Experimental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(7), 1189–1194. https://doi.org/10.1007/s40520-020-01601-4</w:t>
      </w:r>
    </w:p>
    <w:p w14:paraId="7A05B29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Pantzar, M., &amp; Ruckenstein, M. (2015). The heart of everyday analytics: emotional, material and practical extensions in self-tracking market. </w:t>
      </w:r>
      <w:r w:rsidRPr="00B75647">
        <w:rPr>
          <w:rFonts w:ascii="Times New Roman" w:hAnsi="Times New Roman" w:cs="Times New Roman"/>
          <w:i/>
          <w:iCs/>
          <w:noProof/>
          <w:szCs w:val="24"/>
        </w:rPr>
        <w:t>Consumption Markets &amp; Culture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92–109.</w:t>
      </w:r>
    </w:p>
    <w:p w14:paraId="47A0DBC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Park, S., Kook, H., Seok, H., Lee, J. H., Lim, D., Cho, D.-H., &amp; Oh, S.-K. (2020). The negative impact of long working hours on mental health in young Korean workers.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15</w:t>
      </w:r>
      <w:r w:rsidRPr="00B75647">
        <w:rPr>
          <w:rFonts w:ascii="Times New Roman" w:hAnsi="Times New Roman" w:cs="Times New Roman"/>
          <w:noProof/>
          <w:szCs w:val="24"/>
        </w:rPr>
        <w:t>(8), e0236931. https://doi.org/10.1371/journal.pone.0236931</w:t>
      </w:r>
    </w:p>
    <w:p w14:paraId="011CB05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Patton, M. Q. (2002). Two decades of developments in qualitative inquiry: A personal, experiential perspective. </w:t>
      </w:r>
      <w:r w:rsidRPr="00B75647">
        <w:rPr>
          <w:rFonts w:ascii="Times New Roman" w:hAnsi="Times New Roman" w:cs="Times New Roman"/>
          <w:i/>
          <w:iCs/>
          <w:noProof/>
          <w:szCs w:val="24"/>
        </w:rPr>
        <w:t>Qualitative Social Work</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(3), 261–283.</w:t>
      </w:r>
    </w:p>
    <w:p w14:paraId="44A50EC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Payne, A., Storbacka, K., &amp; Frow, P. (2008). Managing the co-creation of value.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36</w:t>
      </w:r>
      <w:r w:rsidRPr="00B75647">
        <w:rPr>
          <w:rFonts w:ascii="Times New Roman" w:hAnsi="Times New Roman" w:cs="Times New Roman"/>
          <w:noProof/>
          <w:szCs w:val="24"/>
        </w:rPr>
        <w:t>(1), 83–96.</w:t>
      </w:r>
    </w:p>
    <w:p w14:paraId="0B34019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Peccei, R., &amp; Van De Voorde, K. (2019). Human resource management–well-being–performance research revisited: Past, present, and future. </w:t>
      </w:r>
      <w:r w:rsidRPr="00B75647">
        <w:rPr>
          <w:rFonts w:ascii="Times New Roman" w:hAnsi="Times New Roman" w:cs="Times New Roman"/>
          <w:i/>
          <w:iCs/>
          <w:noProof/>
          <w:szCs w:val="24"/>
        </w:rPr>
        <w:t>Human Resource Management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29</w:t>
      </w:r>
      <w:r w:rsidRPr="00B75647">
        <w:rPr>
          <w:rFonts w:ascii="Times New Roman" w:hAnsi="Times New Roman" w:cs="Times New Roman"/>
          <w:noProof/>
          <w:szCs w:val="24"/>
        </w:rPr>
        <w:t>(4), 539–563. https://doi.org/10.1111/1748-8583.12254</w:t>
      </w:r>
    </w:p>
    <w:p w14:paraId="652CFBD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Pedrosa, A. L., Bitencourt, L., Fróes, A. C. F., Cazumbá, M. L. B., Campos, R. G. B., de Brito, S. B. C. S., &amp; Simões e Silva, A. C. (2020). Emotional, Behavioral, and Psychological Impact of the COVID-19 Pandemic.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(October), 1–18. https://doi.org/10.3389/fpsyg.2020.566212</w:t>
      </w:r>
    </w:p>
    <w:p w14:paraId="09C6D4C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Peine, A., &amp; Moors, E. H. M. (2015). Valuing health technology–habilitating and prosthetic strategies in personal health systems. </w:t>
      </w:r>
      <w:r w:rsidRPr="00B75647">
        <w:rPr>
          <w:rFonts w:ascii="Times New Roman" w:hAnsi="Times New Roman" w:cs="Times New Roman"/>
          <w:i/>
          <w:iCs/>
          <w:noProof/>
          <w:szCs w:val="24"/>
        </w:rPr>
        <w:t>Technological Forecasting and Social Change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93</w:t>
      </w:r>
      <w:r w:rsidRPr="00B75647">
        <w:rPr>
          <w:rFonts w:ascii="Times New Roman" w:hAnsi="Times New Roman" w:cs="Times New Roman"/>
          <w:noProof/>
          <w:szCs w:val="24"/>
        </w:rPr>
        <w:t>, 68–81.</w:t>
      </w:r>
    </w:p>
    <w:p w14:paraId="2BDDB66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Perry, C. (1998). Processes of a case study methodology for postgraduate research in marketing. </w:t>
      </w:r>
      <w:r w:rsidRPr="00B75647">
        <w:rPr>
          <w:rFonts w:ascii="Times New Roman" w:hAnsi="Times New Roman" w:cs="Times New Roman"/>
          <w:i/>
          <w:iCs/>
          <w:noProof/>
          <w:szCs w:val="24"/>
        </w:rPr>
        <w:t>European Journal of Marketing</w:t>
      </w:r>
      <w:r w:rsidRPr="00B75647">
        <w:rPr>
          <w:rFonts w:ascii="Times New Roman" w:hAnsi="Times New Roman" w:cs="Times New Roman"/>
          <w:noProof/>
          <w:szCs w:val="24"/>
        </w:rPr>
        <w:t>.</w:t>
      </w:r>
    </w:p>
    <w:p w14:paraId="73AC4F2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Pervan, G., &amp; Maimbo, M. (2005). Designing a case study protocol for application in IS research. </w:t>
      </w:r>
      <w:r w:rsidRPr="00B75647">
        <w:rPr>
          <w:rFonts w:ascii="Times New Roman" w:hAnsi="Times New Roman" w:cs="Times New Roman"/>
          <w:i/>
          <w:iCs/>
          <w:noProof/>
          <w:szCs w:val="24"/>
        </w:rPr>
        <w:t>Proceedings of the Ninth Pacific Asia Conference on Information Systems</w:t>
      </w:r>
      <w:r w:rsidRPr="00B75647">
        <w:rPr>
          <w:rFonts w:ascii="Times New Roman" w:hAnsi="Times New Roman" w:cs="Times New Roman"/>
          <w:noProof/>
          <w:szCs w:val="24"/>
        </w:rPr>
        <w:t>, 1281–1292.</w:t>
      </w:r>
    </w:p>
    <w:p w14:paraId="3465B06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Pituch, K. A., &amp; Stevens, J. P. (2015). </w:t>
      </w:r>
      <w:r w:rsidRPr="00B75647">
        <w:rPr>
          <w:rFonts w:ascii="Times New Roman" w:hAnsi="Times New Roman" w:cs="Times New Roman"/>
          <w:i/>
          <w:iCs/>
          <w:noProof/>
          <w:szCs w:val="24"/>
        </w:rPr>
        <w:t>Applied multivariate statistics for the social sciences: Analyses with SAS and IBM’s SPSS</w:t>
      </w:r>
      <w:r w:rsidRPr="00B75647">
        <w:rPr>
          <w:rFonts w:ascii="Times New Roman" w:hAnsi="Times New Roman" w:cs="Times New Roman"/>
          <w:noProof/>
          <w:szCs w:val="24"/>
        </w:rPr>
        <w:t>. Routledge.</w:t>
      </w:r>
    </w:p>
    <w:p w14:paraId="3C2C8D5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Polu, S. K. (2019). IoMT Based Smart Health Care Monitoring System. </w:t>
      </w:r>
      <w:r w:rsidRPr="00B75647">
        <w:rPr>
          <w:rFonts w:ascii="Times New Roman" w:hAnsi="Times New Roman" w:cs="Times New Roman"/>
          <w:i/>
          <w:iCs/>
          <w:noProof/>
          <w:szCs w:val="24"/>
        </w:rPr>
        <w:t>CEUR Workshop Proceedings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2544</w:t>
      </w:r>
      <w:r w:rsidRPr="00B75647">
        <w:rPr>
          <w:rFonts w:ascii="Times New Roman" w:hAnsi="Times New Roman" w:cs="Times New Roman"/>
          <w:noProof/>
          <w:szCs w:val="24"/>
        </w:rPr>
        <w:t>(11), 58–64.</w:t>
      </w:r>
    </w:p>
    <w:p w14:paraId="1438535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Ponelis, S. (2014). Information as economic good: its origins, characteristics, pricing, and associated legal and ethical issues. In </w:t>
      </w:r>
      <w:r w:rsidRPr="00B75647">
        <w:rPr>
          <w:rFonts w:ascii="Times New Roman" w:hAnsi="Times New Roman" w:cs="Times New Roman"/>
          <w:i/>
          <w:iCs/>
          <w:noProof/>
          <w:szCs w:val="24"/>
        </w:rPr>
        <w:t>Approaches and processes for managing the economics of information systems</w:t>
      </w:r>
      <w:r w:rsidRPr="00B75647">
        <w:rPr>
          <w:rFonts w:ascii="Times New Roman" w:hAnsi="Times New Roman" w:cs="Times New Roman"/>
          <w:noProof/>
          <w:szCs w:val="24"/>
        </w:rPr>
        <w:t xml:space="preserve"> (pp. 1–13). IGI Global.</w:t>
      </w:r>
    </w:p>
    <w:p w14:paraId="4FE15A8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Porter, M. E., &amp; Heppelmann, J. E. (2014). How smart, connected products are transforming competition. </w:t>
      </w:r>
      <w:r w:rsidRPr="00B75647">
        <w:rPr>
          <w:rFonts w:ascii="Times New Roman" w:hAnsi="Times New Roman" w:cs="Times New Roman"/>
          <w:i/>
          <w:iCs/>
          <w:noProof/>
          <w:szCs w:val="24"/>
        </w:rPr>
        <w:t>Harvard Business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92</w:t>
      </w:r>
      <w:r w:rsidRPr="00B75647">
        <w:rPr>
          <w:rFonts w:ascii="Times New Roman" w:hAnsi="Times New Roman" w:cs="Times New Roman"/>
          <w:noProof/>
          <w:szCs w:val="24"/>
        </w:rPr>
        <w:t>(11), 64–88.</w:t>
      </w:r>
    </w:p>
    <w:p w14:paraId="135A38B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Porter, M. E., Pabo, E. A., &amp; Lee, T. H. (2013). Redesigning primary care: a strategic vision to improve value by organizing around patients’ needs. </w:t>
      </w:r>
      <w:r w:rsidRPr="00B75647">
        <w:rPr>
          <w:rFonts w:ascii="Times New Roman" w:hAnsi="Times New Roman" w:cs="Times New Roman"/>
          <w:i/>
          <w:iCs/>
          <w:noProof/>
          <w:szCs w:val="24"/>
        </w:rPr>
        <w:t>Health Affairs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(3), 516–525.</w:t>
      </w:r>
    </w:p>
    <w:p w14:paraId="073FB31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Prahalad, C. K., &amp; Ramaswamy, V. (2004). Co-creation experiences: The next practice in value creation. </w:t>
      </w:r>
      <w:r w:rsidRPr="00B75647">
        <w:rPr>
          <w:rFonts w:ascii="Times New Roman" w:hAnsi="Times New Roman" w:cs="Times New Roman"/>
          <w:i/>
          <w:iCs/>
          <w:noProof/>
          <w:szCs w:val="24"/>
        </w:rPr>
        <w:t>Journal of Interactive Marketing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(3), 5–14. https://doi.org/10.1002/dir.20015</w:t>
      </w:r>
    </w:p>
    <w:p w14:paraId="31C6E3B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Prainsack, B. (2020). The value of healthcare data: to nudge, or not? </w:t>
      </w:r>
      <w:r w:rsidRPr="00B75647">
        <w:rPr>
          <w:rFonts w:ascii="Times New Roman" w:hAnsi="Times New Roman" w:cs="Times New Roman"/>
          <w:i/>
          <w:iCs/>
          <w:noProof/>
          <w:szCs w:val="24"/>
        </w:rPr>
        <w:t>Policy Studies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41</w:t>
      </w:r>
      <w:r w:rsidRPr="00B75647">
        <w:rPr>
          <w:rFonts w:ascii="Times New Roman" w:hAnsi="Times New Roman" w:cs="Times New Roman"/>
          <w:noProof/>
          <w:szCs w:val="24"/>
        </w:rPr>
        <w:t>(5), 547–562. https://doi.org/10.1080/01442872.2020.1723517</w:t>
      </w:r>
    </w:p>
    <w:p w14:paraId="361B5D5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Pravettoni, G. (2020). P5 eHealth: An Agenda for the Health Technologies of the Future. In </w:t>
      </w:r>
      <w:r w:rsidRPr="00B75647">
        <w:rPr>
          <w:rFonts w:ascii="Times New Roman" w:hAnsi="Times New Roman" w:cs="Times New Roman"/>
          <w:i/>
          <w:iCs/>
          <w:noProof/>
          <w:szCs w:val="24"/>
        </w:rPr>
        <w:t>P5 eHealth: An Agenda for the Health Technologies of the Future</w:t>
      </w:r>
      <w:r w:rsidRPr="00B75647">
        <w:rPr>
          <w:rFonts w:ascii="Times New Roman" w:hAnsi="Times New Roman" w:cs="Times New Roman"/>
          <w:noProof/>
          <w:szCs w:val="24"/>
        </w:rPr>
        <w:t>. https://doi.org/10.1007/978-3-030-27994-3</w:t>
      </w:r>
    </w:p>
    <w:p w14:paraId="52D9B03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Pressman, S. D., Jenkins, B. N., &amp; Moskowitz, J. T. (2019). Positive affect and health: what do we know and where next should we go? </w:t>
      </w:r>
      <w:r w:rsidRPr="00B75647">
        <w:rPr>
          <w:rFonts w:ascii="Times New Roman" w:hAnsi="Times New Roman" w:cs="Times New Roman"/>
          <w:i/>
          <w:iCs/>
          <w:noProof/>
          <w:szCs w:val="24"/>
        </w:rPr>
        <w:t>Annual Review of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70</w:t>
      </w:r>
      <w:r w:rsidRPr="00B75647">
        <w:rPr>
          <w:rFonts w:ascii="Times New Roman" w:hAnsi="Times New Roman" w:cs="Times New Roman"/>
          <w:noProof/>
          <w:szCs w:val="24"/>
        </w:rPr>
        <w:t>, 627–650.</w:t>
      </w:r>
    </w:p>
    <w:p w14:paraId="044A42B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Proto, E. (2016). Are happy workers more productive? </w:t>
      </w:r>
      <w:r w:rsidRPr="00B75647">
        <w:rPr>
          <w:rFonts w:ascii="Times New Roman" w:hAnsi="Times New Roman" w:cs="Times New Roman"/>
          <w:i/>
          <w:iCs/>
          <w:noProof/>
          <w:szCs w:val="24"/>
        </w:rPr>
        <w:t>IZA World of Labor</w:t>
      </w:r>
      <w:r w:rsidRPr="00B75647">
        <w:rPr>
          <w:rFonts w:ascii="Times New Roman" w:hAnsi="Times New Roman" w:cs="Times New Roman"/>
          <w:noProof/>
          <w:szCs w:val="24"/>
        </w:rPr>
        <w:t>, 1–8. https://doi.org/10.15185/izawol.315</w:t>
      </w:r>
    </w:p>
    <w:p w14:paraId="2FEE2F5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Qaiser Suleman, Ishtiaq Hussain, Saqib Shehzad, Makhdoom Ali Syed, &amp; Sadaf Ayub Raja. (2018). Relationship between perceived occupational stress and psychological well-being among secondary school heads in Khyber Pakhtunkhwa, Pakistan.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(12), 1–22.</w:t>
      </w:r>
    </w:p>
    <w:p w14:paraId="5F99D8D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QSR International. (2020). </w:t>
      </w:r>
      <w:r w:rsidRPr="00B75647">
        <w:rPr>
          <w:rFonts w:ascii="Times New Roman" w:hAnsi="Times New Roman" w:cs="Times New Roman"/>
          <w:i/>
          <w:iCs/>
          <w:noProof/>
          <w:szCs w:val="24"/>
        </w:rPr>
        <w:t>NVivo</w:t>
      </w:r>
      <w:r w:rsidRPr="00B75647">
        <w:rPr>
          <w:rFonts w:ascii="Times New Roman" w:hAnsi="Times New Roman" w:cs="Times New Roman"/>
          <w:noProof/>
          <w:szCs w:val="24"/>
        </w:rPr>
        <w:t>. https://www.qsrinternational.com/nvivo-qualitative-data-analysis-software/home</w:t>
      </w:r>
    </w:p>
    <w:p w14:paraId="2C1FB21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Rajgopal, T. (2010). Mental well-being at the workplace. </w:t>
      </w:r>
      <w:r w:rsidRPr="00B75647">
        <w:rPr>
          <w:rFonts w:ascii="Times New Roman" w:hAnsi="Times New Roman" w:cs="Times New Roman"/>
          <w:i/>
          <w:iCs/>
          <w:noProof/>
          <w:szCs w:val="24"/>
        </w:rPr>
        <w:t>Indian Journal of Occupational and Environmental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14</w:t>
      </w:r>
      <w:r w:rsidRPr="00B75647">
        <w:rPr>
          <w:rFonts w:ascii="Times New Roman" w:hAnsi="Times New Roman" w:cs="Times New Roman"/>
          <w:noProof/>
          <w:szCs w:val="24"/>
        </w:rPr>
        <w:t>(3), 63–65. https://doi.org/10.4103/0019-5278.75691</w:t>
      </w:r>
    </w:p>
    <w:p w14:paraId="56FF6F2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Rajkumar, R. P. (2020). COVID-19 and mental health: A review of the existing literature. </w:t>
      </w:r>
      <w:r w:rsidRPr="00B75647">
        <w:rPr>
          <w:rFonts w:ascii="Times New Roman" w:hAnsi="Times New Roman" w:cs="Times New Roman"/>
          <w:i/>
          <w:iCs/>
          <w:noProof/>
          <w:szCs w:val="24"/>
        </w:rPr>
        <w:t>Asian Journal of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52</w:t>
      </w:r>
      <w:r w:rsidRPr="00B75647">
        <w:rPr>
          <w:rFonts w:ascii="Times New Roman" w:hAnsi="Times New Roman" w:cs="Times New Roman"/>
          <w:noProof/>
          <w:szCs w:val="24"/>
        </w:rPr>
        <w:t>, 102066. https://doi.org/10.1016/j.ajp.2020.102066</w:t>
      </w:r>
    </w:p>
    <w:p w14:paraId="2058D6E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Rambocas, M., &amp; Gama, J. (2013). </w:t>
      </w:r>
      <w:r w:rsidRPr="00B75647">
        <w:rPr>
          <w:rFonts w:ascii="Times New Roman" w:hAnsi="Times New Roman" w:cs="Times New Roman"/>
          <w:i/>
          <w:iCs/>
          <w:noProof/>
          <w:szCs w:val="24"/>
        </w:rPr>
        <w:t>Marketing research: The role of sentiment analysis</w:t>
      </w:r>
      <w:r w:rsidRPr="00B75647">
        <w:rPr>
          <w:rFonts w:ascii="Times New Roman" w:hAnsi="Times New Roman" w:cs="Times New Roman"/>
          <w:noProof/>
          <w:szCs w:val="24"/>
        </w:rPr>
        <w:t>. Universidade do Porto, Faculdade de Economia do Porto.</w:t>
      </w:r>
    </w:p>
    <w:p w14:paraId="0B38652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Rameka, A. N. A., Connor, A. M., &amp; Kruse, J. (2019). Activity recognition evaluation via machine learning. </w:t>
      </w:r>
      <w:r w:rsidRPr="00B75647">
        <w:rPr>
          <w:rFonts w:ascii="Times New Roman" w:hAnsi="Times New Roman" w:cs="Times New Roman"/>
          <w:i/>
          <w:iCs/>
          <w:noProof/>
          <w:szCs w:val="24"/>
        </w:rPr>
        <w:t>ICST Transactions on Ambient Systems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(18), 161436. https://doi.org/10.4108/eai.23-3-2018.161436</w:t>
      </w:r>
    </w:p>
    <w:p w14:paraId="0D8D8D3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Randriambelonoro, M., Chen, Y., &amp; Pu, P. (2017). Can fitness trackers help diabetic and obese users make and sustain lifestyle changes? </w:t>
      </w:r>
      <w:r w:rsidRPr="00B75647">
        <w:rPr>
          <w:rFonts w:ascii="Times New Roman" w:hAnsi="Times New Roman" w:cs="Times New Roman"/>
          <w:i/>
          <w:iCs/>
          <w:noProof/>
          <w:szCs w:val="24"/>
        </w:rPr>
        <w:t>Computer</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50</w:t>
      </w:r>
      <w:r w:rsidRPr="00B75647">
        <w:rPr>
          <w:rFonts w:ascii="Times New Roman" w:hAnsi="Times New Roman" w:cs="Times New Roman"/>
          <w:noProof/>
          <w:szCs w:val="24"/>
        </w:rPr>
        <w:t>(3), 20–29.</w:t>
      </w:r>
    </w:p>
    <w:p w14:paraId="0A6E6C9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Rashid, M., Sulaiman, N., P. P. Abdul Majeed, A., Musa, R. M., Ahmad, A. F., Bari, B. S., &amp; Khatun, S. (2020). Current Status, Challenges, and Possible Solutions of EEG-Based Brain-Computer Interface: A Comprehensive Review. </w:t>
      </w:r>
      <w:r w:rsidRPr="00B75647">
        <w:rPr>
          <w:rFonts w:ascii="Times New Roman" w:hAnsi="Times New Roman" w:cs="Times New Roman"/>
          <w:i/>
          <w:iCs/>
          <w:noProof/>
          <w:szCs w:val="24"/>
        </w:rPr>
        <w:t>Frontiers in Neurorobotics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14</w:t>
      </w:r>
      <w:r w:rsidRPr="00B75647">
        <w:rPr>
          <w:rFonts w:ascii="Times New Roman" w:hAnsi="Times New Roman" w:cs="Times New Roman"/>
          <w:noProof/>
          <w:szCs w:val="24"/>
        </w:rPr>
        <w:t>(June), 1–35. https://doi.org/10.3389/fnbot.2020.00025</w:t>
      </w:r>
    </w:p>
    <w:p w14:paraId="4948A3E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Rejeb, A., Treiblmaier, H., Rejeb, K., &amp; Zailani, S. (2021). Blockchain research in healthcare: a bibliometric review and current research trends. </w:t>
      </w:r>
      <w:r w:rsidRPr="00B75647">
        <w:rPr>
          <w:rFonts w:ascii="Times New Roman" w:hAnsi="Times New Roman" w:cs="Times New Roman"/>
          <w:i/>
          <w:iCs/>
          <w:noProof/>
          <w:szCs w:val="24"/>
        </w:rPr>
        <w:t>Journal of Data, Information and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(2), 109–124. https://doi.org/10.1007/s42488-021-00046-2</w:t>
      </w:r>
    </w:p>
    <w:p w14:paraId="02C41CC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Rienzo, M. Di, Rizzo, F., Parati, G., Brambilla, G., Ferratini, M., &amp; Castiglioni, P. (2005). MagIC System: a New Textile-Based Wearable Device for Biological Signal Monitoring. Applicability in Daily Life and Clinical Setting. </w:t>
      </w:r>
      <w:r w:rsidRPr="00B75647">
        <w:rPr>
          <w:rFonts w:ascii="Times New Roman" w:hAnsi="Times New Roman" w:cs="Times New Roman"/>
          <w:i/>
          <w:iCs/>
          <w:noProof/>
          <w:szCs w:val="24"/>
        </w:rPr>
        <w:t>2005 IEEE Engineering in Medicine and Biology 27th Annual Conference</w:t>
      </w:r>
      <w:r w:rsidRPr="00B75647">
        <w:rPr>
          <w:rFonts w:ascii="Times New Roman" w:hAnsi="Times New Roman" w:cs="Times New Roman"/>
          <w:noProof/>
          <w:szCs w:val="24"/>
        </w:rPr>
        <w:t>, 7167–7169. https://doi.org/10.1109/IEMBS.2005.1616161</w:t>
      </w:r>
    </w:p>
    <w:p w14:paraId="3891961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Rodr, E., Kypson, A. P., Moten, S. C., Nifong, L. W., &amp; Jr, W. R. C. (2006). A novel modification of the Turing test for artificial intelligence and robotics in healthcare Hutan. </w:t>
      </w:r>
      <w:r w:rsidRPr="00B75647">
        <w:rPr>
          <w:rFonts w:ascii="Times New Roman" w:hAnsi="Times New Roman" w:cs="Times New Roman"/>
          <w:i/>
          <w:iCs/>
          <w:noProof/>
          <w:szCs w:val="24"/>
        </w:rPr>
        <w:t>International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April</w:t>
      </w:r>
      <w:r w:rsidRPr="00B75647">
        <w:rPr>
          <w:rFonts w:ascii="Times New Roman" w:hAnsi="Times New Roman" w:cs="Times New Roman"/>
          <w:noProof/>
          <w:szCs w:val="24"/>
        </w:rPr>
        <w:t>, 211–215. https://doi.org/10.1002/rcs</w:t>
      </w:r>
    </w:p>
    <w:p w14:paraId="44373A2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Rodríguez-Rey, R., Garrido-Hernansaiz, H., &amp; Collado, S. (2020). Psychological Impact and Associated Factors During the Initial Stage of the Coronavirus (COVID-19) Pandemic Among the General Population in Spain.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(June). https://doi.org/10.3389/fpsyg.2020.01540</w:t>
      </w:r>
    </w:p>
    <w:p w14:paraId="15C0016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Romero, D., &amp; Molina, A. (2011). Collaborative networked organisations and customer communities: Value co-creation and co-innovation in the networking era. </w:t>
      </w:r>
      <w:r w:rsidRPr="00B75647">
        <w:rPr>
          <w:rFonts w:ascii="Times New Roman" w:hAnsi="Times New Roman" w:cs="Times New Roman"/>
          <w:i/>
          <w:iCs/>
          <w:noProof/>
          <w:szCs w:val="24"/>
        </w:rPr>
        <w:t>Production Planning and Control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(5–6), 447–472. https://doi.org/10.1080/09537287.2010.536619</w:t>
      </w:r>
    </w:p>
    <w:p w14:paraId="0202AE9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Rosekind, M. R., Gregory, K. B., Mallis, M. M., Brandt, S. L., Seal, B., &amp; Lerner, D. (2010). The cost of poor sleep: workplace productivity loss and associated costs. </w:t>
      </w:r>
      <w:r w:rsidRPr="00B75647">
        <w:rPr>
          <w:rFonts w:ascii="Times New Roman" w:hAnsi="Times New Roman" w:cs="Times New Roman"/>
          <w:i/>
          <w:iCs/>
          <w:noProof/>
          <w:szCs w:val="24"/>
        </w:rPr>
        <w:t>Journal of Occupational and Environmental Medicine</w:t>
      </w:r>
      <w:r w:rsidRPr="00B75647">
        <w:rPr>
          <w:rFonts w:ascii="Times New Roman" w:hAnsi="Times New Roman" w:cs="Times New Roman"/>
          <w:noProof/>
          <w:szCs w:val="24"/>
        </w:rPr>
        <w:t>, 91–98.</w:t>
      </w:r>
    </w:p>
    <w:p w14:paraId="3BF0154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Rowland, S. P., Fitzgerald, J. E., &amp; Holme, T. (2020). What is the clinical value of mHealth for patients ? </w:t>
      </w:r>
      <w:r w:rsidRPr="00B75647">
        <w:rPr>
          <w:rFonts w:ascii="Times New Roman" w:hAnsi="Times New Roman" w:cs="Times New Roman"/>
          <w:i/>
          <w:iCs/>
          <w:noProof/>
          <w:szCs w:val="24"/>
        </w:rPr>
        <w:t>Npj Digital Medicine</w:t>
      </w:r>
      <w:r w:rsidRPr="00B75647">
        <w:rPr>
          <w:rFonts w:ascii="Times New Roman" w:hAnsi="Times New Roman" w:cs="Times New Roman"/>
          <w:noProof/>
          <w:szCs w:val="24"/>
        </w:rPr>
        <w:t>, 1–6. https://doi.org/10.1038/s41746-019-0206-x</w:t>
      </w:r>
    </w:p>
    <w:p w14:paraId="046DBA9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Ruggeri, K., Garcia-Garzon, E., Maguire, Á., Matz, S., &amp; Huppert, F. A. (2020). Well-being is more than happiness and life satisfaction: A multidimensional analysis of 21 countries. </w:t>
      </w:r>
      <w:r w:rsidRPr="00B75647">
        <w:rPr>
          <w:rFonts w:ascii="Times New Roman" w:hAnsi="Times New Roman" w:cs="Times New Roman"/>
          <w:i/>
          <w:iCs/>
          <w:noProof/>
          <w:szCs w:val="24"/>
        </w:rPr>
        <w:t>Health and Quality of Life Outcomes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1–16. https://doi.org/10.1186/s12955-020-01423-y</w:t>
      </w:r>
    </w:p>
    <w:p w14:paraId="009AE86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Ruini, C., Vescovelli, F., Carpi, V., &amp; Masoni, L. (2017). Exploring Psychological Well-Being and Positive Emotions in School Children Using a Narrative Approach. </w:t>
      </w:r>
      <w:r w:rsidRPr="00B75647">
        <w:rPr>
          <w:rFonts w:ascii="Times New Roman" w:hAnsi="Times New Roman" w:cs="Times New Roman"/>
          <w:i/>
          <w:iCs/>
          <w:noProof/>
          <w:szCs w:val="24"/>
        </w:rPr>
        <w:t>Indo-Pacific Journal of Phenomenology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(sup1), 1–9. https://doi.org/10.1080/20797222.2017.1299287</w:t>
      </w:r>
    </w:p>
    <w:p w14:paraId="51D272D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Russell, D. M. (2016). Simple is good: Observations of visualization use amongst the big data digerati. </w:t>
      </w:r>
      <w:r w:rsidRPr="00B75647">
        <w:rPr>
          <w:rFonts w:ascii="Times New Roman" w:hAnsi="Times New Roman" w:cs="Times New Roman"/>
          <w:i/>
          <w:iCs/>
          <w:noProof/>
          <w:szCs w:val="24"/>
        </w:rPr>
        <w:t>Proceedings of the Workshop on Advanced Visual Interfaces AVI</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07</w:t>
      </w:r>
      <w:r w:rsidRPr="00B75647">
        <w:rPr>
          <w:rFonts w:ascii="Times New Roman" w:hAnsi="Times New Roman" w:cs="Times New Roman"/>
          <w:noProof/>
          <w:szCs w:val="24"/>
        </w:rPr>
        <w:t>-</w:t>
      </w:r>
      <w:r w:rsidRPr="00B75647">
        <w:rPr>
          <w:rFonts w:ascii="Times New Roman" w:hAnsi="Times New Roman" w:cs="Times New Roman"/>
          <w:i/>
          <w:iCs/>
          <w:noProof/>
          <w:szCs w:val="24"/>
        </w:rPr>
        <w:t>10</w:t>
      </w:r>
      <w:r w:rsidRPr="00B75647">
        <w:rPr>
          <w:rFonts w:ascii="Times New Roman" w:hAnsi="Times New Roman" w:cs="Times New Roman"/>
          <w:noProof/>
          <w:szCs w:val="24"/>
        </w:rPr>
        <w:t>-</w:t>
      </w:r>
      <w:r w:rsidRPr="00B75647">
        <w:rPr>
          <w:rFonts w:ascii="Times New Roman" w:hAnsi="Times New Roman" w:cs="Times New Roman"/>
          <w:i/>
          <w:iCs/>
          <w:noProof/>
          <w:szCs w:val="24"/>
        </w:rPr>
        <w:t>June</w:t>
      </w:r>
      <w:r w:rsidRPr="00B75647">
        <w:rPr>
          <w:rFonts w:ascii="Times New Roman" w:hAnsi="Times New Roman" w:cs="Times New Roman"/>
          <w:noProof/>
          <w:szCs w:val="24"/>
        </w:rPr>
        <w:t>(June 2016), 7–12. https://doi.org/10.1145/2909132.2933287</w:t>
      </w:r>
    </w:p>
    <w:p w14:paraId="118C572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Russo-Spena, T., Mele, C., &amp; Marzullo, M. (2019). Practising Value Innovation through Artificial Intelligence: The IBM Watson Case. </w:t>
      </w:r>
      <w:r w:rsidRPr="00B75647">
        <w:rPr>
          <w:rFonts w:ascii="Times New Roman" w:hAnsi="Times New Roman" w:cs="Times New Roman"/>
          <w:i/>
          <w:iCs/>
          <w:noProof/>
          <w:szCs w:val="24"/>
        </w:rPr>
        <w:t>Journal of Creating Value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(1), 11–24. https://doi.org/10.1177/2394964318805839</w:t>
      </w:r>
    </w:p>
    <w:p w14:paraId="4FF86F8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Ryff, C. D. (2015). Psychological Well-being Revisited: Advances in Science and Practice. </w:t>
      </w:r>
      <w:r w:rsidRPr="00B75647">
        <w:rPr>
          <w:rFonts w:ascii="Times New Roman" w:hAnsi="Times New Roman" w:cs="Times New Roman"/>
          <w:i/>
          <w:iCs/>
          <w:noProof/>
          <w:szCs w:val="24"/>
        </w:rPr>
        <w:t>Psychother Psychosom</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83</w:t>
      </w:r>
      <w:r w:rsidRPr="00B75647">
        <w:rPr>
          <w:rFonts w:ascii="Times New Roman" w:hAnsi="Times New Roman" w:cs="Times New Roman"/>
          <w:noProof/>
          <w:szCs w:val="24"/>
        </w:rPr>
        <w:t>(1), 10–28. https://doi.org/10.1159/000353263.Psychological</w:t>
      </w:r>
    </w:p>
    <w:p w14:paraId="08DC3BC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Ryff, C. D., Singer, B. H., &amp; Love, G. D. (2004). Positive health: Connecting well-being with biology. </w:t>
      </w:r>
      <w:r w:rsidRPr="00B75647">
        <w:rPr>
          <w:rFonts w:ascii="Times New Roman" w:hAnsi="Times New Roman" w:cs="Times New Roman"/>
          <w:i/>
          <w:iCs/>
          <w:noProof/>
          <w:szCs w:val="24"/>
        </w:rPr>
        <w:t>Philosophical Transactions of the Royal Society B: Biological Sciences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359</w:t>
      </w:r>
      <w:r w:rsidRPr="00B75647">
        <w:rPr>
          <w:rFonts w:ascii="Times New Roman" w:hAnsi="Times New Roman" w:cs="Times New Roman"/>
          <w:noProof/>
          <w:szCs w:val="24"/>
        </w:rPr>
        <w:t>(1449), 1383–1394. https://doi.org/10.1098/rstb.2004.1521</w:t>
      </w:r>
    </w:p>
    <w:p w14:paraId="03EE2D0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Salari, N., Hosseinian-Far, A., Jalali, R., Vaisi-Raygani, A., Rasoulpoor, S., Mohammadi, M., Rasoulpoor, S., &amp; Khaledi-Paveh, B. (2020). Prevalence of stress, anxiety, depression among the general population during the COVID-19 pandemic: a systematic review and meta-analysis. </w:t>
      </w:r>
      <w:r w:rsidRPr="00B75647">
        <w:rPr>
          <w:rFonts w:ascii="Times New Roman" w:hAnsi="Times New Roman" w:cs="Times New Roman"/>
          <w:i/>
          <w:iCs/>
          <w:noProof/>
          <w:szCs w:val="24"/>
        </w:rPr>
        <w:t>Globalization and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(1), 1–11.</w:t>
      </w:r>
    </w:p>
    <w:p w14:paraId="6342BA1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Salas-Vallina, A., Pozo-Hidalgo, M., &amp; Gil-Monte, P. R. (2020). Are Happy Workers More Productive? The Mediating Role of Service-Skill Use.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(March), 1–11. https://doi.org/10.3389/fpsyg.2020.00456</w:t>
      </w:r>
    </w:p>
    <w:p w14:paraId="11EAD07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Sammut, C., &amp; Webb, G. I. (Eds.). (2010). </w:t>
      </w:r>
      <w:r w:rsidRPr="00B75647">
        <w:rPr>
          <w:rFonts w:ascii="Times New Roman" w:hAnsi="Times New Roman" w:cs="Times New Roman"/>
          <w:i/>
          <w:iCs/>
          <w:noProof/>
          <w:szCs w:val="24"/>
        </w:rPr>
        <w:t>Mean Absolute Error BT  - Encyclopedia of Machine Learning</w:t>
      </w:r>
      <w:r w:rsidRPr="00B75647">
        <w:rPr>
          <w:rFonts w:ascii="Times New Roman" w:hAnsi="Times New Roman" w:cs="Times New Roman"/>
          <w:noProof/>
          <w:szCs w:val="24"/>
        </w:rPr>
        <w:t xml:space="preserve"> (p. 652). Springer US. https://doi.org/10.1007/978-0-387-30164-8_525</w:t>
      </w:r>
    </w:p>
    <w:p w14:paraId="784B33B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Saraceno, B., Levav, I., &amp; Kohn, R. (2005). The public mental health significance of research on socio-economic factors in schizophrenia and major depression. </w:t>
      </w:r>
      <w:r w:rsidRPr="00B75647">
        <w:rPr>
          <w:rFonts w:ascii="Times New Roman" w:hAnsi="Times New Roman" w:cs="Times New Roman"/>
          <w:i/>
          <w:iCs/>
          <w:noProof/>
          <w:szCs w:val="24"/>
        </w:rPr>
        <w:t>World Psychiatry : Official Journal of the World Psychiatric Association (WPA)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(3), 181–185. http://www.ncbi.nlm.nih.gov/pubmed/16633546%0Ahttp://www.pubmedcentral.nih.gov/articlerender.fcgi?artid=PMC1414773</w:t>
      </w:r>
    </w:p>
    <w:p w14:paraId="780C34A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Satici, B., Saricali, M., Satici, S. A., &amp; Griffiths, M. D. (2020). Intolerance of Uncertainty and Mental Wellbeing: Serial Mediation by Rumination and Fear of COVID-19. </w:t>
      </w:r>
      <w:r w:rsidRPr="00B75647">
        <w:rPr>
          <w:rFonts w:ascii="Times New Roman" w:hAnsi="Times New Roman" w:cs="Times New Roman"/>
          <w:i/>
          <w:iCs/>
          <w:noProof/>
          <w:szCs w:val="24"/>
        </w:rPr>
        <w:t>International Journal of Mental Health and Addiction</w:t>
      </w:r>
      <w:r w:rsidRPr="00B75647">
        <w:rPr>
          <w:rFonts w:ascii="Times New Roman" w:hAnsi="Times New Roman" w:cs="Times New Roman"/>
          <w:noProof/>
          <w:szCs w:val="24"/>
        </w:rPr>
        <w:t>. https://doi.org/10.1007/s11469-020-00305-0</w:t>
      </w:r>
    </w:p>
    <w:p w14:paraId="074C824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Schiavone, F., Leone, D., Sorrentino, A., &amp; Scaletti, A. (2020). Re-designing the service experience in the value co-creation process: an exploratory study of a healthcare network. </w:t>
      </w:r>
      <w:r w:rsidRPr="00B75647">
        <w:rPr>
          <w:rFonts w:ascii="Times New Roman" w:hAnsi="Times New Roman" w:cs="Times New Roman"/>
          <w:i/>
          <w:iCs/>
          <w:noProof/>
          <w:szCs w:val="24"/>
        </w:rPr>
        <w:t>Business Process Management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26</w:t>
      </w:r>
      <w:r w:rsidRPr="00B75647">
        <w:rPr>
          <w:rFonts w:ascii="Times New Roman" w:hAnsi="Times New Roman" w:cs="Times New Roman"/>
          <w:noProof/>
          <w:szCs w:val="24"/>
        </w:rPr>
        <w:t>(4), 889–908. https://doi.org/10.1108/BPMJ-11-2019-0475</w:t>
      </w:r>
    </w:p>
    <w:p w14:paraId="1D2E734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Schneiderman, N., Ironson, G., &amp; Siegel, S. D. (2005a). Stress and health: psychological, behavioral, and biological determinants. </w:t>
      </w:r>
      <w:r w:rsidRPr="00B75647">
        <w:rPr>
          <w:rFonts w:ascii="Times New Roman" w:hAnsi="Times New Roman" w:cs="Times New Roman"/>
          <w:i/>
          <w:iCs/>
          <w:noProof/>
          <w:szCs w:val="24"/>
        </w:rPr>
        <w:t>Annu. Rev. Clin. Psychol.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 607–628.</w:t>
      </w:r>
    </w:p>
    <w:p w14:paraId="1A0A097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Schneiderman, N., Ironson, G., &amp; Siegel, S. D. (2005b). Stress and Health: Psychological, Behavioral, and Biological Determinants. </w:t>
      </w:r>
      <w:r w:rsidRPr="00B75647">
        <w:rPr>
          <w:rFonts w:ascii="Times New Roman" w:hAnsi="Times New Roman" w:cs="Times New Roman"/>
          <w:i/>
          <w:iCs/>
          <w:noProof/>
          <w:szCs w:val="24"/>
        </w:rPr>
        <w:t>Annual Review of Clinical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w:t>
      </w:r>
      <w:r w:rsidRPr="00B75647">
        <w:rPr>
          <w:rFonts w:ascii="Times New Roman" w:hAnsi="Times New Roman" w:cs="Times New Roman"/>
          <w:noProof/>
          <w:szCs w:val="24"/>
        </w:rPr>
        <w:t>(1), 607–628. https://doi.org/10.1146/annurev.clinpsy.1.102803.144141</w:t>
      </w:r>
    </w:p>
    <w:p w14:paraId="0E1A18C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Schober, P., &amp; Schwarte, L. A. (2018). Correlation coefficients: Appropriate use and interpretation. </w:t>
      </w:r>
      <w:r w:rsidRPr="00B75647">
        <w:rPr>
          <w:rFonts w:ascii="Times New Roman" w:hAnsi="Times New Roman" w:cs="Times New Roman"/>
          <w:i/>
          <w:iCs/>
          <w:noProof/>
          <w:szCs w:val="24"/>
        </w:rPr>
        <w:t>Anesthesia and Analgesia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126</w:t>
      </w:r>
      <w:r w:rsidRPr="00B75647">
        <w:rPr>
          <w:rFonts w:ascii="Times New Roman" w:hAnsi="Times New Roman" w:cs="Times New Roman"/>
          <w:noProof/>
          <w:szCs w:val="24"/>
        </w:rPr>
        <w:t>(5), 1763–1768. https://doi.org/10.1213/ANE.0000000000002864</w:t>
      </w:r>
    </w:p>
    <w:p w14:paraId="1A35A8D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Schoonenboom, J., &amp; Johnson, R. B. (2017). How to Construct a Mixed Methods Research Design. </w:t>
      </w:r>
      <w:r w:rsidRPr="00B75647">
        <w:rPr>
          <w:rFonts w:ascii="Times New Roman" w:hAnsi="Times New Roman" w:cs="Times New Roman"/>
          <w:i/>
          <w:iCs/>
          <w:noProof/>
          <w:szCs w:val="24"/>
        </w:rPr>
        <w:t>Kolner Zeitschrift Fur Soziologie Und Sozialpsychologie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69</w:t>
      </w:r>
      <w:r w:rsidRPr="00B75647">
        <w:rPr>
          <w:rFonts w:ascii="Times New Roman" w:hAnsi="Times New Roman" w:cs="Times New Roman"/>
          <w:noProof/>
          <w:szCs w:val="24"/>
        </w:rPr>
        <w:t>, 107–131. https://doi.org/10.1007/s11577-017-0454-1</w:t>
      </w:r>
    </w:p>
    <w:p w14:paraId="179B276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Schwab, D. P., &amp; Cummings, L. L. (1970). Theories of performance and satisfaction: A review. </w:t>
      </w:r>
      <w:r w:rsidRPr="00B75647">
        <w:rPr>
          <w:rFonts w:ascii="Times New Roman" w:hAnsi="Times New Roman" w:cs="Times New Roman"/>
          <w:i/>
          <w:iCs/>
          <w:noProof/>
          <w:szCs w:val="24"/>
        </w:rPr>
        <w:t>Industrial Relations: A Journal of Economy and Society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(4), 408–430.</w:t>
      </w:r>
    </w:p>
    <w:p w14:paraId="3644934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Secinaro, S., Calandra, D., Secinaro, A., Muthurangu, V., &amp; Biancone, P. (2021). The role of artificial intelligence in healthcare: a structured literature review. </w:t>
      </w:r>
      <w:r w:rsidRPr="00B75647">
        <w:rPr>
          <w:rFonts w:ascii="Times New Roman" w:hAnsi="Times New Roman" w:cs="Times New Roman"/>
          <w:i/>
          <w:iCs/>
          <w:noProof/>
          <w:szCs w:val="24"/>
        </w:rPr>
        <w:t>BMC Medical Informatics and Decision Making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21</w:t>
      </w:r>
      <w:r w:rsidRPr="00B75647">
        <w:rPr>
          <w:rFonts w:ascii="Times New Roman" w:hAnsi="Times New Roman" w:cs="Times New Roman"/>
          <w:noProof/>
          <w:szCs w:val="24"/>
        </w:rPr>
        <w:t>(1), 1–23. https://doi.org/10.1186/s12911-021-01488-9</w:t>
      </w:r>
    </w:p>
    <w:p w14:paraId="7FD40A3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Segerstrom, S. C., &amp; Miller, G. E. (2004). Psychological stress and the human immune system: a meta-analytic study of 30 years of inquiry. </w:t>
      </w:r>
      <w:r w:rsidRPr="00B75647">
        <w:rPr>
          <w:rFonts w:ascii="Times New Roman" w:hAnsi="Times New Roman" w:cs="Times New Roman"/>
          <w:i/>
          <w:iCs/>
          <w:noProof/>
          <w:szCs w:val="24"/>
        </w:rPr>
        <w:t>Psychological Bulletin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130</w:t>
      </w:r>
      <w:r w:rsidRPr="00B75647">
        <w:rPr>
          <w:rFonts w:ascii="Times New Roman" w:hAnsi="Times New Roman" w:cs="Times New Roman"/>
          <w:noProof/>
          <w:szCs w:val="24"/>
        </w:rPr>
        <w:t>(4), 601.</w:t>
      </w:r>
    </w:p>
    <w:p w14:paraId="049831D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Seijts, G. H., Latham, G. P., Tasa, K., &amp; Latham, B. W. (2016). Goal Setting and Goal Orientation : An Integration of Two Different Yet Related Literatures. </w:t>
      </w:r>
      <w:r w:rsidRPr="00B75647">
        <w:rPr>
          <w:rFonts w:ascii="Times New Roman" w:hAnsi="Times New Roman" w:cs="Times New Roman"/>
          <w:i/>
          <w:iCs/>
          <w:noProof/>
          <w:szCs w:val="24"/>
        </w:rPr>
        <w:t>The Academy of Management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47</w:t>
      </w:r>
      <w:r w:rsidRPr="00B75647">
        <w:rPr>
          <w:rFonts w:ascii="Times New Roman" w:hAnsi="Times New Roman" w:cs="Times New Roman"/>
          <w:noProof/>
          <w:szCs w:val="24"/>
        </w:rPr>
        <w:t>(2), 227–239.</w:t>
      </w:r>
    </w:p>
    <w:p w14:paraId="5DBC49B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Sharon, T. (2017). Self-Tracking for Health and the Quantified Self: Re-Articulating Autonomy, Solidarity, and Authenticity in an Age of Personalized Healthcare. </w:t>
      </w:r>
      <w:r w:rsidRPr="00B75647">
        <w:rPr>
          <w:rFonts w:ascii="Times New Roman" w:hAnsi="Times New Roman" w:cs="Times New Roman"/>
          <w:i/>
          <w:iCs/>
          <w:noProof/>
          <w:szCs w:val="24"/>
        </w:rPr>
        <w:t>Philosophy and Technology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30</w:t>
      </w:r>
      <w:r w:rsidRPr="00B75647">
        <w:rPr>
          <w:rFonts w:ascii="Times New Roman" w:hAnsi="Times New Roman" w:cs="Times New Roman"/>
          <w:noProof/>
          <w:szCs w:val="24"/>
        </w:rPr>
        <w:t>(1), 93–121. https://doi.org/10.1007/s13347-016-0215-5</w:t>
      </w:r>
    </w:p>
    <w:p w14:paraId="1B63BD3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Shih, J., Krusienski, D., &amp; Wolpaw, J. (2012). Brain-Computer Interfaces in Medicine. </w:t>
      </w:r>
      <w:r w:rsidRPr="00B75647">
        <w:rPr>
          <w:rFonts w:ascii="Times New Roman" w:hAnsi="Times New Roman" w:cs="Times New Roman"/>
          <w:i/>
          <w:iCs/>
          <w:noProof/>
          <w:szCs w:val="24"/>
        </w:rPr>
        <w:t>Mayo Clinic Proceedings. Mayo Clinic</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87</w:t>
      </w:r>
      <w:r w:rsidRPr="00B75647">
        <w:rPr>
          <w:rFonts w:ascii="Times New Roman" w:hAnsi="Times New Roman" w:cs="Times New Roman"/>
          <w:noProof/>
          <w:szCs w:val="24"/>
        </w:rPr>
        <w:t>, 268–279. https://doi.org/10.1016/j.mayocp.2011.12.008</w:t>
      </w:r>
    </w:p>
    <w:p w14:paraId="5C5E4CA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Shin, G., Feng, Y., Jarrahi, M. H., &amp; Gafinowitz, N. (2019). Beyond novelty effect: a mixed-methods exploration into the motivation for long-term activity tracker use. </w:t>
      </w:r>
      <w:r w:rsidRPr="00B75647">
        <w:rPr>
          <w:rFonts w:ascii="Times New Roman" w:hAnsi="Times New Roman" w:cs="Times New Roman"/>
          <w:i/>
          <w:iCs/>
          <w:noProof/>
          <w:szCs w:val="24"/>
        </w:rPr>
        <w:t>JAMIA Open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(1), 62–72.</w:t>
      </w:r>
    </w:p>
    <w:p w14:paraId="28B0926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Shin, G., Jarrahi, M. H., Fei, Y., Karami, A., Gafinowitz, N., Byun, A., &amp; Lu, X. (2019). Wearable activity trackers, accuracy, adoption, acceptance and health impact: A systematic literature review. </w:t>
      </w:r>
      <w:r w:rsidRPr="00B75647">
        <w:rPr>
          <w:rFonts w:ascii="Times New Roman" w:hAnsi="Times New Roman" w:cs="Times New Roman"/>
          <w:i/>
          <w:iCs/>
          <w:noProof/>
          <w:szCs w:val="24"/>
        </w:rPr>
        <w:t>Journal of Biomedical Informatics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93</w:t>
      </w:r>
      <w:r w:rsidRPr="00B75647">
        <w:rPr>
          <w:rFonts w:ascii="Times New Roman" w:hAnsi="Times New Roman" w:cs="Times New Roman"/>
          <w:noProof/>
          <w:szCs w:val="24"/>
        </w:rPr>
        <w:t>, 103153.</w:t>
      </w:r>
    </w:p>
    <w:p w14:paraId="18EDD93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Siddike, M. D., Kalam, A., Spohrer, J., Demirkan, H., &amp; Kohda, Y. (2018). People’s interactions with cognitive assistants for enhanced performances. </w:t>
      </w:r>
      <w:r w:rsidRPr="00B75647">
        <w:rPr>
          <w:rFonts w:ascii="Times New Roman" w:hAnsi="Times New Roman" w:cs="Times New Roman"/>
          <w:i/>
          <w:iCs/>
          <w:noProof/>
          <w:szCs w:val="24"/>
        </w:rPr>
        <w:t>Proceedings of the 51st Hawaii International Conference on System Sciences</w:t>
      </w:r>
      <w:r w:rsidRPr="00B75647">
        <w:rPr>
          <w:rFonts w:ascii="Times New Roman" w:hAnsi="Times New Roman" w:cs="Times New Roman"/>
          <w:noProof/>
          <w:szCs w:val="24"/>
        </w:rPr>
        <w:t>.</w:t>
      </w:r>
    </w:p>
    <w:p w14:paraId="77B3756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Silton, R. L., Kahrilas, I. J., Skymba, H. V, Smith, J., Bryant, F. B., &amp; Heller, W. (2020). Regulating positive emotions: Implications for promoting well-being in individuals with depression. </w:t>
      </w:r>
      <w:r w:rsidRPr="00B75647">
        <w:rPr>
          <w:rFonts w:ascii="Times New Roman" w:hAnsi="Times New Roman" w:cs="Times New Roman"/>
          <w:i/>
          <w:iCs/>
          <w:noProof/>
          <w:szCs w:val="24"/>
        </w:rPr>
        <w:t>Emotion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(1), 93.</w:t>
      </w:r>
    </w:p>
    <w:p w14:paraId="3AAC3A3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Singh, A. S. (2014). Conducting case study research in non-profit organisations. </w:t>
      </w:r>
      <w:r w:rsidRPr="00B75647">
        <w:rPr>
          <w:rFonts w:ascii="Times New Roman" w:hAnsi="Times New Roman" w:cs="Times New Roman"/>
          <w:i/>
          <w:iCs/>
          <w:noProof/>
          <w:szCs w:val="24"/>
        </w:rPr>
        <w:t>Qualitative Market Research: An International Journal</w:t>
      </w:r>
      <w:r w:rsidRPr="00B75647">
        <w:rPr>
          <w:rFonts w:ascii="Times New Roman" w:hAnsi="Times New Roman" w:cs="Times New Roman"/>
          <w:noProof/>
          <w:szCs w:val="24"/>
        </w:rPr>
        <w:t>.</w:t>
      </w:r>
    </w:p>
    <w:p w14:paraId="7C41968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Sklyar, A., Kowalkowski, C., Sörhammar, D., Tronvoll, B., &amp; Kowalkowski, C. (2019). Resource integration through digitalisation : a service ecosystem perspective. </w:t>
      </w:r>
      <w:r w:rsidRPr="00B75647">
        <w:rPr>
          <w:rFonts w:ascii="Times New Roman" w:hAnsi="Times New Roman" w:cs="Times New Roman"/>
          <w:i/>
          <w:iCs/>
          <w:noProof/>
          <w:szCs w:val="24"/>
        </w:rPr>
        <w:t>Journal of Marketing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35</w:t>
      </w:r>
      <w:r w:rsidRPr="00B75647">
        <w:rPr>
          <w:rFonts w:ascii="Times New Roman" w:hAnsi="Times New Roman" w:cs="Times New Roman"/>
          <w:noProof/>
          <w:szCs w:val="24"/>
        </w:rPr>
        <w:t>(11–12), 974–991. https://doi.org/10.1080/0267257X.2019.1600572</w:t>
      </w:r>
    </w:p>
    <w:p w14:paraId="7B37ED3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Slade, M. (2010). Mental illness and well-being: The central importance of positive psychology and recovery approaches. </w:t>
      </w:r>
      <w:r w:rsidRPr="00B75647">
        <w:rPr>
          <w:rFonts w:ascii="Times New Roman" w:hAnsi="Times New Roman" w:cs="Times New Roman"/>
          <w:i/>
          <w:iCs/>
          <w:noProof/>
          <w:szCs w:val="24"/>
        </w:rPr>
        <w:t>BMC Health Services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 https://doi.org/10.1186/1472-6963-10-26</w:t>
      </w:r>
    </w:p>
    <w:p w14:paraId="2B9437B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Snyder, H. (2019). Literature review as a research methodology: An overview and guidelines. </w:t>
      </w:r>
      <w:r w:rsidRPr="00B75647">
        <w:rPr>
          <w:rFonts w:ascii="Times New Roman" w:hAnsi="Times New Roman" w:cs="Times New Roman"/>
          <w:i/>
          <w:iCs/>
          <w:noProof/>
          <w:szCs w:val="24"/>
        </w:rPr>
        <w:t>Journal of Business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104</w:t>
      </w:r>
      <w:r w:rsidRPr="00B75647">
        <w:rPr>
          <w:rFonts w:ascii="Times New Roman" w:hAnsi="Times New Roman" w:cs="Times New Roman"/>
          <w:noProof/>
          <w:szCs w:val="24"/>
        </w:rPr>
        <w:t>(August), 333–339. https://doi.org/10.1016/j.jbusres.2019.07.039</w:t>
      </w:r>
    </w:p>
    <w:p w14:paraId="702A2E2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Spanakis, E. G., Santana, S., Tsiknakis, M., Marias, K., Sakkalis, V., Teixeira, A., Janssen, J. H., De Jong, H., &amp; Tziraki, C. (2016). Technology-based innovations to foster personalized healthy lifestyles and well-being:a targeted review.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(6). https://doi.org/10.2196/jmir.4863</w:t>
      </w:r>
    </w:p>
    <w:p w14:paraId="1D38D99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Spena, T. R., &amp; Mele, C. (2018). </w:t>
      </w:r>
      <w:r w:rsidRPr="00B75647">
        <w:rPr>
          <w:rFonts w:ascii="Times New Roman" w:hAnsi="Times New Roman" w:cs="Times New Roman"/>
          <w:i/>
          <w:iCs/>
          <w:noProof/>
          <w:szCs w:val="24"/>
        </w:rPr>
        <w:t>Practising innovation: A sociomaterial view</w:t>
      </w:r>
      <w:r w:rsidRPr="00B75647">
        <w:rPr>
          <w:rFonts w:ascii="Times New Roman" w:hAnsi="Times New Roman" w:cs="Times New Roman"/>
          <w:noProof/>
          <w:szCs w:val="24"/>
        </w:rPr>
        <w:t>. Editoriale scientifica.</w:t>
      </w:r>
    </w:p>
    <w:p w14:paraId="28FF7C6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Spena, T. R., &amp; Mele, C. (2019). Practising innovation in the healthcare ecosystem: the agency of third-party actors. </w:t>
      </w:r>
      <w:r w:rsidRPr="00B75647">
        <w:rPr>
          <w:rFonts w:ascii="Times New Roman" w:hAnsi="Times New Roman" w:cs="Times New Roman"/>
          <w:i/>
          <w:iCs/>
          <w:noProof/>
          <w:szCs w:val="24"/>
        </w:rPr>
        <w:t>Journal of Business and Industrial Marketing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35</w:t>
      </w:r>
      <w:r w:rsidRPr="00B75647">
        <w:rPr>
          <w:rFonts w:ascii="Times New Roman" w:hAnsi="Times New Roman" w:cs="Times New Roman"/>
          <w:noProof/>
          <w:szCs w:val="24"/>
        </w:rPr>
        <w:t>(3), 390–403. https://doi.org/10.1108/JBIM-01-2019-0048</w:t>
      </w:r>
    </w:p>
    <w:p w14:paraId="6C541E0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Staw, B. M., Sutton, R. I., &amp; Pelled, L. H. (1994). Employee positive emotion and favorable outcomes at the workplace. </w:t>
      </w:r>
      <w:r w:rsidRPr="00B75647">
        <w:rPr>
          <w:rFonts w:ascii="Times New Roman" w:hAnsi="Times New Roman" w:cs="Times New Roman"/>
          <w:i/>
          <w:iCs/>
          <w:noProof/>
          <w:szCs w:val="24"/>
        </w:rPr>
        <w:t>Organization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5</w:t>
      </w:r>
      <w:r w:rsidRPr="00B75647">
        <w:rPr>
          <w:rFonts w:ascii="Times New Roman" w:hAnsi="Times New Roman" w:cs="Times New Roman"/>
          <w:noProof/>
          <w:szCs w:val="24"/>
        </w:rPr>
        <w:t>(1), 51–71.</w:t>
      </w:r>
    </w:p>
    <w:p w14:paraId="721115F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Steinwachs, D. M., &amp; Hughes, R. G. (2008). Health services research: scope and significance. </w:t>
      </w:r>
      <w:r w:rsidRPr="00B75647">
        <w:rPr>
          <w:rFonts w:ascii="Times New Roman" w:hAnsi="Times New Roman" w:cs="Times New Roman"/>
          <w:i/>
          <w:iCs/>
          <w:noProof/>
          <w:szCs w:val="24"/>
        </w:rPr>
        <w:t>Patient Safety and Quality: An Evidence-Based Handbook for Nurses</w:t>
      </w:r>
      <w:r w:rsidRPr="00B75647">
        <w:rPr>
          <w:rFonts w:ascii="Times New Roman" w:hAnsi="Times New Roman" w:cs="Times New Roman"/>
          <w:noProof/>
          <w:szCs w:val="24"/>
        </w:rPr>
        <w:t>.</w:t>
      </w:r>
    </w:p>
    <w:p w14:paraId="14845E5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Stiglbauer, B., Weber, S., &amp; Batinic, B. (2019). Does your health really benefit from using a self-tracking device? Evidence from a longitudinal randomized control trial. </w:t>
      </w:r>
      <w:r w:rsidRPr="00B75647">
        <w:rPr>
          <w:rFonts w:ascii="Times New Roman" w:hAnsi="Times New Roman" w:cs="Times New Roman"/>
          <w:i/>
          <w:iCs/>
          <w:noProof/>
          <w:szCs w:val="24"/>
        </w:rPr>
        <w:t>Computers in Human Behavior</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94</w:t>
      </w:r>
      <w:r w:rsidRPr="00B75647">
        <w:rPr>
          <w:rFonts w:ascii="Times New Roman" w:hAnsi="Times New Roman" w:cs="Times New Roman"/>
          <w:noProof/>
          <w:szCs w:val="24"/>
        </w:rPr>
        <w:t>, 131–139.</w:t>
      </w:r>
    </w:p>
    <w:p w14:paraId="3524706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Storbacka, K., Frow, P., Nenonen, S., &amp; Payne, A. (2012). Designing business models for value co-creation. </w:t>
      </w:r>
      <w:r w:rsidRPr="00B75647">
        <w:rPr>
          <w:rFonts w:ascii="Times New Roman" w:hAnsi="Times New Roman" w:cs="Times New Roman"/>
          <w:i/>
          <w:iCs/>
          <w:noProof/>
          <w:szCs w:val="24"/>
        </w:rPr>
        <w:t>Review of Marketing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(June), 51–78. https://doi.org/10.1108/S1548-6435(2012)0000009007</w:t>
      </w:r>
    </w:p>
    <w:p w14:paraId="51F8BA6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Strauss, A. (1985). Work and the division of labor. </w:t>
      </w:r>
      <w:r w:rsidRPr="00B75647">
        <w:rPr>
          <w:rFonts w:ascii="Times New Roman" w:hAnsi="Times New Roman" w:cs="Times New Roman"/>
          <w:i/>
          <w:iCs/>
          <w:noProof/>
          <w:szCs w:val="24"/>
        </w:rPr>
        <w:t>Sociological Quarterly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26</w:t>
      </w:r>
      <w:r w:rsidRPr="00B75647">
        <w:rPr>
          <w:rFonts w:ascii="Times New Roman" w:hAnsi="Times New Roman" w:cs="Times New Roman"/>
          <w:noProof/>
          <w:szCs w:val="24"/>
        </w:rPr>
        <w:t>(1), 1–19.</w:t>
      </w:r>
    </w:p>
    <w:p w14:paraId="4E13772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Strizhitskaya, O. (2019). </w:t>
      </w:r>
      <w:r w:rsidRPr="00B75647">
        <w:rPr>
          <w:rFonts w:ascii="Times New Roman" w:hAnsi="Times New Roman" w:cs="Times New Roman"/>
          <w:i/>
          <w:iCs/>
          <w:noProof/>
          <w:szCs w:val="24"/>
        </w:rPr>
        <w:t>Perceived Stress And Psychological Well-Being: The Role Of The Emotional Stability</w:t>
      </w:r>
      <w:r w:rsidRPr="00B75647">
        <w:rPr>
          <w:rFonts w:ascii="Times New Roman" w:hAnsi="Times New Roman" w:cs="Times New Roman"/>
          <w:noProof/>
          <w:szCs w:val="24"/>
        </w:rPr>
        <w:t>. 155–162. https://doi.org/10.15405/epsbs.2019.02.02.18</w:t>
      </w:r>
    </w:p>
    <w:p w14:paraId="5BCEF16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Sturts, A., &amp; Gupta, A. (2018). </w:t>
      </w:r>
      <w:r w:rsidRPr="00B75647">
        <w:rPr>
          <w:rFonts w:ascii="Times New Roman" w:hAnsi="Times New Roman" w:cs="Times New Roman"/>
          <w:i/>
          <w:iCs/>
          <w:noProof/>
          <w:szCs w:val="24"/>
        </w:rPr>
        <w:t>Wearable Fitness Tracking Improves Self-Efficacy for Exercise</w:t>
      </w:r>
      <w:r w:rsidRPr="00B75647">
        <w:rPr>
          <w:rFonts w:ascii="Times New Roman" w:hAnsi="Times New Roman" w:cs="Times New Roman"/>
          <w:noProof/>
          <w:szCs w:val="24"/>
        </w:rPr>
        <w:t>.</w:t>
      </w:r>
    </w:p>
    <w:p w14:paraId="2D10CFC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Su, C., Xu, Z., Pathak, J., &amp; Wang, F. (2020). Deep learning in mental health outcome research: a scoping review. </w:t>
      </w:r>
      <w:r w:rsidRPr="00B75647">
        <w:rPr>
          <w:rFonts w:ascii="Times New Roman" w:hAnsi="Times New Roman" w:cs="Times New Roman"/>
          <w:i/>
          <w:iCs/>
          <w:noProof/>
          <w:szCs w:val="24"/>
        </w:rPr>
        <w:t>Translational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(1). https://doi.org/10.1038/s41398-020-0780-3</w:t>
      </w:r>
    </w:p>
    <w:p w14:paraId="78FF84F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Surtees, P. G., Wainwright, N. W. J., Luben, R. N., Wareham, N. J., Bingham, S. A., &amp; Khaw, K.-T. (2008). Depression and ischemic heart disease mortality: evidence from the EPIC-Norfolk United Kingdom prospective cohort study. </w:t>
      </w:r>
      <w:r w:rsidRPr="00B75647">
        <w:rPr>
          <w:rFonts w:ascii="Times New Roman" w:hAnsi="Times New Roman" w:cs="Times New Roman"/>
          <w:i/>
          <w:iCs/>
          <w:noProof/>
          <w:szCs w:val="24"/>
        </w:rPr>
        <w:t>American Journal of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165</w:t>
      </w:r>
      <w:r w:rsidRPr="00B75647">
        <w:rPr>
          <w:rFonts w:ascii="Times New Roman" w:hAnsi="Times New Roman" w:cs="Times New Roman"/>
          <w:noProof/>
          <w:szCs w:val="24"/>
        </w:rPr>
        <w:t>(4), 515–523.</w:t>
      </w:r>
    </w:p>
    <w:p w14:paraId="7D9DE89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Taris, T., &amp; Schaufeli, W. (2015). Well-being and Performance at Work: A conceptual and theoretical overview. </w:t>
      </w:r>
      <w:r w:rsidRPr="00B75647">
        <w:rPr>
          <w:rFonts w:ascii="Times New Roman" w:hAnsi="Times New Roman" w:cs="Times New Roman"/>
          <w:i/>
          <w:iCs/>
          <w:noProof/>
          <w:szCs w:val="24"/>
        </w:rPr>
        <w:t>Well-Being and Performance at Work The Role of Context</w:t>
      </w:r>
      <w:r w:rsidRPr="00B75647">
        <w:rPr>
          <w:rFonts w:ascii="Times New Roman" w:hAnsi="Times New Roman" w:cs="Times New Roman"/>
          <w:noProof/>
          <w:szCs w:val="24"/>
        </w:rPr>
        <w:t>, 15–34.</w:t>
      </w:r>
    </w:p>
    <w:p w14:paraId="2DF13E2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Teegavarapu, S., Summers, J. D., &amp; Mocko, G. M. (2008). Case Study Method for Design Research: A Justification. </w:t>
      </w:r>
      <w:r w:rsidRPr="00B75647">
        <w:rPr>
          <w:rFonts w:ascii="Times New Roman" w:hAnsi="Times New Roman" w:cs="Times New Roman"/>
          <w:i/>
          <w:iCs/>
          <w:noProof/>
          <w:szCs w:val="24"/>
        </w:rPr>
        <w:t>International Design Engineering Technical Conferences and Computers and Information in Engineering Conference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43284</w:t>
      </w:r>
      <w:r w:rsidRPr="00B75647">
        <w:rPr>
          <w:rFonts w:ascii="Times New Roman" w:hAnsi="Times New Roman" w:cs="Times New Roman"/>
          <w:noProof/>
          <w:szCs w:val="24"/>
        </w:rPr>
        <w:t>, 495–503. https://doi.org/10.1115/DETC2008-49980</w:t>
      </w:r>
    </w:p>
    <w:p w14:paraId="1AEB234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Teigen, K. H. (1994). Yerkes-Dodson: A law for all seasons. </w:t>
      </w:r>
      <w:r w:rsidRPr="00B75647">
        <w:rPr>
          <w:rFonts w:ascii="Times New Roman" w:hAnsi="Times New Roman" w:cs="Times New Roman"/>
          <w:i/>
          <w:iCs/>
          <w:noProof/>
          <w:szCs w:val="24"/>
        </w:rPr>
        <w:t>Theory &amp;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(4), 525–547.</w:t>
      </w:r>
    </w:p>
    <w:p w14:paraId="49B5605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Temitope, O., Falebita, O., &amp; Oluwabunmi, A. (2019). Interactions/dynamics between employee wellbeing and organisational performance. </w:t>
      </w:r>
      <w:r w:rsidRPr="00B75647">
        <w:rPr>
          <w:rFonts w:ascii="Times New Roman" w:hAnsi="Times New Roman" w:cs="Times New Roman"/>
          <w:i/>
          <w:iCs/>
          <w:noProof/>
          <w:szCs w:val="24"/>
        </w:rPr>
        <w:t>International Journal of Scientific &amp; Engineering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w:t>
      </w:r>
      <w:r w:rsidRPr="00B75647">
        <w:rPr>
          <w:rFonts w:ascii="Times New Roman" w:hAnsi="Times New Roman" w:cs="Times New Roman"/>
          <w:noProof/>
          <w:szCs w:val="24"/>
        </w:rPr>
        <w:t>(12), 1720–1732.</w:t>
      </w:r>
    </w:p>
    <w:p w14:paraId="4E3CD12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Thaler, R. H., &amp; Sunstein, C. R. (2009). </w:t>
      </w:r>
      <w:r w:rsidRPr="00B75647">
        <w:rPr>
          <w:rFonts w:ascii="Times New Roman" w:hAnsi="Times New Roman" w:cs="Times New Roman"/>
          <w:i/>
          <w:iCs/>
          <w:noProof/>
          <w:szCs w:val="24"/>
        </w:rPr>
        <w:t>Nudge: Improving decisions about health, wealth, and happiness</w:t>
      </w:r>
      <w:r w:rsidRPr="00B75647">
        <w:rPr>
          <w:rFonts w:ascii="Times New Roman" w:hAnsi="Times New Roman" w:cs="Times New Roman"/>
          <w:noProof/>
          <w:szCs w:val="24"/>
        </w:rPr>
        <w:t>. Penguin.</w:t>
      </w:r>
    </w:p>
    <w:p w14:paraId="0E2FA05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Thaul, S., Lohr, K. N., &amp; Tranquada, R. E. (1994). </w:t>
      </w:r>
      <w:r w:rsidRPr="00B75647">
        <w:rPr>
          <w:rFonts w:ascii="Times New Roman" w:hAnsi="Times New Roman" w:cs="Times New Roman"/>
          <w:i/>
          <w:iCs/>
          <w:noProof/>
          <w:szCs w:val="24"/>
        </w:rPr>
        <w:t>Health services research: Opportunities for an expanding field of inquiry</w:t>
      </w:r>
      <w:r w:rsidRPr="00B75647">
        <w:rPr>
          <w:rFonts w:ascii="Times New Roman" w:hAnsi="Times New Roman" w:cs="Times New Roman"/>
          <w:noProof/>
          <w:szCs w:val="24"/>
        </w:rPr>
        <w:t>.</w:t>
      </w:r>
    </w:p>
    <w:p w14:paraId="542678F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The, A. F., Reijmerink, I., van der Laan, M., &amp; Cnossen, F. (2020). Heart rate variability as a measure of mental stress in surgery: a systematic review. </w:t>
      </w:r>
      <w:r w:rsidRPr="00B75647">
        <w:rPr>
          <w:rFonts w:ascii="Times New Roman" w:hAnsi="Times New Roman" w:cs="Times New Roman"/>
          <w:i/>
          <w:iCs/>
          <w:noProof/>
          <w:szCs w:val="24"/>
        </w:rPr>
        <w:t>International Archives of Occupational and Environmental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93</w:t>
      </w:r>
      <w:r w:rsidRPr="00B75647">
        <w:rPr>
          <w:rFonts w:ascii="Times New Roman" w:hAnsi="Times New Roman" w:cs="Times New Roman"/>
          <w:noProof/>
          <w:szCs w:val="24"/>
        </w:rPr>
        <w:t>(7), 805–821. https://doi.org/10.1007/s00420-020-01525-6</w:t>
      </w:r>
    </w:p>
    <w:p w14:paraId="62FBED1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Thieme, A., Belgrave, D., &amp; Doherty, G. (2020). Machine Learning in Mental Health: A systematic review of the HCI literature to support the development of effective and implementable ML Systems. </w:t>
      </w:r>
      <w:r w:rsidRPr="00B75647">
        <w:rPr>
          <w:rFonts w:ascii="Times New Roman" w:hAnsi="Times New Roman" w:cs="Times New Roman"/>
          <w:i/>
          <w:iCs/>
          <w:noProof/>
          <w:szCs w:val="24"/>
        </w:rPr>
        <w:t>ACM Transactions on Computer-Human Interaction</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27</w:t>
      </w:r>
      <w:r w:rsidRPr="00B75647">
        <w:rPr>
          <w:rFonts w:ascii="Times New Roman" w:hAnsi="Times New Roman" w:cs="Times New Roman"/>
          <w:noProof/>
          <w:szCs w:val="24"/>
        </w:rPr>
        <w:t>(5). https://doi.org/10.1145/3398069</w:t>
      </w:r>
    </w:p>
    <w:p w14:paraId="75C3056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Thimbleby, H. (2013). Technology and the future of healthcare. </w:t>
      </w:r>
      <w:r w:rsidRPr="00B75647">
        <w:rPr>
          <w:rFonts w:ascii="Times New Roman" w:hAnsi="Times New Roman" w:cs="Times New Roman"/>
          <w:i/>
          <w:iCs/>
          <w:noProof/>
          <w:szCs w:val="24"/>
        </w:rPr>
        <w:t>Journal of Public Health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(28).</w:t>
      </w:r>
    </w:p>
    <w:p w14:paraId="55B4661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Timakum, T., Xie, Q., &amp; Song, M. (2022). Analysis of E-mental health research: mapping the relationship between information technology and mental healthcare. </w:t>
      </w:r>
      <w:r w:rsidRPr="00B75647">
        <w:rPr>
          <w:rFonts w:ascii="Times New Roman" w:hAnsi="Times New Roman" w:cs="Times New Roman"/>
          <w:i/>
          <w:iCs/>
          <w:noProof/>
          <w:szCs w:val="24"/>
        </w:rPr>
        <w:t>BMC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(1), 1–17. https://doi.org/10.1186/s12888-022-03713-9</w:t>
      </w:r>
    </w:p>
    <w:p w14:paraId="04BE4AD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Tong, Z., Chen, X., He, Z., Tong, K., Fang, Z., &amp; Wang, X. (2018). Emotion Recognition Based on Photoplethysmogram and Electroencephalogram. </w:t>
      </w:r>
      <w:r w:rsidRPr="00B75647">
        <w:rPr>
          <w:rFonts w:ascii="Times New Roman" w:hAnsi="Times New Roman" w:cs="Times New Roman"/>
          <w:i/>
          <w:iCs/>
          <w:noProof/>
          <w:szCs w:val="24"/>
        </w:rPr>
        <w:t>Proceedings - International Computer Software and Applications Conference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 402–407. https://doi.org/10.1109/COMPSAC.2018.10266</w:t>
      </w:r>
    </w:p>
    <w:p w14:paraId="134AE27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Topp, C. W., Østergaard, S. D., Søndergaard, S., &amp; Bech, P. (2015). The WHO-5 well-being index: A systematic review of the literature. </w:t>
      </w:r>
      <w:r w:rsidRPr="00B75647">
        <w:rPr>
          <w:rFonts w:ascii="Times New Roman" w:hAnsi="Times New Roman" w:cs="Times New Roman"/>
          <w:i/>
          <w:iCs/>
          <w:noProof/>
          <w:szCs w:val="24"/>
        </w:rPr>
        <w:t>Psychotherapy and Psychosomatics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84</w:t>
      </w:r>
      <w:r w:rsidRPr="00B75647">
        <w:rPr>
          <w:rFonts w:ascii="Times New Roman" w:hAnsi="Times New Roman" w:cs="Times New Roman"/>
          <w:noProof/>
          <w:szCs w:val="24"/>
        </w:rPr>
        <w:t>(3), 167–176. https://doi.org/10.1159/000376585</w:t>
      </w:r>
    </w:p>
    <w:p w14:paraId="3ADDE0F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Tronvoll, B., Brown, S. W., Gremler, D. D., &amp; Edvardsson, B. (2011). Paradigms in service research. </w:t>
      </w:r>
      <w:r w:rsidRPr="00B75647">
        <w:rPr>
          <w:rFonts w:ascii="Times New Roman" w:hAnsi="Times New Roman" w:cs="Times New Roman"/>
          <w:i/>
          <w:iCs/>
          <w:noProof/>
          <w:szCs w:val="24"/>
        </w:rPr>
        <w:t>Journal of Service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(5), 560–585. https://doi.org/10.1108/09564231111174951</w:t>
      </w:r>
    </w:p>
    <w:p w14:paraId="6D0B59D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Trudel-Fitzgerald, C., Millstein, R. A., Von Hippel, C., Howe, C. J., Tomasso, L. P., Wagner, G. R., &amp; Vanderweele, T. J. (2019). Psychological well-being as part of the public health debate? Insight into dimensions, interventions, and policy. </w:t>
      </w:r>
      <w:r w:rsidRPr="00B75647">
        <w:rPr>
          <w:rFonts w:ascii="Times New Roman" w:hAnsi="Times New Roman" w:cs="Times New Roman"/>
          <w:i/>
          <w:iCs/>
          <w:noProof/>
          <w:szCs w:val="24"/>
        </w:rPr>
        <w:t>BMC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w:t>
      </w:r>
      <w:r w:rsidRPr="00B75647">
        <w:rPr>
          <w:rFonts w:ascii="Times New Roman" w:hAnsi="Times New Roman" w:cs="Times New Roman"/>
          <w:noProof/>
          <w:szCs w:val="24"/>
        </w:rPr>
        <w:t>(1), 1–11. https://doi.org/10.1186/s12889-019-8029-x</w:t>
      </w:r>
    </w:p>
    <w:p w14:paraId="678344B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Tupper, P., Boury, H., Yerlanov, M., &amp; Colijn, C. (2020). Event-specific interventions to minimize COVID-19 transmission. </w:t>
      </w:r>
      <w:r w:rsidRPr="00B75647">
        <w:rPr>
          <w:rFonts w:ascii="Times New Roman" w:hAnsi="Times New Roman" w:cs="Times New Roman"/>
          <w:i/>
          <w:iCs/>
          <w:noProof/>
          <w:szCs w:val="24"/>
        </w:rPr>
        <w:t>Proceedings of the National Academy of Sciences of the United States of America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117</w:t>
      </w:r>
      <w:r w:rsidRPr="00B75647">
        <w:rPr>
          <w:rFonts w:ascii="Times New Roman" w:hAnsi="Times New Roman" w:cs="Times New Roman"/>
          <w:noProof/>
          <w:szCs w:val="24"/>
        </w:rPr>
        <w:t>(50), 32038–32045. https://doi.org/10.1073/pnas.2019324117</w:t>
      </w:r>
    </w:p>
    <w:p w14:paraId="31F0A4D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Twenge, J. M., Joiner, T. E., Rogers, M. L., &amp; Martin, G. N. (2018). Increases in depressive symptoms, suicide-related outcomes, and suicide rates among US adolescents after 2010 and links to increased new media screen time. </w:t>
      </w:r>
      <w:r w:rsidRPr="00B75647">
        <w:rPr>
          <w:rFonts w:ascii="Times New Roman" w:hAnsi="Times New Roman" w:cs="Times New Roman"/>
          <w:i/>
          <w:iCs/>
          <w:noProof/>
          <w:szCs w:val="24"/>
        </w:rPr>
        <w:t>Clinical Psychological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(1), 3–17.</w:t>
      </w:r>
    </w:p>
    <w:p w14:paraId="77F1471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Tyng, C. M., Amin, H. U., Saad, M. N. M., &amp; Malik, A. S. (2017). The influences of emotion on learning and memory.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(AUG). https://doi.org/10.3389/fpsyg.2017.01454</w:t>
      </w:r>
    </w:p>
    <w:p w14:paraId="7E42106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 Agteren, J., Iasiello, M., Ali, K., Fassnacht, D. B., Furber, G., Woodyatt, L., Howard, A., &amp; Kyrios, M. (2021). Using the Intervention Mapping Approach to Develop a Mental Health Intervention: A Case Study on Improving the Reporting Standards for Developing Psychological Interventions. </w:t>
      </w:r>
      <w:r w:rsidRPr="00B75647">
        <w:rPr>
          <w:rFonts w:ascii="Times New Roman" w:hAnsi="Times New Roman" w:cs="Times New Roman"/>
          <w:i/>
          <w:iCs/>
          <w:noProof/>
          <w:szCs w:val="24"/>
        </w:rPr>
        <w:t>Frontiers in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12</w:t>
      </w:r>
      <w:r w:rsidRPr="00B75647">
        <w:rPr>
          <w:rFonts w:ascii="Times New Roman" w:hAnsi="Times New Roman" w:cs="Times New Roman"/>
          <w:noProof/>
          <w:szCs w:val="24"/>
        </w:rPr>
        <w:t>(October). https://doi.org/10.3389/fpsyg.2021.648678</w:t>
      </w:r>
    </w:p>
    <w:p w14:paraId="477C3CC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 Empelen, P., Otten, W., Molema, H., Keijsers, J., &amp; Mooij, R. (2016). Digital Health: Increasing the impact with personalized design. </w:t>
      </w:r>
      <w:r w:rsidRPr="00B75647">
        <w:rPr>
          <w:rFonts w:ascii="Times New Roman" w:hAnsi="Times New Roman" w:cs="Times New Roman"/>
          <w:i/>
          <w:iCs/>
          <w:noProof/>
          <w:szCs w:val="24"/>
        </w:rPr>
        <w:t>TNO Innovation for Life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November</w:t>
      </w:r>
      <w:r w:rsidRPr="00B75647">
        <w:rPr>
          <w:rFonts w:ascii="Times New Roman" w:hAnsi="Times New Roman" w:cs="Times New Roman"/>
          <w:noProof/>
          <w:szCs w:val="24"/>
        </w:rPr>
        <w:t>, 1–10.</w:t>
      </w:r>
    </w:p>
    <w:p w14:paraId="04344D6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 Hal, B., Rhodes, S., Dunne, B., &amp; Bossemeyer, R. (2014). Low-cost EEG-based sleep detection. </w:t>
      </w:r>
      <w:r w:rsidRPr="00B75647">
        <w:rPr>
          <w:rFonts w:ascii="Times New Roman" w:hAnsi="Times New Roman" w:cs="Times New Roman"/>
          <w:i/>
          <w:iCs/>
          <w:noProof/>
          <w:szCs w:val="24"/>
        </w:rPr>
        <w:t>Annual International Conference of the IEEE Engineering in Medicine and Biology Society. IEEE Engineering in Medicine and Biology Society. Annual International Conference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2014</w:t>
      </w:r>
      <w:r w:rsidRPr="00B75647">
        <w:rPr>
          <w:rFonts w:ascii="Times New Roman" w:hAnsi="Times New Roman" w:cs="Times New Roman"/>
          <w:noProof/>
          <w:szCs w:val="24"/>
        </w:rPr>
        <w:t>, 4571–4574. https://doi.org/10.1109/EMBC.2014.6944641</w:t>
      </w:r>
    </w:p>
    <w:p w14:paraId="658B0BB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 Kraaij, A. W. J., Schiavone, G., Lutin, E., Claes, S., &amp; van Hoof, C. (2020). Relationship between chronic stress and heart rate over time modulated by gender in a cohort of office workers: Cross-sectional study using wearable technologies. </w:t>
      </w:r>
      <w:r w:rsidRPr="00B75647">
        <w:rPr>
          <w:rFonts w:ascii="Times New Roman" w:hAnsi="Times New Roman" w:cs="Times New Roman"/>
          <w:i/>
          <w:iCs/>
          <w:noProof/>
          <w:szCs w:val="24"/>
        </w:rPr>
        <w:t>Journal of Medical Internet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22</w:t>
      </w:r>
      <w:r w:rsidRPr="00B75647">
        <w:rPr>
          <w:rFonts w:ascii="Times New Roman" w:hAnsi="Times New Roman" w:cs="Times New Roman"/>
          <w:noProof/>
          <w:szCs w:val="24"/>
        </w:rPr>
        <w:t>(9), 1–12. https://doi.org/10.2196/18253</w:t>
      </w:r>
    </w:p>
    <w:p w14:paraId="224E33E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 Rijn, J. N., &amp; Hutter, F. (2017). An empirical study of hyperparameter importance across datasets. </w:t>
      </w:r>
      <w:r w:rsidRPr="00B75647">
        <w:rPr>
          <w:rFonts w:ascii="Times New Roman" w:hAnsi="Times New Roman" w:cs="Times New Roman"/>
          <w:i/>
          <w:iCs/>
          <w:noProof/>
          <w:szCs w:val="24"/>
        </w:rPr>
        <w:t>CEUR Workshop Proceedings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1998</w:t>
      </w:r>
      <w:r w:rsidRPr="00B75647">
        <w:rPr>
          <w:rFonts w:ascii="Times New Roman" w:hAnsi="Times New Roman" w:cs="Times New Roman"/>
          <w:noProof/>
          <w:szCs w:val="24"/>
        </w:rPr>
        <w:t>.</w:t>
      </w:r>
    </w:p>
    <w:p w14:paraId="2D2990B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Vandervoort, D. (1995). </w:t>
      </w:r>
      <w:r w:rsidRPr="00B75647">
        <w:rPr>
          <w:rFonts w:ascii="Times New Roman" w:hAnsi="Times New Roman" w:cs="Times New Roman"/>
          <w:i/>
          <w:iCs/>
          <w:noProof/>
          <w:szCs w:val="24"/>
        </w:rPr>
        <w:t>Depression , Anxiety , Hostility , and Physical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13</w:t>
      </w:r>
      <w:r w:rsidRPr="00B75647">
        <w:rPr>
          <w:rFonts w:ascii="Times New Roman" w:hAnsi="Times New Roman" w:cs="Times New Roman"/>
          <w:noProof/>
          <w:szCs w:val="24"/>
        </w:rPr>
        <w:t>(4), 69–82.</w:t>
      </w:r>
    </w:p>
    <w:p w14:paraId="2EA0882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Koskela-huotari, K., &amp; Vink, J. (2020). </w:t>
      </w:r>
      <w:r w:rsidRPr="00B75647">
        <w:rPr>
          <w:rFonts w:ascii="Times New Roman" w:hAnsi="Times New Roman" w:cs="Times New Roman"/>
          <w:i/>
          <w:iCs/>
          <w:noProof/>
          <w:szCs w:val="24"/>
        </w:rPr>
        <w:t>Service-Dominant Logic : Foundations and Applications</w:t>
      </w:r>
      <w:r w:rsidRPr="00B75647">
        <w:rPr>
          <w:rFonts w:ascii="Times New Roman" w:hAnsi="Times New Roman" w:cs="Times New Roman"/>
          <w:noProof/>
          <w:szCs w:val="24"/>
        </w:rPr>
        <w:t xml:space="preserve"> (Issue April).</w:t>
      </w:r>
    </w:p>
    <w:p w14:paraId="5F932BC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&amp; Lusch, R. F. (2008). Service-dominant logic: continuing the evolution.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36</w:t>
      </w:r>
      <w:r w:rsidRPr="00B75647">
        <w:rPr>
          <w:rFonts w:ascii="Times New Roman" w:hAnsi="Times New Roman" w:cs="Times New Roman"/>
          <w:noProof/>
          <w:szCs w:val="24"/>
        </w:rPr>
        <w:t>(1), 1–10.</w:t>
      </w:r>
    </w:p>
    <w:p w14:paraId="2C048B8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&amp; Lusch, R. F. (2010a). From Repeat Patronage to Value Co-creation in Service Ecosystems: A Transcending Conceptualization of Relationship. </w:t>
      </w:r>
      <w:r w:rsidRPr="00B75647">
        <w:rPr>
          <w:rFonts w:ascii="Times New Roman" w:hAnsi="Times New Roman" w:cs="Times New Roman"/>
          <w:i/>
          <w:iCs/>
          <w:noProof/>
          <w:szCs w:val="24"/>
        </w:rPr>
        <w:t>Journal of Business Market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(4), 169–179. https://doi.org/10.1007/s12087-010-0046-0</w:t>
      </w:r>
    </w:p>
    <w:p w14:paraId="456980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&amp; Lusch, R. F. (2010b). </w:t>
      </w:r>
      <w:r w:rsidRPr="00B75647">
        <w:rPr>
          <w:rFonts w:ascii="Times New Roman" w:hAnsi="Times New Roman" w:cs="Times New Roman"/>
          <w:i/>
          <w:iCs/>
          <w:noProof/>
          <w:szCs w:val="24"/>
        </w:rPr>
        <w:t>Handbook of Service Science: Vol. II</w:t>
      </w:r>
      <w:r w:rsidRPr="00B75647">
        <w:rPr>
          <w:rFonts w:ascii="Times New Roman" w:hAnsi="Times New Roman" w:cs="Times New Roman"/>
          <w:noProof/>
          <w:szCs w:val="24"/>
        </w:rPr>
        <w:t xml:space="preserve"> (Issue 2008). https://doi.org/10.1007/978-1-4419-1628-0</w:t>
      </w:r>
    </w:p>
    <w:p w14:paraId="7B61590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&amp; Lusch, R. F. (2011). It’s all B2B...and beyond: Toward a systems perspective of the market. </w:t>
      </w:r>
      <w:r w:rsidRPr="00B75647">
        <w:rPr>
          <w:rFonts w:ascii="Times New Roman" w:hAnsi="Times New Roman" w:cs="Times New Roman"/>
          <w:i/>
          <w:iCs/>
          <w:noProof/>
          <w:szCs w:val="24"/>
        </w:rPr>
        <w:t>Industrial Marketing Management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40</w:t>
      </w:r>
      <w:r w:rsidRPr="00B75647">
        <w:rPr>
          <w:rFonts w:ascii="Times New Roman" w:hAnsi="Times New Roman" w:cs="Times New Roman"/>
          <w:noProof/>
          <w:szCs w:val="24"/>
        </w:rPr>
        <w:t>(2), 181–187. https://doi.org/10.1016/j.indmarman.2010.06.026</w:t>
      </w:r>
    </w:p>
    <w:p w14:paraId="60A1E64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L., &amp; Lusch, R. F. (2016). Institutions and axioms: an extension and update of service-dominant logic.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44</w:t>
      </w:r>
      <w:r w:rsidRPr="00B75647">
        <w:rPr>
          <w:rFonts w:ascii="Times New Roman" w:hAnsi="Times New Roman" w:cs="Times New Roman"/>
          <w:noProof/>
          <w:szCs w:val="24"/>
        </w:rPr>
        <w:t>(1), 5–23. https://doi.org/10.1007/s11747-015-0456-3</w:t>
      </w:r>
    </w:p>
    <w:p w14:paraId="3E0CA94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Vargo, S., &amp; Lusch, R. (2006). Service-dominant logic: What it is, What it is not, What it might be. The service dominant logic of marketing: Dialog debate and directions. </w:t>
      </w:r>
      <w:r w:rsidRPr="00B75647">
        <w:rPr>
          <w:rFonts w:ascii="Times New Roman" w:hAnsi="Times New Roman" w:cs="Times New Roman"/>
          <w:i/>
          <w:iCs/>
          <w:noProof/>
          <w:szCs w:val="24"/>
        </w:rPr>
        <w:t>Journal of the Academy of Marketing Science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w:t>
      </w:r>
      <w:r w:rsidRPr="00B75647">
        <w:rPr>
          <w:rFonts w:ascii="Times New Roman" w:hAnsi="Times New Roman" w:cs="Times New Roman"/>
          <w:noProof/>
          <w:szCs w:val="24"/>
        </w:rPr>
        <w:t>(3), 281–288.</w:t>
      </w:r>
    </w:p>
    <w:p w14:paraId="06C7076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Velten, J., Bieda, A., Scholten, S., Wannemüller, A., &amp; Margraf, J. (2018). Lifestyle choices and mental health: A longitudinal survey with German and Chinese students. </w:t>
      </w:r>
      <w:r w:rsidRPr="00B75647">
        <w:rPr>
          <w:rFonts w:ascii="Times New Roman" w:hAnsi="Times New Roman" w:cs="Times New Roman"/>
          <w:i/>
          <w:iCs/>
          <w:noProof/>
          <w:szCs w:val="24"/>
        </w:rPr>
        <w:t>BMC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1–15. https://doi.org/10.1186/s12889-018-5526-2</w:t>
      </w:r>
    </w:p>
    <w:p w14:paraId="1C74930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Velten, J., Lavallee, K. L., Scholten, S., Meyer, A. H., Zhang, X., &amp; Schneider, S. (2014). </w:t>
      </w:r>
      <w:r w:rsidRPr="00B75647">
        <w:rPr>
          <w:rFonts w:ascii="Times New Roman" w:hAnsi="Times New Roman" w:cs="Times New Roman"/>
          <w:i/>
          <w:iCs/>
          <w:noProof/>
          <w:szCs w:val="24"/>
        </w:rPr>
        <w:t>Lifestyle choices and mental health : a representative population survey</w:t>
      </w:r>
      <w:r w:rsidRPr="00B75647">
        <w:rPr>
          <w:rFonts w:ascii="Times New Roman" w:hAnsi="Times New Roman" w:cs="Times New Roman"/>
          <w:noProof/>
          <w:szCs w:val="24"/>
        </w:rPr>
        <w:t>. 1–11. https://doi.org/10.1186/s40359-014-0055-y</w:t>
      </w:r>
    </w:p>
    <w:p w14:paraId="3F39306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Vermesan, O., Friess, P., Guillemin, P., Sundmaeker, H., Eisenhauer, M., Moessner, K., Arndt, M., Spirito, M., Medagliani, P., Giaffreda, R., Gusmeroli, S., Ladid, L., Serrano, M., Hauswirth, M., &amp; Baldini, G. (2014). Internet of Things strategic research and innovation Agenda. </w:t>
      </w:r>
      <w:r w:rsidRPr="00B75647">
        <w:rPr>
          <w:rFonts w:ascii="Times New Roman" w:hAnsi="Times New Roman" w:cs="Times New Roman"/>
          <w:i/>
          <w:iCs/>
          <w:noProof/>
          <w:szCs w:val="24"/>
        </w:rPr>
        <w:t>Internet of Things Applications: From Research and Innovation to Market Deployment</w:t>
      </w:r>
      <w:r w:rsidRPr="00B75647">
        <w:rPr>
          <w:rFonts w:ascii="Times New Roman" w:hAnsi="Times New Roman" w:cs="Times New Roman"/>
          <w:noProof/>
          <w:szCs w:val="24"/>
        </w:rPr>
        <w:t>, 7–142.</w:t>
      </w:r>
    </w:p>
    <w:p w14:paraId="10020C5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Vlaev, I., King, D., Dolan, P., &amp; Darzi, A. (2016). The Theory and Practice of “Nudging”: Changing Health Behaviors. </w:t>
      </w:r>
      <w:r w:rsidRPr="00B75647">
        <w:rPr>
          <w:rFonts w:ascii="Times New Roman" w:hAnsi="Times New Roman" w:cs="Times New Roman"/>
          <w:i/>
          <w:iCs/>
          <w:noProof/>
          <w:szCs w:val="24"/>
        </w:rPr>
        <w:t>Public Administration Review</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76</w:t>
      </w:r>
      <w:r w:rsidRPr="00B75647">
        <w:rPr>
          <w:rFonts w:ascii="Times New Roman" w:hAnsi="Times New Roman" w:cs="Times New Roman"/>
          <w:noProof/>
          <w:szCs w:val="24"/>
        </w:rPr>
        <w:t>(4), 550–561. https://doi.org/10.1111/puar.12564</w:t>
      </w:r>
    </w:p>
    <w:p w14:paraId="399F952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Wang, C., Tee, M., Roy, A. E., Fardin, M. A., Srichokchatchawan, W., Habib, H. A., Tran, B. X., Hussain, S., Hoang, M. T., Le, X. T., Ma, W., Pham, H. Q., Shirazi, M., Taneepanichskul, N., Tan, Y., Tee, C., Xu, L., Xu, Z., Vu, G. T., … Kuruchittham, V. (2021). The impact of COVID-19 pandemic on physical and mental health of Asians: A study of seven middle-income countries in Asia. </w:t>
      </w:r>
      <w:r w:rsidRPr="00B75647">
        <w:rPr>
          <w:rFonts w:ascii="Times New Roman" w:hAnsi="Times New Roman" w:cs="Times New Roman"/>
          <w:i/>
          <w:iCs/>
          <w:noProof/>
          <w:szCs w:val="24"/>
        </w:rPr>
        <w:t>PLoS ONE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(2 Febuary), 1–20. https://doi.org/10.1371/journal.pone.0246824</w:t>
      </w:r>
    </w:p>
    <w:p w14:paraId="3A29100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Wang, Weijie, &amp; Lu, Y. (2018). Analysis of the Mean Absolute Error (MAE) and the Root Mean Square Error (RMSE) in Assessing Rounding Model. </w:t>
      </w:r>
      <w:r w:rsidRPr="00B75647">
        <w:rPr>
          <w:rFonts w:ascii="Times New Roman" w:hAnsi="Times New Roman" w:cs="Times New Roman"/>
          <w:i/>
          <w:iCs/>
          <w:noProof/>
          <w:szCs w:val="24"/>
        </w:rPr>
        <w:t>IOP Conference Series: Materials Science and Engineering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324</w:t>
      </w:r>
      <w:r w:rsidRPr="00B75647">
        <w:rPr>
          <w:rFonts w:ascii="Times New Roman" w:hAnsi="Times New Roman" w:cs="Times New Roman"/>
          <w:noProof/>
          <w:szCs w:val="24"/>
        </w:rPr>
        <w:t>(1). https://doi.org/10.1088/1757-899X/324/1/012049</w:t>
      </w:r>
    </w:p>
    <w:p w14:paraId="545955E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Wang, Weiyu, &amp; Siau, K. (2019). Potential Impact of Artificial Intelligence on Mental Well-Being. </w:t>
      </w:r>
      <w:r w:rsidRPr="00B75647">
        <w:rPr>
          <w:rFonts w:ascii="Times New Roman" w:hAnsi="Times New Roman" w:cs="Times New Roman"/>
          <w:i/>
          <w:iCs/>
          <w:noProof/>
          <w:szCs w:val="24"/>
        </w:rPr>
        <w:t>AMCIS 2019 Proceedings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August</w:t>
      </w:r>
      <w:r w:rsidRPr="00B75647">
        <w:rPr>
          <w:rFonts w:ascii="Times New Roman" w:hAnsi="Times New Roman" w:cs="Times New Roman"/>
          <w:noProof/>
          <w:szCs w:val="24"/>
        </w:rPr>
        <w:t>. https://aisel.aisnet.org/amcis2019/treo/treos/73</w:t>
      </w:r>
    </w:p>
    <w:p w14:paraId="02416BF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Wang, X., Li, H., Sun, C., Zhang, X., Wang, T., Dong, C., &amp; Guo, D. (2021). Prediction of Mental Health in Medical Workers During COVID-19 Based on Machine Learning. </w:t>
      </w:r>
      <w:r w:rsidRPr="00B75647">
        <w:rPr>
          <w:rFonts w:ascii="Times New Roman" w:hAnsi="Times New Roman" w:cs="Times New Roman"/>
          <w:i/>
          <w:iCs/>
          <w:noProof/>
          <w:szCs w:val="24"/>
        </w:rPr>
        <w:t>Frontiers in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(September), 1–13. https://doi.org/10.3389/fpubh.2021.697850</w:t>
      </w:r>
    </w:p>
    <w:p w14:paraId="22D6BB0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Warr, P. (2012). How to think about and measure psychological well-being. In </w:t>
      </w:r>
      <w:r w:rsidRPr="00B75647">
        <w:rPr>
          <w:rFonts w:ascii="Times New Roman" w:hAnsi="Times New Roman" w:cs="Times New Roman"/>
          <w:i/>
          <w:iCs/>
          <w:noProof/>
          <w:szCs w:val="24"/>
        </w:rPr>
        <w:t>Research methods in occupational health psychology</w:t>
      </w:r>
      <w:r w:rsidRPr="00B75647">
        <w:rPr>
          <w:rFonts w:ascii="Times New Roman" w:hAnsi="Times New Roman" w:cs="Times New Roman"/>
          <w:noProof/>
          <w:szCs w:val="24"/>
        </w:rPr>
        <w:t xml:space="preserve"> (pp. 100–114). Routledge.</w:t>
      </w:r>
    </w:p>
    <w:p w14:paraId="22D25B3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Watson, D., &amp; Clark, L. A. (1997). Measurement and mismeasurement of mood: recurrent and emergent issues. </w:t>
      </w:r>
      <w:r w:rsidRPr="00B75647">
        <w:rPr>
          <w:rFonts w:ascii="Times New Roman" w:hAnsi="Times New Roman" w:cs="Times New Roman"/>
          <w:i/>
          <w:iCs/>
          <w:noProof/>
          <w:szCs w:val="24"/>
        </w:rPr>
        <w:t>Journal of Personality Assessment</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68</w:t>
      </w:r>
      <w:r w:rsidRPr="00B75647">
        <w:rPr>
          <w:rFonts w:ascii="Times New Roman" w:hAnsi="Times New Roman" w:cs="Times New Roman"/>
          <w:noProof/>
          <w:szCs w:val="24"/>
        </w:rPr>
        <w:t>(2), 267–296. https://doi.org/10.1207/s15327752jpa6802_4</w:t>
      </w:r>
    </w:p>
    <w:p w14:paraId="7B01D24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Weerasinghe, T. D., &amp; Dilhara, M. G. D. (2018). Effect of Work Stress on Work Life Balance: Moderating Role of Work-Life Support Organizational Culture in Sri Lanka Customs Department. </w:t>
      </w:r>
      <w:r w:rsidRPr="00B75647">
        <w:rPr>
          <w:rFonts w:ascii="Times New Roman" w:hAnsi="Times New Roman" w:cs="Times New Roman"/>
          <w:i/>
          <w:iCs/>
          <w:noProof/>
          <w:szCs w:val="24"/>
        </w:rPr>
        <w:t>Kalyani: Journal of the University of Kelaniya</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(1–2), 46. https://doi.org/10.4038/kalyani.v32i1-2.26</w:t>
      </w:r>
    </w:p>
    <w:p w14:paraId="0FEDA9D8"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Wei, T. Y., Chang, D. W., Liu, Y. De, Liu, C. W., Young, C. P., Liang, S. F., &amp; Shaw, F. Z. (2017). Portable wireless neurofeedback system of EEG alpha rhythm enhances memory. </w:t>
      </w:r>
      <w:r w:rsidRPr="00B75647">
        <w:rPr>
          <w:rFonts w:ascii="Times New Roman" w:hAnsi="Times New Roman" w:cs="Times New Roman"/>
          <w:i/>
          <w:iCs/>
          <w:noProof/>
          <w:szCs w:val="24"/>
        </w:rPr>
        <w:t>BioMedical Engineering Online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(1), 1–18. https://doi.org/10.1186/s12938-017-0418-8</w:t>
      </w:r>
    </w:p>
    <w:p w14:paraId="2B997D3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Welltory. (2022). </w:t>
      </w:r>
      <w:r w:rsidRPr="00B75647">
        <w:rPr>
          <w:rFonts w:ascii="Times New Roman" w:hAnsi="Times New Roman" w:cs="Times New Roman"/>
          <w:i/>
          <w:iCs/>
          <w:noProof/>
          <w:szCs w:val="24"/>
        </w:rPr>
        <w:t>Science behind Welltory</w:t>
      </w:r>
      <w:r w:rsidRPr="00B75647">
        <w:rPr>
          <w:rFonts w:ascii="Times New Roman" w:hAnsi="Times New Roman" w:cs="Times New Roman"/>
          <w:noProof/>
          <w:szCs w:val="24"/>
        </w:rPr>
        <w:t>. https://welltory.com/science/</w:t>
      </w:r>
    </w:p>
    <w:p w14:paraId="3A6668B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Wersebe, H., Lieb, R., Meyer, A. H., Hofer, P., &amp; Gloster, A. T. (2018a). The link between stress, well-being, and psychological flexibility during an Acceptance and Commitment Therapy self-help intervention. </w:t>
      </w:r>
      <w:r w:rsidRPr="00B75647">
        <w:rPr>
          <w:rFonts w:ascii="Times New Roman" w:hAnsi="Times New Roman" w:cs="Times New Roman"/>
          <w:i/>
          <w:iCs/>
          <w:noProof/>
          <w:szCs w:val="24"/>
        </w:rPr>
        <w:t>International Journal of Clinical and Health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60–68. https://doi.org/10.1016/j.ijchp.2017.09.002</w:t>
      </w:r>
    </w:p>
    <w:p w14:paraId="05CC59B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Wersebe, H., Lieb, R., Meyer, A. H., Hofer, P., &amp; Gloster, A. T. (2018b). The link between stress, well-being, and psychological flexibility during an Acceptance and Commitment Therapy self-help intervention. </w:t>
      </w:r>
      <w:r w:rsidRPr="00B75647">
        <w:rPr>
          <w:rFonts w:ascii="Times New Roman" w:hAnsi="Times New Roman" w:cs="Times New Roman"/>
          <w:i/>
          <w:iCs/>
          <w:noProof/>
          <w:szCs w:val="24"/>
        </w:rPr>
        <w:t>International Journal of Clinical and Health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(1), 60–68. https://doi.org/10.1016/j.ijchp.2017.09.002</w:t>
      </w:r>
    </w:p>
    <w:p w14:paraId="0B99EF5D"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Weziak-Bialowolska, D., Bialowolski, P., Sacco, P. L., VanderWeele, T. J., &amp; McNeely, E. (2020). Well-Being in Life and Well-Being at Work: Which Comes First? Evidence From a Longitudinal Study. </w:t>
      </w:r>
      <w:r w:rsidRPr="00B75647">
        <w:rPr>
          <w:rFonts w:ascii="Times New Roman" w:hAnsi="Times New Roman" w:cs="Times New Roman"/>
          <w:i/>
          <w:iCs/>
          <w:noProof/>
          <w:szCs w:val="24"/>
        </w:rPr>
        <w:t>Frontiers in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8</w:t>
      </w:r>
      <w:r w:rsidRPr="00B75647">
        <w:rPr>
          <w:rFonts w:ascii="Times New Roman" w:hAnsi="Times New Roman" w:cs="Times New Roman"/>
          <w:noProof/>
          <w:szCs w:val="24"/>
        </w:rPr>
        <w:t>(April), 1–12. https://doi.org/10.3389/fpubh.2020.00103</w:t>
      </w:r>
    </w:p>
    <w:p w14:paraId="2B80734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WHO. (2005). </w:t>
      </w:r>
      <w:r w:rsidRPr="00B75647">
        <w:rPr>
          <w:rFonts w:ascii="Times New Roman" w:hAnsi="Times New Roman" w:cs="Times New Roman"/>
          <w:i/>
          <w:iCs/>
          <w:noProof/>
          <w:szCs w:val="24"/>
        </w:rPr>
        <w:t>Mental health Atlas 2005</w:t>
      </w:r>
      <w:r w:rsidRPr="00B75647">
        <w:rPr>
          <w:rFonts w:ascii="Times New Roman" w:hAnsi="Times New Roman" w:cs="Times New Roman"/>
          <w:noProof/>
          <w:szCs w:val="24"/>
        </w:rPr>
        <w:t>. World Health Organization.</w:t>
      </w:r>
    </w:p>
    <w:p w14:paraId="79D2BF2E"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Wilckens, M., &amp; Hall, M. (2015). Can Well-Being Be Predicted? A Machine Learning Approach. </w:t>
      </w:r>
      <w:r w:rsidRPr="00B75647">
        <w:rPr>
          <w:rFonts w:ascii="Times New Roman" w:hAnsi="Times New Roman" w:cs="Times New Roman"/>
          <w:i/>
          <w:iCs/>
          <w:noProof/>
          <w:szCs w:val="24"/>
        </w:rPr>
        <w:t>SSRN Electronic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December</w:t>
      </w:r>
      <w:r w:rsidRPr="00B75647">
        <w:rPr>
          <w:rFonts w:ascii="Times New Roman" w:hAnsi="Times New Roman" w:cs="Times New Roman"/>
          <w:noProof/>
          <w:szCs w:val="24"/>
        </w:rPr>
        <w:t>. https://doi.org/10.2139/ssrn.2562051</w:t>
      </w:r>
    </w:p>
    <w:p w14:paraId="24FD52D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Winefield, H. R., Gill, T. K., Taylor, A. W., &amp; Pilkington, R. M. (2012). Psychological well-being and psychological distress: is it necessary to measure both? </w:t>
      </w:r>
      <w:r w:rsidRPr="00B75647">
        <w:rPr>
          <w:rFonts w:ascii="Times New Roman" w:hAnsi="Times New Roman" w:cs="Times New Roman"/>
          <w:i/>
          <w:iCs/>
          <w:noProof/>
          <w:szCs w:val="24"/>
        </w:rPr>
        <w:t>Psychology of Well-Being: Theory, Research and Practice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w:t>
      </w:r>
      <w:r w:rsidRPr="00B75647">
        <w:rPr>
          <w:rFonts w:ascii="Times New Roman" w:hAnsi="Times New Roman" w:cs="Times New Roman"/>
          <w:noProof/>
          <w:szCs w:val="24"/>
        </w:rPr>
        <w:t>(1), 3. https://doi.org/10.1186/2211-1522-2-3</w:t>
      </w:r>
    </w:p>
    <w:p w14:paraId="25605AE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Wittkowski, K., Klein, J. F., Falk, T., Schepers, J. J. L., Aspara, J., &amp; Bergner, K. N. (2020). What Gets Measured Gets Done: Can Self-Tracking Technologies Enhance Advice Compliance? </w:t>
      </w:r>
      <w:r w:rsidRPr="00B75647">
        <w:rPr>
          <w:rFonts w:ascii="Times New Roman" w:hAnsi="Times New Roman" w:cs="Times New Roman"/>
          <w:i/>
          <w:iCs/>
          <w:noProof/>
          <w:szCs w:val="24"/>
        </w:rPr>
        <w:t>Journal of Service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23</w:t>
      </w:r>
      <w:r w:rsidRPr="00B75647">
        <w:rPr>
          <w:rFonts w:ascii="Times New Roman" w:hAnsi="Times New Roman" w:cs="Times New Roman"/>
          <w:noProof/>
          <w:szCs w:val="24"/>
        </w:rPr>
        <w:t>(3), 281–298. https://doi.org/10.1177/1094670520904424</w:t>
      </w:r>
    </w:p>
    <w:p w14:paraId="7C8B098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Wójcik, G. M., Wierzgała, P., &amp; Gajos, A. (2015). Evaluation of Emotiv EEG neuroheadset. </w:t>
      </w:r>
      <w:r w:rsidRPr="00B75647">
        <w:rPr>
          <w:rFonts w:ascii="Times New Roman" w:hAnsi="Times New Roman" w:cs="Times New Roman"/>
          <w:i/>
          <w:iCs/>
          <w:noProof/>
          <w:szCs w:val="24"/>
        </w:rPr>
        <w:t>Bio-Algorithms and Med-Systems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11</w:t>
      </w:r>
      <w:r w:rsidRPr="00B75647">
        <w:rPr>
          <w:rFonts w:ascii="Times New Roman" w:hAnsi="Times New Roman" w:cs="Times New Roman"/>
          <w:noProof/>
          <w:szCs w:val="24"/>
        </w:rPr>
        <w:t>(4), 211–215. https://doi.org/doi:10.1515/bams-2015-0026</w:t>
      </w:r>
    </w:p>
    <w:p w14:paraId="7CF89AA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Woodend, A., Schölmerich, V., &amp; Denktas, S. (2015). “Nudges” to prevent behavioral risk factors associated with major depressive disorder. </w:t>
      </w:r>
      <w:r w:rsidRPr="00B75647">
        <w:rPr>
          <w:rFonts w:ascii="Times New Roman" w:hAnsi="Times New Roman" w:cs="Times New Roman"/>
          <w:i/>
          <w:iCs/>
          <w:noProof/>
          <w:szCs w:val="24"/>
        </w:rPr>
        <w:t>American Journal of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105</w:t>
      </w:r>
      <w:r w:rsidRPr="00B75647">
        <w:rPr>
          <w:rFonts w:ascii="Times New Roman" w:hAnsi="Times New Roman" w:cs="Times New Roman"/>
          <w:noProof/>
          <w:szCs w:val="24"/>
        </w:rPr>
        <w:t>(11), 2318–2321. https://doi.org/10.2105/AJPH.2015.302820</w:t>
      </w:r>
    </w:p>
    <w:p w14:paraId="68524EE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Woods, M., Paulus, T., Atkins, D. P., &amp; Macklin, R. (2016). Advancing Qualitative Research Using Qualitative Data Analysis Software QDAS? </w:t>
      </w:r>
      <w:r w:rsidRPr="00B75647">
        <w:rPr>
          <w:rFonts w:ascii="Times New Roman" w:hAnsi="Times New Roman" w:cs="Times New Roman"/>
          <w:i/>
          <w:iCs/>
          <w:noProof/>
          <w:szCs w:val="24"/>
        </w:rPr>
        <w:t>Soc. Sci. Comput. Rev.</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34</w:t>
      </w:r>
      <w:r w:rsidRPr="00B75647">
        <w:rPr>
          <w:rFonts w:ascii="Times New Roman" w:hAnsi="Times New Roman" w:cs="Times New Roman"/>
          <w:noProof/>
          <w:szCs w:val="24"/>
        </w:rPr>
        <w:t>(5), 597–617. https://doi.org/10.1177/0894439315596311</w:t>
      </w:r>
    </w:p>
    <w:p w14:paraId="38A9404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Woodward, K., Kanjo, E., Brown, D., McGinnity, T. M., Inkster, B., MacIntyre, D., &amp; Tsanas, T. (2020). Beyond Mobile Apps: a Survey of Technologies for Mental Well-being. </w:t>
      </w:r>
      <w:r w:rsidRPr="00B75647">
        <w:rPr>
          <w:rFonts w:ascii="Times New Roman" w:hAnsi="Times New Roman" w:cs="Times New Roman"/>
          <w:i/>
          <w:iCs/>
          <w:noProof/>
          <w:szCs w:val="24"/>
        </w:rPr>
        <w:t>IEEE Transactions on Affective Computing</w:t>
      </w:r>
      <w:r w:rsidRPr="00B75647">
        <w:rPr>
          <w:rFonts w:ascii="Times New Roman" w:hAnsi="Times New Roman" w:cs="Times New Roman"/>
          <w:noProof/>
          <w:szCs w:val="24"/>
        </w:rPr>
        <w:t>, 1–20. https://doi.org/10.1109/TAFFC.2020.3015018</w:t>
      </w:r>
    </w:p>
    <w:p w14:paraId="50145151"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World Health Organization. (2004). </w:t>
      </w:r>
      <w:r w:rsidRPr="00B75647">
        <w:rPr>
          <w:rFonts w:ascii="Times New Roman" w:hAnsi="Times New Roman" w:cs="Times New Roman"/>
          <w:i/>
          <w:iCs/>
          <w:noProof/>
          <w:szCs w:val="24"/>
        </w:rPr>
        <w:t>Promoting mental health: Concepts, emerging evidence, practice</w:t>
      </w:r>
      <w:r w:rsidRPr="00B75647">
        <w:rPr>
          <w:rFonts w:ascii="Times New Roman" w:hAnsi="Times New Roman" w:cs="Times New Roman"/>
          <w:noProof/>
          <w:szCs w:val="24"/>
        </w:rPr>
        <w:t>. World Health Organization.</w:t>
      </w:r>
    </w:p>
    <w:p w14:paraId="3680629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World Health Organization. (2017). </w:t>
      </w:r>
      <w:r w:rsidRPr="00B75647">
        <w:rPr>
          <w:rFonts w:ascii="Times New Roman" w:hAnsi="Times New Roman" w:cs="Times New Roman"/>
          <w:i/>
          <w:iCs/>
          <w:noProof/>
          <w:szCs w:val="24"/>
        </w:rPr>
        <w:t>Depression and Other Common Mental Disorders</w:t>
      </w:r>
      <w:r w:rsidRPr="00B75647">
        <w:rPr>
          <w:rFonts w:ascii="Times New Roman" w:hAnsi="Times New Roman" w:cs="Times New Roman"/>
          <w:noProof/>
          <w:szCs w:val="24"/>
        </w:rPr>
        <w:t>. https://apps.who.int/iris/bitstream/handle/10665/254610/WHO-MSD-MER-2017.2-eng.pdf</w:t>
      </w:r>
    </w:p>
    <w:p w14:paraId="7654519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Wu, J., Chen, X. Y., Zhang, H., Xiong, L. D., Lei, H., &amp; Deng, S. H. (2019). Hyperparameter optimization for machine learning models based on Bayesian optimization. </w:t>
      </w:r>
      <w:r w:rsidRPr="00B75647">
        <w:rPr>
          <w:rFonts w:ascii="Times New Roman" w:hAnsi="Times New Roman" w:cs="Times New Roman"/>
          <w:i/>
          <w:iCs/>
          <w:noProof/>
          <w:szCs w:val="24"/>
        </w:rPr>
        <w:t>Journal of Electronic Science and Technology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17</w:t>
      </w:r>
      <w:r w:rsidRPr="00B75647">
        <w:rPr>
          <w:rFonts w:ascii="Times New Roman" w:hAnsi="Times New Roman" w:cs="Times New Roman"/>
          <w:noProof/>
          <w:szCs w:val="24"/>
        </w:rPr>
        <w:t>(1), 26–40. https://doi.org/10.11989/JEST.1674-862X.80904120</w:t>
      </w:r>
    </w:p>
    <w:p w14:paraId="1BC9FF6B"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Wünderlich, N. V, Heinonen, K., Ostrom, A. L., Patricio, L., Sousa, R., Voss, C., &amp; Lemmink, J. G. A. M. (2015). “Futurizing” smart service: implications for service researchers and managers. </w:t>
      </w:r>
      <w:r w:rsidRPr="00B75647">
        <w:rPr>
          <w:rFonts w:ascii="Times New Roman" w:hAnsi="Times New Roman" w:cs="Times New Roman"/>
          <w:i/>
          <w:iCs/>
          <w:noProof/>
          <w:szCs w:val="24"/>
        </w:rPr>
        <w:t>Journal of Services Marketing</w:t>
      </w:r>
      <w:r w:rsidRPr="00B75647">
        <w:rPr>
          <w:rFonts w:ascii="Times New Roman" w:hAnsi="Times New Roman" w:cs="Times New Roman"/>
          <w:noProof/>
          <w:szCs w:val="24"/>
        </w:rPr>
        <w:t>.</w:t>
      </w:r>
    </w:p>
    <w:p w14:paraId="2F587A53"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Xiao, Y., Becerik-Gerber, B., Lucas, G., &amp; Roll, S. C. (2021). Impacts of Working From Home During COVID-19 Pandemic on Physical and Mental Well-Being of Office Workstation Users. </w:t>
      </w:r>
      <w:r w:rsidRPr="00B75647">
        <w:rPr>
          <w:rFonts w:ascii="Times New Roman" w:hAnsi="Times New Roman" w:cs="Times New Roman"/>
          <w:i/>
          <w:iCs/>
          <w:noProof/>
          <w:szCs w:val="24"/>
        </w:rPr>
        <w:t>Journal of Occupational and Environmental Medicine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63</w:t>
      </w:r>
      <w:r w:rsidRPr="00B75647">
        <w:rPr>
          <w:rFonts w:ascii="Times New Roman" w:hAnsi="Times New Roman" w:cs="Times New Roman"/>
          <w:noProof/>
          <w:szCs w:val="24"/>
        </w:rPr>
        <w:t>(3). https://journals.lww.com/joem/Fulltext/2021/03000/Impacts_of_Working_From_Home_During_COVID_19.2.aspx</w:t>
      </w:r>
    </w:p>
    <w:p w14:paraId="70597C7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Yang, G., Sau, C., Lai, W., Cichon, J., &amp; Li, W. (2015). </w:t>
      </w:r>
      <w:r w:rsidRPr="00B75647">
        <w:rPr>
          <w:rFonts w:ascii="Times New Roman" w:hAnsi="Times New Roman" w:cs="Times New Roman"/>
          <w:i/>
          <w:iCs/>
          <w:noProof/>
          <w:szCs w:val="24"/>
        </w:rPr>
        <w:t>Using Smart City Technology to Make Healthcare Smarter Diane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344</w:t>
      </w:r>
      <w:r w:rsidRPr="00B75647">
        <w:rPr>
          <w:rFonts w:ascii="Times New Roman" w:hAnsi="Times New Roman" w:cs="Times New Roman"/>
          <w:noProof/>
          <w:szCs w:val="24"/>
        </w:rPr>
        <w:t>(6188), 1173–1178. https://doi.org/10.1109/JPROC.2017.2787688.Using</w:t>
      </w:r>
    </w:p>
    <w:p w14:paraId="34080764"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Yang, L., &amp; Shami, A. (2020). On hyperparameter optimization of machine learning algorithms: Theory and practice. </w:t>
      </w:r>
      <w:r w:rsidRPr="00B75647">
        <w:rPr>
          <w:rFonts w:ascii="Times New Roman" w:hAnsi="Times New Roman" w:cs="Times New Roman"/>
          <w:i/>
          <w:iCs/>
          <w:noProof/>
          <w:szCs w:val="24"/>
        </w:rPr>
        <w:t>Neurocomputing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415</w:t>
      </w:r>
      <w:r w:rsidRPr="00B75647">
        <w:rPr>
          <w:rFonts w:ascii="Times New Roman" w:hAnsi="Times New Roman" w:cs="Times New Roman"/>
          <w:noProof/>
          <w:szCs w:val="24"/>
        </w:rPr>
        <w:t>, 295–316. https://doi.org/10.1016/j.neucom.2020.07.061</w:t>
      </w:r>
    </w:p>
    <w:p w14:paraId="3310696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Yang, X., Wang, X., Li, X., Gu, D., Liang, C., Li, K., Zhang, G., &amp; Zhong, J. (2020). Exploring emerging IoT technologies in smart health research: A knowledge graph analysis. </w:t>
      </w:r>
      <w:r w:rsidRPr="00B75647">
        <w:rPr>
          <w:rFonts w:ascii="Times New Roman" w:hAnsi="Times New Roman" w:cs="Times New Roman"/>
          <w:i/>
          <w:iCs/>
          <w:noProof/>
          <w:szCs w:val="24"/>
        </w:rPr>
        <w:t>BMC Medical Informatics and Decision Making</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20</w:t>
      </w:r>
      <w:r w:rsidRPr="00B75647">
        <w:rPr>
          <w:rFonts w:ascii="Times New Roman" w:hAnsi="Times New Roman" w:cs="Times New Roman"/>
          <w:noProof/>
          <w:szCs w:val="24"/>
        </w:rPr>
        <w:t>(1), 1–12. https://doi.org/10.1186/s12911-020-01278-9</w:t>
      </w:r>
    </w:p>
    <w:p w14:paraId="17A8B212"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Yang, Y. (2013). </w:t>
      </w:r>
      <w:r w:rsidRPr="00B75647">
        <w:rPr>
          <w:rFonts w:ascii="Times New Roman" w:hAnsi="Times New Roman" w:cs="Times New Roman"/>
          <w:i/>
          <w:iCs/>
          <w:noProof/>
          <w:szCs w:val="24"/>
        </w:rPr>
        <w:t>EEG signal analysis for brain-computer interfaces for large public applications</w:t>
      </w:r>
      <w:r w:rsidRPr="00B75647">
        <w:rPr>
          <w:rFonts w:ascii="Times New Roman" w:hAnsi="Times New Roman" w:cs="Times New Roman"/>
          <w:noProof/>
          <w:szCs w:val="24"/>
        </w:rPr>
        <w:t>.</w:t>
      </w:r>
    </w:p>
    <w:p w14:paraId="3DC4169C"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Yaribeygi, H., Panahi, Y., Sahraei, H., Johnston, T. P., &amp; Sahebkar, A. (2017). The impact of stress on body function: A review. </w:t>
      </w:r>
      <w:r w:rsidRPr="00B75647">
        <w:rPr>
          <w:rFonts w:ascii="Times New Roman" w:hAnsi="Times New Roman" w:cs="Times New Roman"/>
          <w:i/>
          <w:iCs/>
          <w:noProof/>
          <w:szCs w:val="24"/>
        </w:rPr>
        <w:t>EXCLI Journal</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w:t>
      </w:r>
      <w:r w:rsidRPr="00B75647">
        <w:rPr>
          <w:rFonts w:ascii="Times New Roman" w:hAnsi="Times New Roman" w:cs="Times New Roman"/>
          <w:noProof/>
          <w:szCs w:val="24"/>
        </w:rPr>
        <w:t>, 1057–1072. https://doi.org/10.17179/excli2017-480</w:t>
      </w:r>
    </w:p>
    <w:p w14:paraId="26A42FBF"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Yerkes, R. M., &amp; Dodson, J. D. (1908). The relation of strength of stimulus to rapidity of habit-formation. </w:t>
      </w:r>
      <w:r w:rsidRPr="00B75647">
        <w:rPr>
          <w:rFonts w:ascii="Times New Roman" w:hAnsi="Times New Roman" w:cs="Times New Roman"/>
          <w:i/>
          <w:iCs/>
          <w:noProof/>
          <w:szCs w:val="24"/>
        </w:rPr>
        <w:t>Journal of Comparative Neurology and Psychology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(5), 459–482. https://doi.org/https://doi.org/10.1002/cne.920180503</w:t>
      </w:r>
    </w:p>
    <w:p w14:paraId="03C87A6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Yigit, T., Celik, S., &amp; Kose, U. (2019). </w:t>
      </w:r>
      <w:r w:rsidRPr="00B75647">
        <w:rPr>
          <w:rFonts w:ascii="Times New Roman" w:hAnsi="Times New Roman" w:cs="Times New Roman"/>
          <w:i/>
          <w:iCs/>
          <w:noProof/>
          <w:szCs w:val="24"/>
        </w:rPr>
        <w:t>Artificial Intelligence for Improving Physical Medical Device Using Experience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December</w:t>
      </w:r>
      <w:r w:rsidRPr="00B75647">
        <w:rPr>
          <w:rFonts w:ascii="Times New Roman" w:hAnsi="Times New Roman" w:cs="Times New Roman"/>
          <w:noProof/>
          <w:szCs w:val="24"/>
        </w:rPr>
        <w:t>. http://icaiame.com2019</w:t>
      </w:r>
    </w:p>
    <w:p w14:paraId="3D0C3D86"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Yin, R. K. (2003). Design and methods. </w:t>
      </w:r>
      <w:r w:rsidRPr="00B75647">
        <w:rPr>
          <w:rFonts w:ascii="Times New Roman" w:hAnsi="Times New Roman" w:cs="Times New Roman"/>
          <w:i/>
          <w:iCs/>
          <w:noProof/>
          <w:szCs w:val="24"/>
        </w:rPr>
        <w:t>Case Study Research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w:t>
      </w:r>
      <w:r w:rsidRPr="00B75647">
        <w:rPr>
          <w:rFonts w:ascii="Times New Roman" w:hAnsi="Times New Roman" w:cs="Times New Roman"/>
          <w:noProof/>
          <w:szCs w:val="24"/>
        </w:rPr>
        <w:t>(9.2).</w:t>
      </w:r>
    </w:p>
    <w:p w14:paraId="19A10670"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Yli-Kauhaluoma, S., &amp; Pantzar, M. (2018). Seeking connectivity to everyday health and wellness experiences: Specificities and consequences of connective gaps in self-tracking data. </w:t>
      </w:r>
      <w:r w:rsidRPr="00B75647">
        <w:rPr>
          <w:rFonts w:ascii="Times New Roman" w:hAnsi="Times New Roman" w:cs="Times New Roman"/>
          <w:i/>
          <w:iCs/>
          <w:noProof/>
          <w:szCs w:val="24"/>
        </w:rPr>
        <w:t>Digital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4</w:t>
      </w:r>
      <w:r w:rsidRPr="00B75647">
        <w:rPr>
          <w:rFonts w:ascii="Times New Roman" w:hAnsi="Times New Roman" w:cs="Times New Roman"/>
          <w:noProof/>
          <w:szCs w:val="24"/>
        </w:rPr>
        <w:t>(Unioninkatu 40), 205520761877971. https://doi.org/10.1177/2055207618779714</w:t>
      </w:r>
    </w:p>
    <w:p w14:paraId="5180B87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Zabcikova, M. (2019). Visual and Auditory Stimuli Response, Measured by Emotiv Insight Headset. </w:t>
      </w:r>
      <w:r w:rsidRPr="00B75647">
        <w:rPr>
          <w:rFonts w:ascii="Times New Roman" w:hAnsi="Times New Roman" w:cs="Times New Roman"/>
          <w:i/>
          <w:iCs/>
          <w:noProof/>
          <w:szCs w:val="24"/>
        </w:rPr>
        <w:t>MATEC Web of Conferences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292</w:t>
      </w:r>
      <w:r w:rsidRPr="00B75647">
        <w:rPr>
          <w:rFonts w:ascii="Times New Roman" w:hAnsi="Times New Roman" w:cs="Times New Roman"/>
          <w:noProof/>
          <w:szCs w:val="24"/>
        </w:rPr>
        <w:t>, 01024. https://doi.org/10.1051/matecconf/201929201024</w:t>
      </w:r>
    </w:p>
    <w:p w14:paraId="5231E63A"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Zakaria, M., Abdulatiff, N. K., &amp; Ali, N. (2014). The Role of Wellbeing on Performance in Services Sector. </w:t>
      </w:r>
      <w:r w:rsidRPr="00B75647">
        <w:rPr>
          <w:rFonts w:ascii="Times New Roman" w:hAnsi="Times New Roman" w:cs="Times New Roman"/>
          <w:i/>
          <w:iCs/>
          <w:noProof/>
          <w:szCs w:val="24"/>
        </w:rPr>
        <w:t>Procedia - Social and Behavioral Sciences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164</w:t>
      </w:r>
      <w:r w:rsidRPr="00B75647">
        <w:rPr>
          <w:rFonts w:ascii="Times New Roman" w:hAnsi="Times New Roman" w:cs="Times New Roman"/>
          <w:noProof/>
          <w:szCs w:val="24"/>
        </w:rPr>
        <w:t>(August), 358–365. https://doi.org/10.1016/j.sbspro.2014.11.088</w:t>
      </w:r>
    </w:p>
    <w:p w14:paraId="5F5A2AF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Zeng, S., Benner, G. J., &amp; Silva, R. M. (2016). Effects of a summer learning program for students at risk for emotional and behavioral disorders. </w:t>
      </w:r>
      <w:r w:rsidRPr="00B75647">
        <w:rPr>
          <w:rFonts w:ascii="Times New Roman" w:hAnsi="Times New Roman" w:cs="Times New Roman"/>
          <w:i/>
          <w:iCs/>
          <w:noProof/>
          <w:szCs w:val="24"/>
        </w:rPr>
        <w:t>Education and Treatment of Children</w:t>
      </w:r>
      <w:r w:rsidRPr="00B75647">
        <w:rPr>
          <w:rFonts w:ascii="Times New Roman" w:hAnsi="Times New Roman" w:cs="Times New Roman"/>
          <w:noProof/>
          <w:szCs w:val="24"/>
        </w:rPr>
        <w:t>, 593–615.</w:t>
      </w:r>
    </w:p>
    <w:p w14:paraId="212F352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Ženka, J., Macháček, J., Michna, P., &amp; Kořízek, P. (2021). Navigational Needs and Preferences of Hospital Patients and Visitors: What Prospects for Smart Technologies? </w:t>
      </w:r>
      <w:r w:rsidRPr="00B75647">
        <w:rPr>
          <w:rFonts w:ascii="Times New Roman" w:hAnsi="Times New Roman" w:cs="Times New Roman"/>
          <w:i/>
          <w:iCs/>
          <w:noProof/>
          <w:szCs w:val="24"/>
        </w:rPr>
        <w:t>International Journal of Environmental Research and Public Health</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18</w:t>
      </w:r>
      <w:r w:rsidRPr="00B75647">
        <w:rPr>
          <w:rFonts w:ascii="Times New Roman" w:hAnsi="Times New Roman" w:cs="Times New Roman"/>
          <w:noProof/>
          <w:szCs w:val="24"/>
        </w:rPr>
        <w:t>(3), 974.</w:t>
      </w:r>
    </w:p>
    <w:p w14:paraId="2B16D077"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Zhang, N., Liu, C., Chen, Z., An, L., Ren, D., Yuan, F., Yuan, R., Ji, L., Bi, Y., Guo, Z., Ma, G., Xu, F., Yang, F., Zhu, L., Robert, G., Xu, Y., He, L., Bai, B., Yu, T., &amp; He, G. (2019). Prediction of adolescent subjective well-being: A machine learning approach. </w:t>
      </w:r>
      <w:r w:rsidRPr="00B75647">
        <w:rPr>
          <w:rFonts w:ascii="Times New Roman" w:hAnsi="Times New Roman" w:cs="Times New Roman"/>
          <w:i/>
          <w:iCs/>
          <w:noProof/>
          <w:szCs w:val="24"/>
        </w:rPr>
        <w:t>General Psychiatry</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32</w:t>
      </w:r>
      <w:r w:rsidRPr="00B75647">
        <w:rPr>
          <w:rFonts w:ascii="Times New Roman" w:hAnsi="Times New Roman" w:cs="Times New Roman"/>
          <w:noProof/>
          <w:szCs w:val="24"/>
        </w:rPr>
        <w:t>(5), 1–8. https://doi.org/10.1136/gpsych-2019-100096</w:t>
      </w:r>
    </w:p>
    <w:p w14:paraId="25484105"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szCs w:val="24"/>
        </w:rPr>
      </w:pPr>
      <w:r w:rsidRPr="00B75647">
        <w:rPr>
          <w:rFonts w:ascii="Times New Roman" w:hAnsi="Times New Roman" w:cs="Times New Roman"/>
          <w:noProof/>
          <w:szCs w:val="24"/>
        </w:rPr>
        <w:t xml:space="preserve">Zhao, J. L., Tanniru, M., &amp; Zhang, L.-J. (2007). Services computing as the foundation of enterprise agility: Overview of recent advances and introduction to the special issue. </w:t>
      </w:r>
      <w:r w:rsidRPr="00B75647">
        <w:rPr>
          <w:rFonts w:ascii="Times New Roman" w:hAnsi="Times New Roman" w:cs="Times New Roman"/>
          <w:i/>
          <w:iCs/>
          <w:noProof/>
          <w:szCs w:val="24"/>
        </w:rPr>
        <w:t>Information Systems Frontiers</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9</w:t>
      </w:r>
      <w:r w:rsidRPr="00B75647">
        <w:rPr>
          <w:rFonts w:ascii="Times New Roman" w:hAnsi="Times New Roman" w:cs="Times New Roman"/>
          <w:noProof/>
          <w:szCs w:val="24"/>
        </w:rPr>
        <w:t>(1), 1–8. https://doi.org/10.1007/s10796-007-9023-x</w:t>
      </w:r>
    </w:p>
    <w:p w14:paraId="5FF323D9" w14:textId="77777777" w:rsidR="00B75647" w:rsidRPr="00B75647" w:rsidRDefault="00B75647" w:rsidP="00B75647">
      <w:pPr>
        <w:widowControl w:val="0"/>
        <w:autoSpaceDE w:val="0"/>
        <w:autoSpaceDN w:val="0"/>
        <w:adjustRightInd w:val="0"/>
        <w:spacing w:line="360" w:lineRule="auto"/>
        <w:ind w:left="480" w:hanging="480"/>
        <w:rPr>
          <w:rFonts w:ascii="Times New Roman" w:hAnsi="Times New Roman" w:cs="Times New Roman"/>
          <w:noProof/>
        </w:rPr>
      </w:pPr>
      <w:r w:rsidRPr="00B75647">
        <w:rPr>
          <w:rFonts w:ascii="Times New Roman" w:hAnsi="Times New Roman" w:cs="Times New Roman"/>
          <w:noProof/>
          <w:szCs w:val="24"/>
        </w:rPr>
        <w:t xml:space="preserve">Zimmerman, M., McGlinchey, J. B., Young, D., &amp; Chelminski, I. (2006). Diagnosing major depressive disorder IX: Are patients who deny low mood a distinct subgroup? </w:t>
      </w:r>
      <w:r w:rsidRPr="00B75647">
        <w:rPr>
          <w:rFonts w:ascii="Times New Roman" w:hAnsi="Times New Roman" w:cs="Times New Roman"/>
          <w:i/>
          <w:iCs/>
          <w:noProof/>
          <w:szCs w:val="24"/>
        </w:rPr>
        <w:t>Journal of Nervous and Mental Disease</w:t>
      </w:r>
      <w:r w:rsidRPr="00B75647">
        <w:rPr>
          <w:rFonts w:ascii="Times New Roman" w:hAnsi="Times New Roman" w:cs="Times New Roman"/>
          <w:noProof/>
          <w:szCs w:val="24"/>
        </w:rPr>
        <w:t xml:space="preserve">, </w:t>
      </w:r>
      <w:r w:rsidRPr="00B75647">
        <w:rPr>
          <w:rFonts w:ascii="Times New Roman" w:hAnsi="Times New Roman" w:cs="Times New Roman"/>
          <w:i/>
          <w:iCs/>
          <w:noProof/>
          <w:szCs w:val="24"/>
        </w:rPr>
        <w:t>194</w:t>
      </w:r>
      <w:r w:rsidRPr="00B75647">
        <w:rPr>
          <w:rFonts w:ascii="Times New Roman" w:hAnsi="Times New Roman" w:cs="Times New Roman"/>
          <w:noProof/>
          <w:szCs w:val="24"/>
        </w:rPr>
        <w:t>(11), 864–869. https://doi.org/10.1097/01.nmd.0000244564.54694.87</w:t>
      </w:r>
    </w:p>
    <w:p w14:paraId="2DCC35CC" w14:textId="218BA0AD" w:rsidR="00BF3FCA" w:rsidRPr="005459E6" w:rsidRDefault="000B0CE8" w:rsidP="00042CB0">
      <w:pPr>
        <w:spacing w:line="360" w:lineRule="auto"/>
        <w:jc w:val="both"/>
        <w:rPr>
          <w:rFonts w:ascii="Times New Roman" w:hAnsi="Times New Roman" w:cs="Times New Roman"/>
        </w:rPr>
      </w:pPr>
      <w:r w:rsidRPr="005459E6">
        <w:rPr>
          <w:rFonts w:ascii="Times New Roman" w:hAnsi="Times New Roman" w:cs="Times New Roman"/>
        </w:rPr>
        <w:fldChar w:fldCharType="end"/>
      </w:r>
    </w:p>
    <w:sectPr w:rsidR="00BF3FCA" w:rsidRPr="005459E6" w:rsidSect="00C64EAB">
      <w:footerReference w:type="default" r:id="rId85"/>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3425" w14:textId="77777777" w:rsidR="00C64EAB" w:rsidRDefault="00C64EAB" w:rsidP="002E0530">
      <w:pPr>
        <w:spacing w:after="0" w:line="240" w:lineRule="auto"/>
      </w:pPr>
      <w:r>
        <w:separator/>
      </w:r>
    </w:p>
  </w:endnote>
  <w:endnote w:type="continuationSeparator" w:id="0">
    <w:p w14:paraId="238AC6C3" w14:textId="77777777" w:rsidR="00C64EAB" w:rsidRDefault="00C64EAB" w:rsidP="002E0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408794"/>
      <w:docPartObj>
        <w:docPartGallery w:val="Page Numbers (Bottom of Page)"/>
        <w:docPartUnique/>
      </w:docPartObj>
    </w:sdtPr>
    <w:sdtEndPr>
      <w:rPr>
        <w:color w:val="7F7F7F" w:themeColor="background1" w:themeShade="7F"/>
        <w:spacing w:val="60"/>
      </w:rPr>
    </w:sdtEndPr>
    <w:sdtContent>
      <w:p w14:paraId="2EBB9E90" w14:textId="5C8D351E" w:rsidR="00857534" w:rsidRDefault="00857534">
        <w:pPr>
          <w:pStyle w:val="Pidipagina"/>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E197D5" w14:textId="30D04E82" w:rsidR="00DA0D3B" w:rsidRDefault="00DA0D3B" w:rsidP="004B1390">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E185B" w14:textId="77777777" w:rsidR="00C64EAB" w:rsidRDefault="00C64EAB" w:rsidP="002E0530">
      <w:pPr>
        <w:spacing w:after="0" w:line="240" w:lineRule="auto"/>
      </w:pPr>
      <w:r>
        <w:separator/>
      </w:r>
    </w:p>
  </w:footnote>
  <w:footnote w:type="continuationSeparator" w:id="0">
    <w:p w14:paraId="3FB86E94" w14:textId="77777777" w:rsidR="00C64EAB" w:rsidRDefault="00C64EAB" w:rsidP="002E0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4C6"/>
    <w:multiLevelType w:val="hybridMultilevel"/>
    <w:tmpl w:val="597A2B0E"/>
    <w:lvl w:ilvl="0" w:tplc="B164BD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9261E"/>
    <w:multiLevelType w:val="hybridMultilevel"/>
    <w:tmpl w:val="3262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10F4"/>
    <w:multiLevelType w:val="hybridMultilevel"/>
    <w:tmpl w:val="2A6CDC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1310FF"/>
    <w:multiLevelType w:val="hybridMultilevel"/>
    <w:tmpl w:val="72E09E8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C6C56"/>
    <w:multiLevelType w:val="hybridMultilevel"/>
    <w:tmpl w:val="74CC26F6"/>
    <w:lvl w:ilvl="0" w:tplc="825A39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10E7F"/>
    <w:multiLevelType w:val="hybridMultilevel"/>
    <w:tmpl w:val="85FCB9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380012"/>
    <w:multiLevelType w:val="hybridMultilevel"/>
    <w:tmpl w:val="C42ED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F26DD"/>
    <w:multiLevelType w:val="hybridMultilevel"/>
    <w:tmpl w:val="11706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32886"/>
    <w:multiLevelType w:val="hybridMultilevel"/>
    <w:tmpl w:val="BF965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526FB8"/>
    <w:multiLevelType w:val="hybridMultilevel"/>
    <w:tmpl w:val="72965CD4"/>
    <w:lvl w:ilvl="0" w:tplc="6544462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F2A47"/>
    <w:multiLevelType w:val="hybridMultilevel"/>
    <w:tmpl w:val="23FE3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D649B"/>
    <w:multiLevelType w:val="hybridMultilevel"/>
    <w:tmpl w:val="C622B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77077"/>
    <w:multiLevelType w:val="hybridMultilevel"/>
    <w:tmpl w:val="8F1CC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45A37"/>
    <w:multiLevelType w:val="hybridMultilevel"/>
    <w:tmpl w:val="5F80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94C4B"/>
    <w:multiLevelType w:val="hybridMultilevel"/>
    <w:tmpl w:val="32B22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40F1D"/>
    <w:multiLevelType w:val="hybridMultilevel"/>
    <w:tmpl w:val="0158F2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E20951"/>
    <w:multiLevelType w:val="hybridMultilevel"/>
    <w:tmpl w:val="1160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C0601"/>
    <w:multiLevelType w:val="hybridMultilevel"/>
    <w:tmpl w:val="1F70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CD71C9"/>
    <w:multiLevelType w:val="hybridMultilevel"/>
    <w:tmpl w:val="0BA0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D089C"/>
    <w:multiLevelType w:val="hybridMultilevel"/>
    <w:tmpl w:val="03E83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564E3BEE"/>
    <w:multiLevelType w:val="hybridMultilevel"/>
    <w:tmpl w:val="992E0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4619A"/>
    <w:multiLevelType w:val="hybridMultilevel"/>
    <w:tmpl w:val="2FC28A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8B140E"/>
    <w:multiLevelType w:val="hybridMultilevel"/>
    <w:tmpl w:val="2D486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A81539"/>
    <w:multiLevelType w:val="hybridMultilevel"/>
    <w:tmpl w:val="D11A543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A927EB"/>
    <w:multiLevelType w:val="hybridMultilevel"/>
    <w:tmpl w:val="24264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80BD2"/>
    <w:multiLevelType w:val="hybridMultilevel"/>
    <w:tmpl w:val="6492B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81756"/>
    <w:multiLevelType w:val="hybridMultilevel"/>
    <w:tmpl w:val="0B74B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EF580A"/>
    <w:multiLevelType w:val="hybridMultilevel"/>
    <w:tmpl w:val="D0C6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F3438"/>
    <w:multiLevelType w:val="hybridMultilevel"/>
    <w:tmpl w:val="9E245F22"/>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B0C2C"/>
    <w:multiLevelType w:val="hybridMultilevel"/>
    <w:tmpl w:val="418E5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B617A"/>
    <w:multiLevelType w:val="hybridMultilevel"/>
    <w:tmpl w:val="35FC803C"/>
    <w:lvl w:ilvl="0" w:tplc="BDF4B66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6684859"/>
    <w:multiLevelType w:val="hybridMultilevel"/>
    <w:tmpl w:val="18245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9B5000"/>
    <w:multiLevelType w:val="hybridMultilevel"/>
    <w:tmpl w:val="99749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553689">
    <w:abstractNumId w:val="4"/>
  </w:num>
  <w:num w:numId="2" w16cid:durableId="624313369">
    <w:abstractNumId w:val="13"/>
  </w:num>
  <w:num w:numId="3" w16cid:durableId="990601256">
    <w:abstractNumId w:val="0"/>
  </w:num>
  <w:num w:numId="4" w16cid:durableId="1984197478">
    <w:abstractNumId w:val="11"/>
  </w:num>
  <w:num w:numId="5" w16cid:durableId="229004755">
    <w:abstractNumId w:val="9"/>
  </w:num>
  <w:num w:numId="6" w16cid:durableId="615871749">
    <w:abstractNumId w:val="20"/>
  </w:num>
  <w:num w:numId="7" w16cid:durableId="1577399022">
    <w:abstractNumId w:val="15"/>
  </w:num>
  <w:num w:numId="8" w16cid:durableId="2075737278">
    <w:abstractNumId w:val="21"/>
  </w:num>
  <w:num w:numId="9" w16cid:durableId="1377702142">
    <w:abstractNumId w:val="27"/>
  </w:num>
  <w:num w:numId="10" w16cid:durableId="1800763804">
    <w:abstractNumId w:val="25"/>
  </w:num>
  <w:num w:numId="11" w16cid:durableId="1368338689">
    <w:abstractNumId w:val="2"/>
  </w:num>
  <w:num w:numId="12" w16cid:durableId="544367925">
    <w:abstractNumId w:val="7"/>
  </w:num>
  <w:num w:numId="13" w16cid:durableId="1433818495">
    <w:abstractNumId w:val="18"/>
  </w:num>
  <w:num w:numId="14" w16cid:durableId="372969782">
    <w:abstractNumId w:val="16"/>
  </w:num>
  <w:num w:numId="15" w16cid:durableId="1058285844">
    <w:abstractNumId w:val="32"/>
  </w:num>
  <w:num w:numId="16" w16cid:durableId="236669716">
    <w:abstractNumId w:val="12"/>
  </w:num>
  <w:num w:numId="17" w16cid:durableId="281770617">
    <w:abstractNumId w:val="31"/>
  </w:num>
  <w:num w:numId="18" w16cid:durableId="532615178">
    <w:abstractNumId w:val="19"/>
  </w:num>
  <w:num w:numId="19" w16cid:durableId="727530876">
    <w:abstractNumId w:val="10"/>
  </w:num>
  <w:num w:numId="20" w16cid:durableId="187842159">
    <w:abstractNumId w:val="33"/>
  </w:num>
  <w:num w:numId="21" w16cid:durableId="1177578684">
    <w:abstractNumId w:val="6"/>
  </w:num>
  <w:num w:numId="22" w16cid:durableId="263811403">
    <w:abstractNumId w:val="28"/>
  </w:num>
  <w:num w:numId="23" w16cid:durableId="360404543">
    <w:abstractNumId w:val="17"/>
  </w:num>
  <w:num w:numId="24" w16cid:durableId="381910197">
    <w:abstractNumId w:val="5"/>
  </w:num>
  <w:num w:numId="25" w16cid:durableId="299002028">
    <w:abstractNumId w:val="8"/>
  </w:num>
  <w:num w:numId="26" w16cid:durableId="629942665">
    <w:abstractNumId w:val="1"/>
  </w:num>
  <w:num w:numId="27" w16cid:durableId="2113082553">
    <w:abstractNumId w:val="23"/>
  </w:num>
  <w:num w:numId="28" w16cid:durableId="901213285">
    <w:abstractNumId w:val="30"/>
  </w:num>
  <w:num w:numId="29" w16cid:durableId="952130820">
    <w:abstractNumId w:val="26"/>
  </w:num>
  <w:num w:numId="30" w16cid:durableId="2125880989">
    <w:abstractNumId w:val="14"/>
  </w:num>
  <w:num w:numId="31" w16cid:durableId="1845245231">
    <w:abstractNumId w:val="24"/>
  </w:num>
  <w:num w:numId="32" w16cid:durableId="319122408">
    <w:abstractNumId w:val="3"/>
  </w:num>
  <w:num w:numId="33" w16cid:durableId="2046636154">
    <w:abstractNumId w:val="22"/>
  </w:num>
  <w:num w:numId="34" w16cid:durableId="1656228135">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xMDYxNrOwNDYwNjNS0lEKTi0uzszPAykwMrCsBQA88qpLLgAAAA=="/>
  </w:docVars>
  <w:rsids>
    <w:rsidRoot w:val="002435FB"/>
    <w:rsid w:val="00001653"/>
    <w:rsid w:val="00001753"/>
    <w:rsid w:val="00001A73"/>
    <w:rsid w:val="00001B5B"/>
    <w:rsid w:val="00002359"/>
    <w:rsid w:val="00002630"/>
    <w:rsid w:val="000035FF"/>
    <w:rsid w:val="00004949"/>
    <w:rsid w:val="00005BDD"/>
    <w:rsid w:val="000061E8"/>
    <w:rsid w:val="00011B97"/>
    <w:rsid w:val="00011F4E"/>
    <w:rsid w:val="000128BC"/>
    <w:rsid w:val="00012F94"/>
    <w:rsid w:val="000130E5"/>
    <w:rsid w:val="000147D4"/>
    <w:rsid w:val="000149E5"/>
    <w:rsid w:val="0001521E"/>
    <w:rsid w:val="000170C6"/>
    <w:rsid w:val="00020816"/>
    <w:rsid w:val="00021350"/>
    <w:rsid w:val="00021C80"/>
    <w:rsid w:val="000224BF"/>
    <w:rsid w:val="000227DD"/>
    <w:rsid w:val="00022F9A"/>
    <w:rsid w:val="0002393F"/>
    <w:rsid w:val="00023C78"/>
    <w:rsid w:val="000258B7"/>
    <w:rsid w:val="00025E96"/>
    <w:rsid w:val="00026653"/>
    <w:rsid w:val="00026A22"/>
    <w:rsid w:val="00026B0B"/>
    <w:rsid w:val="00027749"/>
    <w:rsid w:val="00030055"/>
    <w:rsid w:val="000304AA"/>
    <w:rsid w:val="000304CD"/>
    <w:rsid w:val="000310AB"/>
    <w:rsid w:val="000312BF"/>
    <w:rsid w:val="00031982"/>
    <w:rsid w:val="00032125"/>
    <w:rsid w:val="0003259F"/>
    <w:rsid w:val="0003341A"/>
    <w:rsid w:val="0003497E"/>
    <w:rsid w:val="00034CB0"/>
    <w:rsid w:val="00035741"/>
    <w:rsid w:val="00035D3B"/>
    <w:rsid w:val="0003618E"/>
    <w:rsid w:val="0003702F"/>
    <w:rsid w:val="0003706E"/>
    <w:rsid w:val="000374B4"/>
    <w:rsid w:val="000375DD"/>
    <w:rsid w:val="000405C2"/>
    <w:rsid w:val="00041C23"/>
    <w:rsid w:val="00042600"/>
    <w:rsid w:val="00042CB0"/>
    <w:rsid w:val="0004433D"/>
    <w:rsid w:val="0004471A"/>
    <w:rsid w:val="0004521F"/>
    <w:rsid w:val="000468FD"/>
    <w:rsid w:val="000470D5"/>
    <w:rsid w:val="000479D1"/>
    <w:rsid w:val="00050E80"/>
    <w:rsid w:val="00051336"/>
    <w:rsid w:val="00051890"/>
    <w:rsid w:val="00053CFC"/>
    <w:rsid w:val="000541B0"/>
    <w:rsid w:val="00055BFA"/>
    <w:rsid w:val="00056834"/>
    <w:rsid w:val="00056EAB"/>
    <w:rsid w:val="000575EE"/>
    <w:rsid w:val="00061ED9"/>
    <w:rsid w:val="00062A47"/>
    <w:rsid w:val="00062A91"/>
    <w:rsid w:val="00062B18"/>
    <w:rsid w:val="00062E71"/>
    <w:rsid w:val="0006334B"/>
    <w:rsid w:val="000638C8"/>
    <w:rsid w:val="00063B38"/>
    <w:rsid w:val="00064865"/>
    <w:rsid w:val="00065707"/>
    <w:rsid w:val="0007101E"/>
    <w:rsid w:val="000716B7"/>
    <w:rsid w:val="00072E87"/>
    <w:rsid w:val="00073353"/>
    <w:rsid w:val="00073D71"/>
    <w:rsid w:val="00074BBA"/>
    <w:rsid w:val="000768E5"/>
    <w:rsid w:val="00076962"/>
    <w:rsid w:val="00076DD3"/>
    <w:rsid w:val="000779EA"/>
    <w:rsid w:val="00077AC4"/>
    <w:rsid w:val="00077CB9"/>
    <w:rsid w:val="00080DB4"/>
    <w:rsid w:val="00081379"/>
    <w:rsid w:val="000816A5"/>
    <w:rsid w:val="00081B85"/>
    <w:rsid w:val="00084C51"/>
    <w:rsid w:val="00085235"/>
    <w:rsid w:val="000855F8"/>
    <w:rsid w:val="000858A7"/>
    <w:rsid w:val="000858E0"/>
    <w:rsid w:val="000858E1"/>
    <w:rsid w:val="0008688E"/>
    <w:rsid w:val="000869CE"/>
    <w:rsid w:val="00087F8F"/>
    <w:rsid w:val="0009115B"/>
    <w:rsid w:val="0009129E"/>
    <w:rsid w:val="00092199"/>
    <w:rsid w:val="00092538"/>
    <w:rsid w:val="00092BF6"/>
    <w:rsid w:val="00093357"/>
    <w:rsid w:val="00094604"/>
    <w:rsid w:val="00094A31"/>
    <w:rsid w:val="000A0408"/>
    <w:rsid w:val="000A06A3"/>
    <w:rsid w:val="000A0B78"/>
    <w:rsid w:val="000A0FD8"/>
    <w:rsid w:val="000A1B09"/>
    <w:rsid w:val="000A1F15"/>
    <w:rsid w:val="000A47B7"/>
    <w:rsid w:val="000A4C7B"/>
    <w:rsid w:val="000A4E3D"/>
    <w:rsid w:val="000A5C07"/>
    <w:rsid w:val="000A5C0C"/>
    <w:rsid w:val="000A5FA8"/>
    <w:rsid w:val="000A62A5"/>
    <w:rsid w:val="000A6A1F"/>
    <w:rsid w:val="000A6CAD"/>
    <w:rsid w:val="000A6F0C"/>
    <w:rsid w:val="000A75A3"/>
    <w:rsid w:val="000B0536"/>
    <w:rsid w:val="000B0CE8"/>
    <w:rsid w:val="000B1CA4"/>
    <w:rsid w:val="000B1ED9"/>
    <w:rsid w:val="000B311F"/>
    <w:rsid w:val="000B5040"/>
    <w:rsid w:val="000B55E9"/>
    <w:rsid w:val="000B5A53"/>
    <w:rsid w:val="000B5ECA"/>
    <w:rsid w:val="000B6143"/>
    <w:rsid w:val="000B6541"/>
    <w:rsid w:val="000B7799"/>
    <w:rsid w:val="000B78DB"/>
    <w:rsid w:val="000B7FB5"/>
    <w:rsid w:val="000C05B7"/>
    <w:rsid w:val="000C05F2"/>
    <w:rsid w:val="000C1BD8"/>
    <w:rsid w:val="000C2762"/>
    <w:rsid w:val="000C2F42"/>
    <w:rsid w:val="000C3131"/>
    <w:rsid w:val="000C53AE"/>
    <w:rsid w:val="000C5FFB"/>
    <w:rsid w:val="000C777F"/>
    <w:rsid w:val="000D06CE"/>
    <w:rsid w:val="000D1092"/>
    <w:rsid w:val="000D1C5E"/>
    <w:rsid w:val="000D45C7"/>
    <w:rsid w:val="000D59F5"/>
    <w:rsid w:val="000D5FAE"/>
    <w:rsid w:val="000D62A1"/>
    <w:rsid w:val="000D7355"/>
    <w:rsid w:val="000E04CD"/>
    <w:rsid w:val="000E07DC"/>
    <w:rsid w:val="000E09A7"/>
    <w:rsid w:val="000E285A"/>
    <w:rsid w:val="000E408D"/>
    <w:rsid w:val="000E453D"/>
    <w:rsid w:val="000E4EBF"/>
    <w:rsid w:val="000E53F2"/>
    <w:rsid w:val="000E5DB7"/>
    <w:rsid w:val="000E5EFB"/>
    <w:rsid w:val="000E654C"/>
    <w:rsid w:val="000E7838"/>
    <w:rsid w:val="000F038F"/>
    <w:rsid w:val="000F2428"/>
    <w:rsid w:val="000F2AF5"/>
    <w:rsid w:val="000F3FA5"/>
    <w:rsid w:val="000F4075"/>
    <w:rsid w:val="000F5B20"/>
    <w:rsid w:val="000F7F8F"/>
    <w:rsid w:val="001008F8"/>
    <w:rsid w:val="001033A9"/>
    <w:rsid w:val="00103E61"/>
    <w:rsid w:val="001059A8"/>
    <w:rsid w:val="00106FA8"/>
    <w:rsid w:val="001076AA"/>
    <w:rsid w:val="00107B5A"/>
    <w:rsid w:val="00110394"/>
    <w:rsid w:val="00110D9D"/>
    <w:rsid w:val="00111F2D"/>
    <w:rsid w:val="001139B7"/>
    <w:rsid w:val="00113A1E"/>
    <w:rsid w:val="00113AED"/>
    <w:rsid w:val="001146DA"/>
    <w:rsid w:val="001152AD"/>
    <w:rsid w:val="001169B7"/>
    <w:rsid w:val="00116D4E"/>
    <w:rsid w:val="00117814"/>
    <w:rsid w:val="00117F8E"/>
    <w:rsid w:val="0012121D"/>
    <w:rsid w:val="001212A2"/>
    <w:rsid w:val="00122412"/>
    <w:rsid w:val="001225C6"/>
    <w:rsid w:val="00123F84"/>
    <w:rsid w:val="00124BE7"/>
    <w:rsid w:val="00124DD1"/>
    <w:rsid w:val="001258B4"/>
    <w:rsid w:val="00126687"/>
    <w:rsid w:val="00126C06"/>
    <w:rsid w:val="001272C3"/>
    <w:rsid w:val="001323DB"/>
    <w:rsid w:val="00133185"/>
    <w:rsid w:val="001339D2"/>
    <w:rsid w:val="00134ADF"/>
    <w:rsid w:val="00135FB1"/>
    <w:rsid w:val="00136DC9"/>
    <w:rsid w:val="00136F3C"/>
    <w:rsid w:val="001372B2"/>
    <w:rsid w:val="00140811"/>
    <w:rsid w:val="00140FE9"/>
    <w:rsid w:val="00141287"/>
    <w:rsid w:val="001413C1"/>
    <w:rsid w:val="00141CD3"/>
    <w:rsid w:val="00141F76"/>
    <w:rsid w:val="001423AC"/>
    <w:rsid w:val="00143977"/>
    <w:rsid w:val="00144138"/>
    <w:rsid w:val="00145695"/>
    <w:rsid w:val="00145B09"/>
    <w:rsid w:val="00146156"/>
    <w:rsid w:val="001508B6"/>
    <w:rsid w:val="001514B1"/>
    <w:rsid w:val="001517A8"/>
    <w:rsid w:val="001519EC"/>
    <w:rsid w:val="001539B6"/>
    <w:rsid w:val="001539E9"/>
    <w:rsid w:val="00154071"/>
    <w:rsid w:val="00154680"/>
    <w:rsid w:val="00154A8A"/>
    <w:rsid w:val="00155105"/>
    <w:rsid w:val="001551E2"/>
    <w:rsid w:val="00155939"/>
    <w:rsid w:val="001562ED"/>
    <w:rsid w:val="001564DA"/>
    <w:rsid w:val="00156B55"/>
    <w:rsid w:val="0016119D"/>
    <w:rsid w:val="00161409"/>
    <w:rsid w:val="00161F9F"/>
    <w:rsid w:val="001637F3"/>
    <w:rsid w:val="001648CD"/>
    <w:rsid w:val="00164C42"/>
    <w:rsid w:val="00165E0C"/>
    <w:rsid w:val="0016615D"/>
    <w:rsid w:val="00170448"/>
    <w:rsid w:val="00170696"/>
    <w:rsid w:val="00170DC7"/>
    <w:rsid w:val="00171734"/>
    <w:rsid w:val="001721AC"/>
    <w:rsid w:val="00172448"/>
    <w:rsid w:val="00172788"/>
    <w:rsid w:val="001747A0"/>
    <w:rsid w:val="00174FFB"/>
    <w:rsid w:val="0017600C"/>
    <w:rsid w:val="00176690"/>
    <w:rsid w:val="00176958"/>
    <w:rsid w:val="00176CDE"/>
    <w:rsid w:val="00177751"/>
    <w:rsid w:val="00177B88"/>
    <w:rsid w:val="00177DC1"/>
    <w:rsid w:val="00181E8C"/>
    <w:rsid w:val="00182D6C"/>
    <w:rsid w:val="00183CAA"/>
    <w:rsid w:val="0018403F"/>
    <w:rsid w:val="00184DD5"/>
    <w:rsid w:val="0018552B"/>
    <w:rsid w:val="001857E1"/>
    <w:rsid w:val="00186153"/>
    <w:rsid w:val="0018616F"/>
    <w:rsid w:val="00186EFE"/>
    <w:rsid w:val="00187B65"/>
    <w:rsid w:val="00187D5A"/>
    <w:rsid w:val="00190344"/>
    <w:rsid w:val="00190A78"/>
    <w:rsid w:val="00190B3D"/>
    <w:rsid w:val="001928CF"/>
    <w:rsid w:val="00193086"/>
    <w:rsid w:val="00194760"/>
    <w:rsid w:val="0019578B"/>
    <w:rsid w:val="001968A4"/>
    <w:rsid w:val="001968C1"/>
    <w:rsid w:val="00197276"/>
    <w:rsid w:val="00197C34"/>
    <w:rsid w:val="001A3AD9"/>
    <w:rsid w:val="001A3C34"/>
    <w:rsid w:val="001A435A"/>
    <w:rsid w:val="001A4D66"/>
    <w:rsid w:val="001A58BE"/>
    <w:rsid w:val="001A6520"/>
    <w:rsid w:val="001A7E33"/>
    <w:rsid w:val="001B0D67"/>
    <w:rsid w:val="001B2612"/>
    <w:rsid w:val="001B2A95"/>
    <w:rsid w:val="001B44B5"/>
    <w:rsid w:val="001B45BB"/>
    <w:rsid w:val="001B6CF8"/>
    <w:rsid w:val="001C13EC"/>
    <w:rsid w:val="001C1510"/>
    <w:rsid w:val="001C1F21"/>
    <w:rsid w:val="001C2145"/>
    <w:rsid w:val="001C373B"/>
    <w:rsid w:val="001C37C2"/>
    <w:rsid w:val="001C38A4"/>
    <w:rsid w:val="001C430F"/>
    <w:rsid w:val="001C5BF2"/>
    <w:rsid w:val="001C5F66"/>
    <w:rsid w:val="001C60E4"/>
    <w:rsid w:val="001D0D84"/>
    <w:rsid w:val="001D1AD4"/>
    <w:rsid w:val="001D3C34"/>
    <w:rsid w:val="001D3C8A"/>
    <w:rsid w:val="001D409B"/>
    <w:rsid w:val="001D4C97"/>
    <w:rsid w:val="001D5474"/>
    <w:rsid w:val="001D5D32"/>
    <w:rsid w:val="001D5F36"/>
    <w:rsid w:val="001D5F9A"/>
    <w:rsid w:val="001D61A1"/>
    <w:rsid w:val="001D6297"/>
    <w:rsid w:val="001D641A"/>
    <w:rsid w:val="001D6C12"/>
    <w:rsid w:val="001D75B6"/>
    <w:rsid w:val="001D75BC"/>
    <w:rsid w:val="001D7947"/>
    <w:rsid w:val="001D7A69"/>
    <w:rsid w:val="001E0577"/>
    <w:rsid w:val="001E0DEF"/>
    <w:rsid w:val="001E1407"/>
    <w:rsid w:val="001E15D3"/>
    <w:rsid w:val="001E1727"/>
    <w:rsid w:val="001E19EB"/>
    <w:rsid w:val="001E1A4D"/>
    <w:rsid w:val="001E1CD1"/>
    <w:rsid w:val="001E240D"/>
    <w:rsid w:val="001E31CA"/>
    <w:rsid w:val="001E66EF"/>
    <w:rsid w:val="001E6E0F"/>
    <w:rsid w:val="001E72B5"/>
    <w:rsid w:val="001F166F"/>
    <w:rsid w:val="001F1E67"/>
    <w:rsid w:val="001F21AB"/>
    <w:rsid w:val="001F2CC6"/>
    <w:rsid w:val="001F389E"/>
    <w:rsid w:val="001F39CE"/>
    <w:rsid w:val="001F6996"/>
    <w:rsid w:val="001F6AA0"/>
    <w:rsid w:val="001F6CF6"/>
    <w:rsid w:val="001F7B90"/>
    <w:rsid w:val="002004DE"/>
    <w:rsid w:val="00200DC4"/>
    <w:rsid w:val="00203378"/>
    <w:rsid w:val="002039AF"/>
    <w:rsid w:val="00203E2B"/>
    <w:rsid w:val="002047C8"/>
    <w:rsid w:val="00204999"/>
    <w:rsid w:val="002053BD"/>
    <w:rsid w:val="00205F5E"/>
    <w:rsid w:val="00206C4F"/>
    <w:rsid w:val="00210F8C"/>
    <w:rsid w:val="00211282"/>
    <w:rsid w:val="0021140E"/>
    <w:rsid w:val="00211419"/>
    <w:rsid w:val="00211874"/>
    <w:rsid w:val="00211E10"/>
    <w:rsid w:val="00214F5D"/>
    <w:rsid w:val="00215D60"/>
    <w:rsid w:val="00216AB8"/>
    <w:rsid w:val="00217B35"/>
    <w:rsid w:val="00217F4F"/>
    <w:rsid w:val="00220C7D"/>
    <w:rsid w:val="0022115E"/>
    <w:rsid w:val="0022146F"/>
    <w:rsid w:val="00221703"/>
    <w:rsid w:val="00222183"/>
    <w:rsid w:val="002221F7"/>
    <w:rsid w:val="00222375"/>
    <w:rsid w:val="002228B5"/>
    <w:rsid w:val="00222AFF"/>
    <w:rsid w:val="00223C0C"/>
    <w:rsid w:val="00225DE9"/>
    <w:rsid w:val="002260DE"/>
    <w:rsid w:val="002276E2"/>
    <w:rsid w:val="00230BE4"/>
    <w:rsid w:val="00232B52"/>
    <w:rsid w:val="00234AC0"/>
    <w:rsid w:val="002369CF"/>
    <w:rsid w:val="00236C9F"/>
    <w:rsid w:val="00237FBB"/>
    <w:rsid w:val="0024091A"/>
    <w:rsid w:val="00240E16"/>
    <w:rsid w:val="00241252"/>
    <w:rsid w:val="00241E5F"/>
    <w:rsid w:val="00242032"/>
    <w:rsid w:val="00242054"/>
    <w:rsid w:val="002435FB"/>
    <w:rsid w:val="00243A8C"/>
    <w:rsid w:val="00243E3C"/>
    <w:rsid w:val="00243E3F"/>
    <w:rsid w:val="0024602F"/>
    <w:rsid w:val="002461D7"/>
    <w:rsid w:val="002528E2"/>
    <w:rsid w:val="00252D95"/>
    <w:rsid w:val="0025324A"/>
    <w:rsid w:val="00253A46"/>
    <w:rsid w:val="002546DD"/>
    <w:rsid w:val="0025494A"/>
    <w:rsid w:val="002552DB"/>
    <w:rsid w:val="00257587"/>
    <w:rsid w:val="00257D33"/>
    <w:rsid w:val="00261B8B"/>
    <w:rsid w:val="00262521"/>
    <w:rsid w:val="0026409A"/>
    <w:rsid w:val="002640E0"/>
    <w:rsid w:val="00264921"/>
    <w:rsid w:val="00265164"/>
    <w:rsid w:val="00266736"/>
    <w:rsid w:val="00270B39"/>
    <w:rsid w:val="00270D8B"/>
    <w:rsid w:val="00271148"/>
    <w:rsid w:val="00271319"/>
    <w:rsid w:val="00272CAB"/>
    <w:rsid w:val="00274CA2"/>
    <w:rsid w:val="00275142"/>
    <w:rsid w:val="00276A73"/>
    <w:rsid w:val="002777BF"/>
    <w:rsid w:val="0028066C"/>
    <w:rsid w:val="00281455"/>
    <w:rsid w:val="00281729"/>
    <w:rsid w:val="002817C4"/>
    <w:rsid w:val="0028265D"/>
    <w:rsid w:val="002831A8"/>
    <w:rsid w:val="002835D9"/>
    <w:rsid w:val="00284D1A"/>
    <w:rsid w:val="002850B5"/>
    <w:rsid w:val="002855F4"/>
    <w:rsid w:val="00285952"/>
    <w:rsid w:val="00285B26"/>
    <w:rsid w:val="00286AEA"/>
    <w:rsid w:val="00286B8F"/>
    <w:rsid w:val="002876AC"/>
    <w:rsid w:val="0028786A"/>
    <w:rsid w:val="00287C66"/>
    <w:rsid w:val="00287CDD"/>
    <w:rsid w:val="00290B04"/>
    <w:rsid w:val="00292B6E"/>
    <w:rsid w:val="00292BC1"/>
    <w:rsid w:val="00293EE4"/>
    <w:rsid w:val="00294946"/>
    <w:rsid w:val="00297A76"/>
    <w:rsid w:val="00297AF6"/>
    <w:rsid w:val="002A09DC"/>
    <w:rsid w:val="002A0C4D"/>
    <w:rsid w:val="002A0E41"/>
    <w:rsid w:val="002A1D3F"/>
    <w:rsid w:val="002A2D60"/>
    <w:rsid w:val="002A5336"/>
    <w:rsid w:val="002A5443"/>
    <w:rsid w:val="002B059D"/>
    <w:rsid w:val="002B16BD"/>
    <w:rsid w:val="002B1DA8"/>
    <w:rsid w:val="002B256E"/>
    <w:rsid w:val="002B2B2E"/>
    <w:rsid w:val="002B4202"/>
    <w:rsid w:val="002B46ED"/>
    <w:rsid w:val="002B4DD8"/>
    <w:rsid w:val="002B68EF"/>
    <w:rsid w:val="002B6C61"/>
    <w:rsid w:val="002B6C95"/>
    <w:rsid w:val="002B7467"/>
    <w:rsid w:val="002C1C2D"/>
    <w:rsid w:val="002C2FEA"/>
    <w:rsid w:val="002C3653"/>
    <w:rsid w:val="002C3B30"/>
    <w:rsid w:val="002C5A89"/>
    <w:rsid w:val="002C5D53"/>
    <w:rsid w:val="002C74A8"/>
    <w:rsid w:val="002C74D5"/>
    <w:rsid w:val="002C799A"/>
    <w:rsid w:val="002C7A6D"/>
    <w:rsid w:val="002D1AFC"/>
    <w:rsid w:val="002D2587"/>
    <w:rsid w:val="002D2803"/>
    <w:rsid w:val="002D2DBB"/>
    <w:rsid w:val="002D310B"/>
    <w:rsid w:val="002D3731"/>
    <w:rsid w:val="002D3939"/>
    <w:rsid w:val="002D4010"/>
    <w:rsid w:val="002D4440"/>
    <w:rsid w:val="002D5438"/>
    <w:rsid w:val="002D5ED7"/>
    <w:rsid w:val="002D6029"/>
    <w:rsid w:val="002D696C"/>
    <w:rsid w:val="002D7C67"/>
    <w:rsid w:val="002E0530"/>
    <w:rsid w:val="002E0D74"/>
    <w:rsid w:val="002E178B"/>
    <w:rsid w:val="002E267A"/>
    <w:rsid w:val="002E357E"/>
    <w:rsid w:val="002E5948"/>
    <w:rsid w:val="002E6020"/>
    <w:rsid w:val="002E6461"/>
    <w:rsid w:val="002E71D0"/>
    <w:rsid w:val="002E7904"/>
    <w:rsid w:val="002F1A71"/>
    <w:rsid w:val="002F25BD"/>
    <w:rsid w:val="002F3062"/>
    <w:rsid w:val="002F3773"/>
    <w:rsid w:val="002F4863"/>
    <w:rsid w:val="002F4B72"/>
    <w:rsid w:val="002F56ED"/>
    <w:rsid w:val="002F72B1"/>
    <w:rsid w:val="002F7A60"/>
    <w:rsid w:val="003001D1"/>
    <w:rsid w:val="003007A6"/>
    <w:rsid w:val="00300A9B"/>
    <w:rsid w:val="00300B3E"/>
    <w:rsid w:val="0030147A"/>
    <w:rsid w:val="003024CB"/>
    <w:rsid w:val="00303593"/>
    <w:rsid w:val="00303950"/>
    <w:rsid w:val="00303A9C"/>
    <w:rsid w:val="003042FD"/>
    <w:rsid w:val="003053C9"/>
    <w:rsid w:val="0030555A"/>
    <w:rsid w:val="00306876"/>
    <w:rsid w:val="0030688B"/>
    <w:rsid w:val="00307083"/>
    <w:rsid w:val="0031375D"/>
    <w:rsid w:val="003141B2"/>
    <w:rsid w:val="00314D85"/>
    <w:rsid w:val="00315994"/>
    <w:rsid w:val="003162FA"/>
    <w:rsid w:val="00320196"/>
    <w:rsid w:val="00320585"/>
    <w:rsid w:val="00320BAC"/>
    <w:rsid w:val="00321424"/>
    <w:rsid w:val="00321CF4"/>
    <w:rsid w:val="00322044"/>
    <w:rsid w:val="00322E08"/>
    <w:rsid w:val="003230BC"/>
    <w:rsid w:val="00323292"/>
    <w:rsid w:val="0032375A"/>
    <w:rsid w:val="003237A7"/>
    <w:rsid w:val="003237D8"/>
    <w:rsid w:val="00323F85"/>
    <w:rsid w:val="003246C9"/>
    <w:rsid w:val="00324838"/>
    <w:rsid w:val="003248E3"/>
    <w:rsid w:val="003256D4"/>
    <w:rsid w:val="00325ECC"/>
    <w:rsid w:val="003261F0"/>
    <w:rsid w:val="0032689E"/>
    <w:rsid w:val="00326E30"/>
    <w:rsid w:val="00327B5C"/>
    <w:rsid w:val="00327E44"/>
    <w:rsid w:val="00330348"/>
    <w:rsid w:val="003321CD"/>
    <w:rsid w:val="00332E20"/>
    <w:rsid w:val="003352CC"/>
    <w:rsid w:val="00336B5C"/>
    <w:rsid w:val="00337C9E"/>
    <w:rsid w:val="0034074B"/>
    <w:rsid w:val="00340CFF"/>
    <w:rsid w:val="00341394"/>
    <w:rsid w:val="003423BF"/>
    <w:rsid w:val="00342C64"/>
    <w:rsid w:val="00343476"/>
    <w:rsid w:val="00343B85"/>
    <w:rsid w:val="00344766"/>
    <w:rsid w:val="0034495B"/>
    <w:rsid w:val="003451EB"/>
    <w:rsid w:val="0034559E"/>
    <w:rsid w:val="0034673D"/>
    <w:rsid w:val="00346E92"/>
    <w:rsid w:val="00347C1B"/>
    <w:rsid w:val="00350167"/>
    <w:rsid w:val="0035030F"/>
    <w:rsid w:val="00350465"/>
    <w:rsid w:val="0035131D"/>
    <w:rsid w:val="00351D08"/>
    <w:rsid w:val="00351DEB"/>
    <w:rsid w:val="00351E7B"/>
    <w:rsid w:val="00352839"/>
    <w:rsid w:val="0035347A"/>
    <w:rsid w:val="00353498"/>
    <w:rsid w:val="0035443C"/>
    <w:rsid w:val="00355885"/>
    <w:rsid w:val="00356A6E"/>
    <w:rsid w:val="00356D65"/>
    <w:rsid w:val="003575C4"/>
    <w:rsid w:val="00360707"/>
    <w:rsid w:val="00360978"/>
    <w:rsid w:val="00360E38"/>
    <w:rsid w:val="00361E4E"/>
    <w:rsid w:val="00362995"/>
    <w:rsid w:val="00363751"/>
    <w:rsid w:val="0036436A"/>
    <w:rsid w:val="00364EC6"/>
    <w:rsid w:val="003656E4"/>
    <w:rsid w:val="003661D7"/>
    <w:rsid w:val="00370492"/>
    <w:rsid w:val="00370B4C"/>
    <w:rsid w:val="0037110A"/>
    <w:rsid w:val="00373AB1"/>
    <w:rsid w:val="00374957"/>
    <w:rsid w:val="00375B91"/>
    <w:rsid w:val="0037608F"/>
    <w:rsid w:val="003777A4"/>
    <w:rsid w:val="003813FF"/>
    <w:rsid w:val="00383D7C"/>
    <w:rsid w:val="00383EE6"/>
    <w:rsid w:val="003848A4"/>
    <w:rsid w:val="00386002"/>
    <w:rsid w:val="003861B7"/>
    <w:rsid w:val="00386322"/>
    <w:rsid w:val="003866F2"/>
    <w:rsid w:val="003867F6"/>
    <w:rsid w:val="0038729A"/>
    <w:rsid w:val="00387630"/>
    <w:rsid w:val="003904CB"/>
    <w:rsid w:val="00392877"/>
    <w:rsid w:val="00392B28"/>
    <w:rsid w:val="003931A9"/>
    <w:rsid w:val="00393287"/>
    <w:rsid w:val="0039346B"/>
    <w:rsid w:val="00396660"/>
    <w:rsid w:val="003A0239"/>
    <w:rsid w:val="003A02ED"/>
    <w:rsid w:val="003A0520"/>
    <w:rsid w:val="003A06CE"/>
    <w:rsid w:val="003A0927"/>
    <w:rsid w:val="003A380C"/>
    <w:rsid w:val="003A4205"/>
    <w:rsid w:val="003A4E75"/>
    <w:rsid w:val="003A5529"/>
    <w:rsid w:val="003A6567"/>
    <w:rsid w:val="003A6A0E"/>
    <w:rsid w:val="003A6F88"/>
    <w:rsid w:val="003B1019"/>
    <w:rsid w:val="003B15D3"/>
    <w:rsid w:val="003B1DA8"/>
    <w:rsid w:val="003B3C51"/>
    <w:rsid w:val="003B6104"/>
    <w:rsid w:val="003B7996"/>
    <w:rsid w:val="003B7CC0"/>
    <w:rsid w:val="003B7F61"/>
    <w:rsid w:val="003C06DA"/>
    <w:rsid w:val="003C0C38"/>
    <w:rsid w:val="003C25E1"/>
    <w:rsid w:val="003C2663"/>
    <w:rsid w:val="003C470D"/>
    <w:rsid w:val="003C547C"/>
    <w:rsid w:val="003C65EF"/>
    <w:rsid w:val="003C6645"/>
    <w:rsid w:val="003C6752"/>
    <w:rsid w:val="003C67E9"/>
    <w:rsid w:val="003C6B8B"/>
    <w:rsid w:val="003C7348"/>
    <w:rsid w:val="003C7B00"/>
    <w:rsid w:val="003D205F"/>
    <w:rsid w:val="003D2194"/>
    <w:rsid w:val="003D2384"/>
    <w:rsid w:val="003D2813"/>
    <w:rsid w:val="003D2E70"/>
    <w:rsid w:val="003D2E88"/>
    <w:rsid w:val="003D478B"/>
    <w:rsid w:val="003D4962"/>
    <w:rsid w:val="003D5417"/>
    <w:rsid w:val="003D70AA"/>
    <w:rsid w:val="003D73BB"/>
    <w:rsid w:val="003E0A5D"/>
    <w:rsid w:val="003E226D"/>
    <w:rsid w:val="003E28E7"/>
    <w:rsid w:val="003E3A36"/>
    <w:rsid w:val="003E4384"/>
    <w:rsid w:val="003E4917"/>
    <w:rsid w:val="003E512B"/>
    <w:rsid w:val="003E568B"/>
    <w:rsid w:val="003E59A7"/>
    <w:rsid w:val="003E64B7"/>
    <w:rsid w:val="003E7AF2"/>
    <w:rsid w:val="003F18C3"/>
    <w:rsid w:val="003F1938"/>
    <w:rsid w:val="003F19ED"/>
    <w:rsid w:val="003F2143"/>
    <w:rsid w:val="003F26A9"/>
    <w:rsid w:val="003F3BEC"/>
    <w:rsid w:val="003F45A4"/>
    <w:rsid w:val="003F614C"/>
    <w:rsid w:val="003F686A"/>
    <w:rsid w:val="003F6900"/>
    <w:rsid w:val="003F726F"/>
    <w:rsid w:val="0040161F"/>
    <w:rsid w:val="00402352"/>
    <w:rsid w:val="004031B2"/>
    <w:rsid w:val="00403DF6"/>
    <w:rsid w:val="00405628"/>
    <w:rsid w:val="00406A14"/>
    <w:rsid w:val="00406F28"/>
    <w:rsid w:val="00410074"/>
    <w:rsid w:val="00411924"/>
    <w:rsid w:val="00411973"/>
    <w:rsid w:val="00413E8A"/>
    <w:rsid w:val="00413FEE"/>
    <w:rsid w:val="00415EE9"/>
    <w:rsid w:val="00417309"/>
    <w:rsid w:val="00420CF9"/>
    <w:rsid w:val="004217D0"/>
    <w:rsid w:val="00422FF1"/>
    <w:rsid w:val="004239B4"/>
    <w:rsid w:val="00423E36"/>
    <w:rsid w:val="0042417D"/>
    <w:rsid w:val="00424E94"/>
    <w:rsid w:val="004251AE"/>
    <w:rsid w:val="004256EF"/>
    <w:rsid w:val="00425D76"/>
    <w:rsid w:val="00427127"/>
    <w:rsid w:val="00427574"/>
    <w:rsid w:val="0042783F"/>
    <w:rsid w:val="00430382"/>
    <w:rsid w:val="0043077C"/>
    <w:rsid w:val="004312C9"/>
    <w:rsid w:val="004317E9"/>
    <w:rsid w:val="00432E66"/>
    <w:rsid w:val="00433E7E"/>
    <w:rsid w:val="00435DAA"/>
    <w:rsid w:val="00436486"/>
    <w:rsid w:val="00436533"/>
    <w:rsid w:val="0043667C"/>
    <w:rsid w:val="00436B34"/>
    <w:rsid w:val="00436EAB"/>
    <w:rsid w:val="004370BF"/>
    <w:rsid w:val="004408E2"/>
    <w:rsid w:val="004421A1"/>
    <w:rsid w:val="00442494"/>
    <w:rsid w:val="00442F39"/>
    <w:rsid w:val="00444739"/>
    <w:rsid w:val="00445183"/>
    <w:rsid w:val="00445244"/>
    <w:rsid w:val="00445DC5"/>
    <w:rsid w:val="004462E7"/>
    <w:rsid w:val="00446953"/>
    <w:rsid w:val="004500BB"/>
    <w:rsid w:val="00452EB2"/>
    <w:rsid w:val="00453010"/>
    <w:rsid w:val="0045309C"/>
    <w:rsid w:val="00453E7A"/>
    <w:rsid w:val="00457043"/>
    <w:rsid w:val="004576A9"/>
    <w:rsid w:val="00457BDD"/>
    <w:rsid w:val="00460101"/>
    <w:rsid w:val="00460A73"/>
    <w:rsid w:val="00460EFD"/>
    <w:rsid w:val="00462EDA"/>
    <w:rsid w:val="00462F7E"/>
    <w:rsid w:val="00464204"/>
    <w:rsid w:val="004647AA"/>
    <w:rsid w:val="00464B35"/>
    <w:rsid w:val="0046625A"/>
    <w:rsid w:val="004665C4"/>
    <w:rsid w:val="00466B5A"/>
    <w:rsid w:val="004670A2"/>
    <w:rsid w:val="00467688"/>
    <w:rsid w:val="004701F2"/>
    <w:rsid w:val="004704EB"/>
    <w:rsid w:val="00471431"/>
    <w:rsid w:val="004720A5"/>
    <w:rsid w:val="00474647"/>
    <w:rsid w:val="004752C9"/>
    <w:rsid w:val="00475425"/>
    <w:rsid w:val="00475EE4"/>
    <w:rsid w:val="00476DAA"/>
    <w:rsid w:val="0048081C"/>
    <w:rsid w:val="00480D97"/>
    <w:rsid w:val="00481D5C"/>
    <w:rsid w:val="00481F2A"/>
    <w:rsid w:val="004828DE"/>
    <w:rsid w:val="00482A84"/>
    <w:rsid w:val="00483096"/>
    <w:rsid w:val="00483572"/>
    <w:rsid w:val="0048360F"/>
    <w:rsid w:val="00483C70"/>
    <w:rsid w:val="00484612"/>
    <w:rsid w:val="0048517E"/>
    <w:rsid w:val="00485748"/>
    <w:rsid w:val="0048575D"/>
    <w:rsid w:val="00485E2C"/>
    <w:rsid w:val="00486BFF"/>
    <w:rsid w:val="00487252"/>
    <w:rsid w:val="00487857"/>
    <w:rsid w:val="00490631"/>
    <w:rsid w:val="00490690"/>
    <w:rsid w:val="00492861"/>
    <w:rsid w:val="0049396E"/>
    <w:rsid w:val="0049414F"/>
    <w:rsid w:val="004967E8"/>
    <w:rsid w:val="004970FE"/>
    <w:rsid w:val="004971DB"/>
    <w:rsid w:val="004A0DF3"/>
    <w:rsid w:val="004A1505"/>
    <w:rsid w:val="004A31A1"/>
    <w:rsid w:val="004A42FE"/>
    <w:rsid w:val="004A496D"/>
    <w:rsid w:val="004A4E27"/>
    <w:rsid w:val="004A5A87"/>
    <w:rsid w:val="004A77A0"/>
    <w:rsid w:val="004B06B0"/>
    <w:rsid w:val="004B08EF"/>
    <w:rsid w:val="004B1390"/>
    <w:rsid w:val="004B46C7"/>
    <w:rsid w:val="004B4730"/>
    <w:rsid w:val="004B4B06"/>
    <w:rsid w:val="004B4BC7"/>
    <w:rsid w:val="004C02E8"/>
    <w:rsid w:val="004C0A88"/>
    <w:rsid w:val="004C0D1C"/>
    <w:rsid w:val="004C10D7"/>
    <w:rsid w:val="004C12D8"/>
    <w:rsid w:val="004C12FE"/>
    <w:rsid w:val="004C1E5C"/>
    <w:rsid w:val="004C2E57"/>
    <w:rsid w:val="004C3BDB"/>
    <w:rsid w:val="004C4150"/>
    <w:rsid w:val="004C4182"/>
    <w:rsid w:val="004C502B"/>
    <w:rsid w:val="004C71FA"/>
    <w:rsid w:val="004D219D"/>
    <w:rsid w:val="004D245B"/>
    <w:rsid w:val="004D2D68"/>
    <w:rsid w:val="004D2DF0"/>
    <w:rsid w:val="004D2EBA"/>
    <w:rsid w:val="004D49F2"/>
    <w:rsid w:val="004D4BCC"/>
    <w:rsid w:val="004D4D62"/>
    <w:rsid w:val="004D4EFC"/>
    <w:rsid w:val="004D7E4A"/>
    <w:rsid w:val="004D7F03"/>
    <w:rsid w:val="004E046C"/>
    <w:rsid w:val="004E114B"/>
    <w:rsid w:val="004E14C7"/>
    <w:rsid w:val="004E2000"/>
    <w:rsid w:val="004E240C"/>
    <w:rsid w:val="004E2FB8"/>
    <w:rsid w:val="004E30D0"/>
    <w:rsid w:val="004E3713"/>
    <w:rsid w:val="004E3CAF"/>
    <w:rsid w:val="004E460A"/>
    <w:rsid w:val="004E469C"/>
    <w:rsid w:val="004E4ED8"/>
    <w:rsid w:val="004E7369"/>
    <w:rsid w:val="004E73FB"/>
    <w:rsid w:val="004F1B60"/>
    <w:rsid w:val="004F325A"/>
    <w:rsid w:val="004F4469"/>
    <w:rsid w:val="004F58C5"/>
    <w:rsid w:val="004F6202"/>
    <w:rsid w:val="004F7A7B"/>
    <w:rsid w:val="004F7C69"/>
    <w:rsid w:val="005004B5"/>
    <w:rsid w:val="0050199B"/>
    <w:rsid w:val="00501E3F"/>
    <w:rsid w:val="00501ECE"/>
    <w:rsid w:val="00501FE8"/>
    <w:rsid w:val="005022C5"/>
    <w:rsid w:val="00502EDE"/>
    <w:rsid w:val="00505414"/>
    <w:rsid w:val="005057A9"/>
    <w:rsid w:val="00505F58"/>
    <w:rsid w:val="0050648D"/>
    <w:rsid w:val="005064A0"/>
    <w:rsid w:val="005106E3"/>
    <w:rsid w:val="005133B6"/>
    <w:rsid w:val="005151B5"/>
    <w:rsid w:val="00515D28"/>
    <w:rsid w:val="005202C6"/>
    <w:rsid w:val="0052100F"/>
    <w:rsid w:val="005213EC"/>
    <w:rsid w:val="00521904"/>
    <w:rsid w:val="0052323B"/>
    <w:rsid w:val="00523278"/>
    <w:rsid w:val="0052458A"/>
    <w:rsid w:val="005249CD"/>
    <w:rsid w:val="00525252"/>
    <w:rsid w:val="0052552F"/>
    <w:rsid w:val="00525E80"/>
    <w:rsid w:val="00526420"/>
    <w:rsid w:val="0052799E"/>
    <w:rsid w:val="00530B38"/>
    <w:rsid w:val="00530F30"/>
    <w:rsid w:val="00531309"/>
    <w:rsid w:val="00533544"/>
    <w:rsid w:val="00533788"/>
    <w:rsid w:val="00534069"/>
    <w:rsid w:val="005342A5"/>
    <w:rsid w:val="00534AEE"/>
    <w:rsid w:val="0053678D"/>
    <w:rsid w:val="005372A4"/>
    <w:rsid w:val="005377DF"/>
    <w:rsid w:val="00537E0E"/>
    <w:rsid w:val="00541B5A"/>
    <w:rsid w:val="00541BF5"/>
    <w:rsid w:val="00542D0B"/>
    <w:rsid w:val="005430F9"/>
    <w:rsid w:val="005459E6"/>
    <w:rsid w:val="00546D16"/>
    <w:rsid w:val="00547AB8"/>
    <w:rsid w:val="00550232"/>
    <w:rsid w:val="00551483"/>
    <w:rsid w:val="00552652"/>
    <w:rsid w:val="00552860"/>
    <w:rsid w:val="00553598"/>
    <w:rsid w:val="00554022"/>
    <w:rsid w:val="0055403A"/>
    <w:rsid w:val="00554F0B"/>
    <w:rsid w:val="00555080"/>
    <w:rsid w:val="00555C5C"/>
    <w:rsid w:val="00556824"/>
    <w:rsid w:val="0055688D"/>
    <w:rsid w:val="00556D32"/>
    <w:rsid w:val="0055732A"/>
    <w:rsid w:val="00557A5E"/>
    <w:rsid w:val="00560307"/>
    <w:rsid w:val="005608ED"/>
    <w:rsid w:val="00560CA2"/>
    <w:rsid w:val="00560E61"/>
    <w:rsid w:val="0056201A"/>
    <w:rsid w:val="0056286D"/>
    <w:rsid w:val="00562C0A"/>
    <w:rsid w:val="0056378F"/>
    <w:rsid w:val="00564129"/>
    <w:rsid w:val="0056481B"/>
    <w:rsid w:val="00565419"/>
    <w:rsid w:val="0056679D"/>
    <w:rsid w:val="005667CA"/>
    <w:rsid w:val="005669ED"/>
    <w:rsid w:val="00567937"/>
    <w:rsid w:val="00570581"/>
    <w:rsid w:val="005708E9"/>
    <w:rsid w:val="00571B12"/>
    <w:rsid w:val="00572240"/>
    <w:rsid w:val="005724D5"/>
    <w:rsid w:val="005729CA"/>
    <w:rsid w:val="00572CA7"/>
    <w:rsid w:val="00575423"/>
    <w:rsid w:val="00577D85"/>
    <w:rsid w:val="005807C8"/>
    <w:rsid w:val="00582E4C"/>
    <w:rsid w:val="005836AB"/>
    <w:rsid w:val="0058464E"/>
    <w:rsid w:val="005847ED"/>
    <w:rsid w:val="0058496C"/>
    <w:rsid w:val="00584A30"/>
    <w:rsid w:val="00584F69"/>
    <w:rsid w:val="00585140"/>
    <w:rsid w:val="005854B2"/>
    <w:rsid w:val="00585725"/>
    <w:rsid w:val="00586EFF"/>
    <w:rsid w:val="00587852"/>
    <w:rsid w:val="00590FEA"/>
    <w:rsid w:val="00591CCB"/>
    <w:rsid w:val="005920A5"/>
    <w:rsid w:val="005922D5"/>
    <w:rsid w:val="00593F20"/>
    <w:rsid w:val="0059423E"/>
    <w:rsid w:val="00594B2A"/>
    <w:rsid w:val="00596176"/>
    <w:rsid w:val="00596E47"/>
    <w:rsid w:val="005A02E0"/>
    <w:rsid w:val="005A1DCB"/>
    <w:rsid w:val="005A2447"/>
    <w:rsid w:val="005A3A66"/>
    <w:rsid w:val="005A3CF8"/>
    <w:rsid w:val="005A3E25"/>
    <w:rsid w:val="005A7ED5"/>
    <w:rsid w:val="005B0052"/>
    <w:rsid w:val="005B07F8"/>
    <w:rsid w:val="005B113E"/>
    <w:rsid w:val="005B3561"/>
    <w:rsid w:val="005B50D2"/>
    <w:rsid w:val="005B5722"/>
    <w:rsid w:val="005B7CB2"/>
    <w:rsid w:val="005B7DB8"/>
    <w:rsid w:val="005C0900"/>
    <w:rsid w:val="005C0C2F"/>
    <w:rsid w:val="005C10F0"/>
    <w:rsid w:val="005C2A4C"/>
    <w:rsid w:val="005C2B31"/>
    <w:rsid w:val="005C31E8"/>
    <w:rsid w:val="005C48ED"/>
    <w:rsid w:val="005C4928"/>
    <w:rsid w:val="005C671E"/>
    <w:rsid w:val="005C70E9"/>
    <w:rsid w:val="005C7553"/>
    <w:rsid w:val="005C7D91"/>
    <w:rsid w:val="005D10F9"/>
    <w:rsid w:val="005D254B"/>
    <w:rsid w:val="005D2728"/>
    <w:rsid w:val="005D4306"/>
    <w:rsid w:val="005D50A6"/>
    <w:rsid w:val="005D5C35"/>
    <w:rsid w:val="005D6048"/>
    <w:rsid w:val="005D7125"/>
    <w:rsid w:val="005D7B25"/>
    <w:rsid w:val="005E07BC"/>
    <w:rsid w:val="005E22E7"/>
    <w:rsid w:val="005E26A4"/>
    <w:rsid w:val="005E3CD2"/>
    <w:rsid w:val="005E523B"/>
    <w:rsid w:val="005F1BF7"/>
    <w:rsid w:val="005F24C8"/>
    <w:rsid w:val="005F25C9"/>
    <w:rsid w:val="005F2A38"/>
    <w:rsid w:val="005F2B53"/>
    <w:rsid w:val="005F3829"/>
    <w:rsid w:val="005F445E"/>
    <w:rsid w:val="005F479A"/>
    <w:rsid w:val="005F54AB"/>
    <w:rsid w:val="005F5989"/>
    <w:rsid w:val="005F60F2"/>
    <w:rsid w:val="005F6316"/>
    <w:rsid w:val="005F65A8"/>
    <w:rsid w:val="005F6733"/>
    <w:rsid w:val="005F680D"/>
    <w:rsid w:val="005F6A17"/>
    <w:rsid w:val="005F6DE2"/>
    <w:rsid w:val="005F70BA"/>
    <w:rsid w:val="005F7F4D"/>
    <w:rsid w:val="00600BE3"/>
    <w:rsid w:val="006017DF"/>
    <w:rsid w:val="00601901"/>
    <w:rsid w:val="00601E03"/>
    <w:rsid w:val="00602156"/>
    <w:rsid w:val="00602ED4"/>
    <w:rsid w:val="00603A20"/>
    <w:rsid w:val="0060475E"/>
    <w:rsid w:val="00607E79"/>
    <w:rsid w:val="00607F65"/>
    <w:rsid w:val="00612170"/>
    <w:rsid w:val="00612FB3"/>
    <w:rsid w:val="00613838"/>
    <w:rsid w:val="00614091"/>
    <w:rsid w:val="00615782"/>
    <w:rsid w:val="00615DAA"/>
    <w:rsid w:val="006204F7"/>
    <w:rsid w:val="00620DC7"/>
    <w:rsid w:val="006216E7"/>
    <w:rsid w:val="006221D2"/>
    <w:rsid w:val="006234A9"/>
    <w:rsid w:val="00623B93"/>
    <w:rsid w:val="00625363"/>
    <w:rsid w:val="00625446"/>
    <w:rsid w:val="0062554A"/>
    <w:rsid w:val="00626D0A"/>
    <w:rsid w:val="00630023"/>
    <w:rsid w:val="00630956"/>
    <w:rsid w:val="00630C65"/>
    <w:rsid w:val="00632B6F"/>
    <w:rsid w:val="006347CA"/>
    <w:rsid w:val="00635B1B"/>
    <w:rsid w:val="006377FF"/>
    <w:rsid w:val="00637B31"/>
    <w:rsid w:val="00640C78"/>
    <w:rsid w:val="00642FBA"/>
    <w:rsid w:val="00643332"/>
    <w:rsid w:val="00643411"/>
    <w:rsid w:val="0064352A"/>
    <w:rsid w:val="00643772"/>
    <w:rsid w:val="00644064"/>
    <w:rsid w:val="00644F7F"/>
    <w:rsid w:val="00645E6C"/>
    <w:rsid w:val="00646DC4"/>
    <w:rsid w:val="0064712B"/>
    <w:rsid w:val="00647195"/>
    <w:rsid w:val="00647554"/>
    <w:rsid w:val="006475AE"/>
    <w:rsid w:val="006507B8"/>
    <w:rsid w:val="0065275B"/>
    <w:rsid w:val="00652B55"/>
    <w:rsid w:val="006533A0"/>
    <w:rsid w:val="006546F4"/>
    <w:rsid w:val="00655B4F"/>
    <w:rsid w:val="00656B1A"/>
    <w:rsid w:val="00656ECD"/>
    <w:rsid w:val="00656FFB"/>
    <w:rsid w:val="00657EBC"/>
    <w:rsid w:val="00660569"/>
    <w:rsid w:val="00660789"/>
    <w:rsid w:val="00660ABA"/>
    <w:rsid w:val="006618AB"/>
    <w:rsid w:val="006623C1"/>
    <w:rsid w:val="006635A3"/>
    <w:rsid w:val="00663DE5"/>
    <w:rsid w:val="00663F85"/>
    <w:rsid w:val="00664515"/>
    <w:rsid w:val="006646E6"/>
    <w:rsid w:val="0066637B"/>
    <w:rsid w:val="006673AB"/>
    <w:rsid w:val="00667F30"/>
    <w:rsid w:val="00670694"/>
    <w:rsid w:val="00670B67"/>
    <w:rsid w:val="006723C2"/>
    <w:rsid w:val="006728A6"/>
    <w:rsid w:val="00673D3F"/>
    <w:rsid w:val="00674BC5"/>
    <w:rsid w:val="00674FEA"/>
    <w:rsid w:val="0067774D"/>
    <w:rsid w:val="00680BEA"/>
    <w:rsid w:val="00681F07"/>
    <w:rsid w:val="00682678"/>
    <w:rsid w:val="00682770"/>
    <w:rsid w:val="00682C7C"/>
    <w:rsid w:val="00682D93"/>
    <w:rsid w:val="00683CD2"/>
    <w:rsid w:val="0068636B"/>
    <w:rsid w:val="006875BB"/>
    <w:rsid w:val="00687F95"/>
    <w:rsid w:val="006907DC"/>
    <w:rsid w:val="006915DC"/>
    <w:rsid w:val="00691B24"/>
    <w:rsid w:val="00692E3A"/>
    <w:rsid w:val="0069352D"/>
    <w:rsid w:val="006954C9"/>
    <w:rsid w:val="006958DE"/>
    <w:rsid w:val="006962D1"/>
    <w:rsid w:val="00696EB7"/>
    <w:rsid w:val="00696F4E"/>
    <w:rsid w:val="00697651"/>
    <w:rsid w:val="006A03A9"/>
    <w:rsid w:val="006A25DD"/>
    <w:rsid w:val="006A3376"/>
    <w:rsid w:val="006A4A30"/>
    <w:rsid w:val="006A6A26"/>
    <w:rsid w:val="006A6DF9"/>
    <w:rsid w:val="006A71B4"/>
    <w:rsid w:val="006A73BE"/>
    <w:rsid w:val="006A745C"/>
    <w:rsid w:val="006A7A12"/>
    <w:rsid w:val="006A7A7D"/>
    <w:rsid w:val="006B04AE"/>
    <w:rsid w:val="006B0658"/>
    <w:rsid w:val="006B0A71"/>
    <w:rsid w:val="006B0C54"/>
    <w:rsid w:val="006B0EAF"/>
    <w:rsid w:val="006B21EF"/>
    <w:rsid w:val="006B24BC"/>
    <w:rsid w:val="006B593B"/>
    <w:rsid w:val="006B5DDA"/>
    <w:rsid w:val="006B69D4"/>
    <w:rsid w:val="006B71FF"/>
    <w:rsid w:val="006B79B8"/>
    <w:rsid w:val="006B7C71"/>
    <w:rsid w:val="006C054A"/>
    <w:rsid w:val="006C20BF"/>
    <w:rsid w:val="006C28D1"/>
    <w:rsid w:val="006C5315"/>
    <w:rsid w:val="006C5E02"/>
    <w:rsid w:val="006C5F16"/>
    <w:rsid w:val="006C6273"/>
    <w:rsid w:val="006C645B"/>
    <w:rsid w:val="006C6B43"/>
    <w:rsid w:val="006C6CB1"/>
    <w:rsid w:val="006C7246"/>
    <w:rsid w:val="006C76A4"/>
    <w:rsid w:val="006C7920"/>
    <w:rsid w:val="006D0020"/>
    <w:rsid w:val="006D0FF9"/>
    <w:rsid w:val="006D1382"/>
    <w:rsid w:val="006D14A8"/>
    <w:rsid w:val="006D1890"/>
    <w:rsid w:val="006D455F"/>
    <w:rsid w:val="006D4B47"/>
    <w:rsid w:val="006D7007"/>
    <w:rsid w:val="006D7A34"/>
    <w:rsid w:val="006D7C4D"/>
    <w:rsid w:val="006D7E9B"/>
    <w:rsid w:val="006E0B52"/>
    <w:rsid w:val="006E169E"/>
    <w:rsid w:val="006E1C8B"/>
    <w:rsid w:val="006E25C9"/>
    <w:rsid w:val="006E7B75"/>
    <w:rsid w:val="006F0510"/>
    <w:rsid w:val="006F0965"/>
    <w:rsid w:val="006F0AA5"/>
    <w:rsid w:val="006F0B3D"/>
    <w:rsid w:val="006F1099"/>
    <w:rsid w:val="006F17A5"/>
    <w:rsid w:val="006F294C"/>
    <w:rsid w:val="006F2FEE"/>
    <w:rsid w:val="006F3635"/>
    <w:rsid w:val="006F5A79"/>
    <w:rsid w:val="006F5A88"/>
    <w:rsid w:val="006F6E95"/>
    <w:rsid w:val="006F79F4"/>
    <w:rsid w:val="006F7B5D"/>
    <w:rsid w:val="006F7BC0"/>
    <w:rsid w:val="00700390"/>
    <w:rsid w:val="0070135A"/>
    <w:rsid w:val="00702687"/>
    <w:rsid w:val="00702C17"/>
    <w:rsid w:val="00703638"/>
    <w:rsid w:val="00704666"/>
    <w:rsid w:val="007046DA"/>
    <w:rsid w:val="007046DD"/>
    <w:rsid w:val="00704C33"/>
    <w:rsid w:val="00705BA1"/>
    <w:rsid w:val="00706CCC"/>
    <w:rsid w:val="00707DAF"/>
    <w:rsid w:val="0071018B"/>
    <w:rsid w:val="00712C65"/>
    <w:rsid w:val="00712DE0"/>
    <w:rsid w:val="0071389B"/>
    <w:rsid w:val="00715357"/>
    <w:rsid w:val="007165F3"/>
    <w:rsid w:val="00717353"/>
    <w:rsid w:val="00717C97"/>
    <w:rsid w:val="00717F57"/>
    <w:rsid w:val="0072066A"/>
    <w:rsid w:val="0072095D"/>
    <w:rsid w:val="00720DBF"/>
    <w:rsid w:val="00723499"/>
    <w:rsid w:val="00723D88"/>
    <w:rsid w:val="00723E1D"/>
    <w:rsid w:val="00723EEB"/>
    <w:rsid w:val="007241B1"/>
    <w:rsid w:val="00724F7F"/>
    <w:rsid w:val="00725402"/>
    <w:rsid w:val="00725840"/>
    <w:rsid w:val="00725F29"/>
    <w:rsid w:val="00726E1D"/>
    <w:rsid w:val="00726FA7"/>
    <w:rsid w:val="00730175"/>
    <w:rsid w:val="00730661"/>
    <w:rsid w:val="00730929"/>
    <w:rsid w:val="00730982"/>
    <w:rsid w:val="00730FC7"/>
    <w:rsid w:val="00731462"/>
    <w:rsid w:val="0073171C"/>
    <w:rsid w:val="007317CC"/>
    <w:rsid w:val="00732213"/>
    <w:rsid w:val="00732A77"/>
    <w:rsid w:val="00732EEE"/>
    <w:rsid w:val="00732FC8"/>
    <w:rsid w:val="0073318E"/>
    <w:rsid w:val="00733324"/>
    <w:rsid w:val="00733DDB"/>
    <w:rsid w:val="00735AE7"/>
    <w:rsid w:val="00735BF2"/>
    <w:rsid w:val="0073667E"/>
    <w:rsid w:val="0074173C"/>
    <w:rsid w:val="00741DD0"/>
    <w:rsid w:val="00742779"/>
    <w:rsid w:val="00742845"/>
    <w:rsid w:val="0074300F"/>
    <w:rsid w:val="007443B1"/>
    <w:rsid w:val="00744F0F"/>
    <w:rsid w:val="00746872"/>
    <w:rsid w:val="00746F0E"/>
    <w:rsid w:val="00753481"/>
    <w:rsid w:val="007534A4"/>
    <w:rsid w:val="00753D7F"/>
    <w:rsid w:val="00754523"/>
    <w:rsid w:val="007564E5"/>
    <w:rsid w:val="00756A07"/>
    <w:rsid w:val="00757598"/>
    <w:rsid w:val="00757960"/>
    <w:rsid w:val="007600A5"/>
    <w:rsid w:val="00760413"/>
    <w:rsid w:val="007615A1"/>
    <w:rsid w:val="00762344"/>
    <w:rsid w:val="00763AF4"/>
    <w:rsid w:val="00763AF7"/>
    <w:rsid w:val="00763B5E"/>
    <w:rsid w:val="0076422A"/>
    <w:rsid w:val="00764DAD"/>
    <w:rsid w:val="00765E48"/>
    <w:rsid w:val="00766333"/>
    <w:rsid w:val="00766A7A"/>
    <w:rsid w:val="00766D29"/>
    <w:rsid w:val="00767185"/>
    <w:rsid w:val="00767ADB"/>
    <w:rsid w:val="007717D1"/>
    <w:rsid w:val="00771CF3"/>
    <w:rsid w:val="00772453"/>
    <w:rsid w:val="00772478"/>
    <w:rsid w:val="00774203"/>
    <w:rsid w:val="0077443C"/>
    <w:rsid w:val="00774A5D"/>
    <w:rsid w:val="00775C74"/>
    <w:rsid w:val="0077677D"/>
    <w:rsid w:val="0077696A"/>
    <w:rsid w:val="007773C0"/>
    <w:rsid w:val="0077784C"/>
    <w:rsid w:val="00777FA2"/>
    <w:rsid w:val="00780A17"/>
    <w:rsid w:val="00780D83"/>
    <w:rsid w:val="0078117E"/>
    <w:rsid w:val="00781C85"/>
    <w:rsid w:val="00781CB7"/>
    <w:rsid w:val="00782760"/>
    <w:rsid w:val="007842B8"/>
    <w:rsid w:val="0078465F"/>
    <w:rsid w:val="00784FE6"/>
    <w:rsid w:val="00786DB5"/>
    <w:rsid w:val="007872BF"/>
    <w:rsid w:val="007876B6"/>
    <w:rsid w:val="007912AC"/>
    <w:rsid w:val="00791322"/>
    <w:rsid w:val="00793559"/>
    <w:rsid w:val="00796D54"/>
    <w:rsid w:val="0079713E"/>
    <w:rsid w:val="007A097D"/>
    <w:rsid w:val="007A18D2"/>
    <w:rsid w:val="007A2080"/>
    <w:rsid w:val="007A2194"/>
    <w:rsid w:val="007A2831"/>
    <w:rsid w:val="007A2917"/>
    <w:rsid w:val="007A294A"/>
    <w:rsid w:val="007A45BC"/>
    <w:rsid w:val="007A4B27"/>
    <w:rsid w:val="007A4BCA"/>
    <w:rsid w:val="007A4CFE"/>
    <w:rsid w:val="007A4E12"/>
    <w:rsid w:val="007A5174"/>
    <w:rsid w:val="007A627A"/>
    <w:rsid w:val="007A6588"/>
    <w:rsid w:val="007A6846"/>
    <w:rsid w:val="007B0446"/>
    <w:rsid w:val="007B08F1"/>
    <w:rsid w:val="007B0CE5"/>
    <w:rsid w:val="007B1FAB"/>
    <w:rsid w:val="007B273D"/>
    <w:rsid w:val="007B4AB6"/>
    <w:rsid w:val="007B4D94"/>
    <w:rsid w:val="007B69B1"/>
    <w:rsid w:val="007B6A40"/>
    <w:rsid w:val="007B6DD9"/>
    <w:rsid w:val="007B7F3D"/>
    <w:rsid w:val="007C0AE5"/>
    <w:rsid w:val="007C31C3"/>
    <w:rsid w:val="007C3E91"/>
    <w:rsid w:val="007C7912"/>
    <w:rsid w:val="007C7AD1"/>
    <w:rsid w:val="007D01A1"/>
    <w:rsid w:val="007D278E"/>
    <w:rsid w:val="007D2BCF"/>
    <w:rsid w:val="007D44BE"/>
    <w:rsid w:val="007D53DE"/>
    <w:rsid w:val="007D6E0A"/>
    <w:rsid w:val="007D7599"/>
    <w:rsid w:val="007E3485"/>
    <w:rsid w:val="007E34B7"/>
    <w:rsid w:val="007E3926"/>
    <w:rsid w:val="007E393A"/>
    <w:rsid w:val="007E3E22"/>
    <w:rsid w:val="007E424E"/>
    <w:rsid w:val="007E5EB7"/>
    <w:rsid w:val="007E62BA"/>
    <w:rsid w:val="007E6862"/>
    <w:rsid w:val="007E6A33"/>
    <w:rsid w:val="007E747E"/>
    <w:rsid w:val="007F179B"/>
    <w:rsid w:val="007F1D0A"/>
    <w:rsid w:val="007F1E5A"/>
    <w:rsid w:val="007F251B"/>
    <w:rsid w:val="007F2843"/>
    <w:rsid w:val="007F2E4C"/>
    <w:rsid w:val="007F311D"/>
    <w:rsid w:val="007F461A"/>
    <w:rsid w:val="007F4C05"/>
    <w:rsid w:val="007F533C"/>
    <w:rsid w:val="007F5B96"/>
    <w:rsid w:val="007F5F14"/>
    <w:rsid w:val="007F61D8"/>
    <w:rsid w:val="007F6533"/>
    <w:rsid w:val="007F7598"/>
    <w:rsid w:val="007F7E6B"/>
    <w:rsid w:val="008005A3"/>
    <w:rsid w:val="0080078D"/>
    <w:rsid w:val="00801902"/>
    <w:rsid w:val="00801FE5"/>
    <w:rsid w:val="00803D6F"/>
    <w:rsid w:val="008044CA"/>
    <w:rsid w:val="008056D5"/>
    <w:rsid w:val="00805FDF"/>
    <w:rsid w:val="0080621C"/>
    <w:rsid w:val="00806D88"/>
    <w:rsid w:val="00807C34"/>
    <w:rsid w:val="00810704"/>
    <w:rsid w:val="00810ED7"/>
    <w:rsid w:val="008116C9"/>
    <w:rsid w:val="008118CE"/>
    <w:rsid w:val="00812755"/>
    <w:rsid w:val="00813833"/>
    <w:rsid w:val="00814550"/>
    <w:rsid w:val="00815105"/>
    <w:rsid w:val="00816808"/>
    <w:rsid w:val="00816EF3"/>
    <w:rsid w:val="0081740B"/>
    <w:rsid w:val="00820216"/>
    <w:rsid w:val="0082118C"/>
    <w:rsid w:val="00823409"/>
    <w:rsid w:val="00823645"/>
    <w:rsid w:val="00824612"/>
    <w:rsid w:val="00824A55"/>
    <w:rsid w:val="008251F5"/>
    <w:rsid w:val="00826717"/>
    <w:rsid w:val="00826BBB"/>
    <w:rsid w:val="00830E7A"/>
    <w:rsid w:val="00831768"/>
    <w:rsid w:val="00831B2A"/>
    <w:rsid w:val="00833988"/>
    <w:rsid w:val="00834A30"/>
    <w:rsid w:val="008371AE"/>
    <w:rsid w:val="0083775D"/>
    <w:rsid w:val="00837ABF"/>
    <w:rsid w:val="00837D94"/>
    <w:rsid w:val="00837F96"/>
    <w:rsid w:val="008417EA"/>
    <w:rsid w:val="008427DC"/>
    <w:rsid w:val="0084357E"/>
    <w:rsid w:val="00844890"/>
    <w:rsid w:val="00845D0F"/>
    <w:rsid w:val="00850F03"/>
    <w:rsid w:val="00851078"/>
    <w:rsid w:val="00853DAD"/>
    <w:rsid w:val="008543A6"/>
    <w:rsid w:val="00854DFE"/>
    <w:rsid w:val="00857534"/>
    <w:rsid w:val="008579AB"/>
    <w:rsid w:val="00857D48"/>
    <w:rsid w:val="00860343"/>
    <w:rsid w:val="00860BCD"/>
    <w:rsid w:val="0086183A"/>
    <w:rsid w:val="008635BC"/>
    <w:rsid w:val="00863835"/>
    <w:rsid w:val="00864691"/>
    <w:rsid w:val="00864DC8"/>
    <w:rsid w:val="00865100"/>
    <w:rsid w:val="0086794D"/>
    <w:rsid w:val="00870A00"/>
    <w:rsid w:val="008718BC"/>
    <w:rsid w:val="00872523"/>
    <w:rsid w:val="008736F5"/>
    <w:rsid w:val="008748C7"/>
    <w:rsid w:val="00876D0C"/>
    <w:rsid w:val="008778DD"/>
    <w:rsid w:val="00877DFE"/>
    <w:rsid w:val="008805B1"/>
    <w:rsid w:val="00881839"/>
    <w:rsid w:val="00881C01"/>
    <w:rsid w:val="00883AF5"/>
    <w:rsid w:val="00883BB7"/>
    <w:rsid w:val="00883C9B"/>
    <w:rsid w:val="00883E00"/>
    <w:rsid w:val="00884FDA"/>
    <w:rsid w:val="008855CB"/>
    <w:rsid w:val="008865EC"/>
    <w:rsid w:val="00886B61"/>
    <w:rsid w:val="00886B8C"/>
    <w:rsid w:val="008902E6"/>
    <w:rsid w:val="00891A91"/>
    <w:rsid w:val="00891ACB"/>
    <w:rsid w:val="00891F5D"/>
    <w:rsid w:val="00892E01"/>
    <w:rsid w:val="00893106"/>
    <w:rsid w:val="00893381"/>
    <w:rsid w:val="00893D17"/>
    <w:rsid w:val="00894A4B"/>
    <w:rsid w:val="00895510"/>
    <w:rsid w:val="00895B54"/>
    <w:rsid w:val="008963F1"/>
    <w:rsid w:val="00896693"/>
    <w:rsid w:val="00897497"/>
    <w:rsid w:val="008A0AED"/>
    <w:rsid w:val="008A0CE9"/>
    <w:rsid w:val="008A0D55"/>
    <w:rsid w:val="008A1A9B"/>
    <w:rsid w:val="008A1E46"/>
    <w:rsid w:val="008A300D"/>
    <w:rsid w:val="008A3D27"/>
    <w:rsid w:val="008A3F94"/>
    <w:rsid w:val="008A47D4"/>
    <w:rsid w:val="008A4958"/>
    <w:rsid w:val="008A4B9D"/>
    <w:rsid w:val="008A7097"/>
    <w:rsid w:val="008A7834"/>
    <w:rsid w:val="008B0FCB"/>
    <w:rsid w:val="008B3222"/>
    <w:rsid w:val="008B4EC3"/>
    <w:rsid w:val="008B5620"/>
    <w:rsid w:val="008B6311"/>
    <w:rsid w:val="008B6E2D"/>
    <w:rsid w:val="008C0751"/>
    <w:rsid w:val="008C2B74"/>
    <w:rsid w:val="008C2D91"/>
    <w:rsid w:val="008C2DE8"/>
    <w:rsid w:val="008C3877"/>
    <w:rsid w:val="008C3B71"/>
    <w:rsid w:val="008C449D"/>
    <w:rsid w:val="008C4700"/>
    <w:rsid w:val="008C61A4"/>
    <w:rsid w:val="008C6377"/>
    <w:rsid w:val="008C777F"/>
    <w:rsid w:val="008C798C"/>
    <w:rsid w:val="008D0AE8"/>
    <w:rsid w:val="008D116B"/>
    <w:rsid w:val="008D127C"/>
    <w:rsid w:val="008D3656"/>
    <w:rsid w:val="008D3A8F"/>
    <w:rsid w:val="008D4E50"/>
    <w:rsid w:val="008D56EA"/>
    <w:rsid w:val="008D5EE1"/>
    <w:rsid w:val="008D7F54"/>
    <w:rsid w:val="008E09A3"/>
    <w:rsid w:val="008E1F4A"/>
    <w:rsid w:val="008E277F"/>
    <w:rsid w:val="008E28AB"/>
    <w:rsid w:val="008E3881"/>
    <w:rsid w:val="008E3B0B"/>
    <w:rsid w:val="008E3B30"/>
    <w:rsid w:val="008E521B"/>
    <w:rsid w:val="008E5BD3"/>
    <w:rsid w:val="008E6B76"/>
    <w:rsid w:val="008E7915"/>
    <w:rsid w:val="008F02E9"/>
    <w:rsid w:val="008F0A57"/>
    <w:rsid w:val="008F214B"/>
    <w:rsid w:val="008F3170"/>
    <w:rsid w:val="008F35BD"/>
    <w:rsid w:val="008F420D"/>
    <w:rsid w:val="008F5435"/>
    <w:rsid w:val="008F6E0E"/>
    <w:rsid w:val="00900171"/>
    <w:rsid w:val="00900648"/>
    <w:rsid w:val="00900DFC"/>
    <w:rsid w:val="009013D4"/>
    <w:rsid w:val="009015A6"/>
    <w:rsid w:val="00902F18"/>
    <w:rsid w:val="00902F28"/>
    <w:rsid w:val="009033B7"/>
    <w:rsid w:val="00905685"/>
    <w:rsid w:val="00906AB1"/>
    <w:rsid w:val="0091007E"/>
    <w:rsid w:val="00912E50"/>
    <w:rsid w:val="009134B4"/>
    <w:rsid w:val="00914E73"/>
    <w:rsid w:val="0091584D"/>
    <w:rsid w:val="00915CEA"/>
    <w:rsid w:val="0091638B"/>
    <w:rsid w:val="009165AB"/>
    <w:rsid w:val="009168CA"/>
    <w:rsid w:val="00920FA8"/>
    <w:rsid w:val="00921504"/>
    <w:rsid w:val="00922CCC"/>
    <w:rsid w:val="00923BE4"/>
    <w:rsid w:val="00925027"/>
    <w:rsid w:val="0092538F"/>
    <w:rsid w:val="00927067"/>
    <w:rsid w:val="00927EB2"/>
    <w:rsid w:val="00933014"/>
    <w:rsid w:val="0093327E"/>
    <w:rsid w:val="009339AF"/>
    <w:rsid w:val="00937567"/>
    <w:rsid w:val="009378E2"/>
    <w:rsid w:val="00937B05"/>
    <w:rsid w:val="009413DE"/>
    <w:rsid w:val="009413FE"/>
    <w:rsid w:val="00942502"/>
    <w:rsid w:val="0094327E"/>
    <w:rsid w:val="009437E8"/>
    <w:rsid w:val="00947116"/>
    <w:rsid w:val="00947660"/>
    <w:rsid w:val="00950714"/>
    <w:rsid w:val="00950FFC"/>
    <w:rsid w:val="00951529"/>
    <w:rsid w:val="009540F0"/>
    <w:rsid w:val="00954580"/>
    <w:rsid w:val="009555A1"/>
    <w:rsid w:val="00955783"/>
    <w:rsid w:val="00957629"/>
    <w:rsid w:val="00957945"/>
    <w:rsid w:val="00957D60"/>
    <w:rsid w:val="00957DB9"/>
    <w:rsid w:val="00961176"/>
    <w:rsid w:val="009624A4"/>
    <w:rsid w:val="009630F5"/>
    <w:rsid w:val="00963227"/>
    <w:rsid w:val="009635E6"/>
    <w:rsid w:val="00963976"/>
    <w:rsid w:val="00965E5C"/>
    <w:rsid w:val="009666A1"/>
    <w:rsid w:val="009667D1"/>
    <w:rsid w:val="00966ACC"/>
    <w:rsid w:val="00966B42"/>
    <w:rsid w:val="009670F4"/>
    <w:rsid w:val="009718A7"/>
    <w:rsid w:val="009721B1"/>
    <w:rsid w:val="0097277F"/>
    <w:rsid w:val="00972AD3"/>
    <w:rsid w:val="009733EB"/>
    <w:rsid w:val="00973943"/>
    <w:rsid w:val="00974526"/>
    <w:rsid w:val="0097615C"/>
    <w:rsid w:val="00977C3E"/>
    <w:rsid w:val="00980576"/>
    <w:rsid w:val="0098173F"/>
    <w:rsid w:val="0098221E"/>
    <w:rsid w:val="0098254F"/>
    <w:rsid w:val="00983C1D"/>
    <w:rsid w:val="00987432"/>
    <w:rsid w:val="0098746E"/>
    <w:rsid w:val="00990F13"/>
    <w:rsid w:val="00991478"/>
    <w:rsid w:val="00991509"/>
    <w:rsid w:val="00992C3B"/>
    <w:rsid w:val="009943FB"/>
    <w:rsid w:val="00995225"/>
    <w:rsid w:val="00996455"/>
    <w:rsid w:val="009967A4"/>
    <w:rsid w:val="00996C4A"/>
    <w:rsid w:val="00997B41"/>
    <w:rsid w:val="009A08CB"/>
    <w:rsid w:val="009A091F"/>
    <w:rsid w:val="009A0F5B"/>
    <w:rsid w:val="009A10E5"/>
    <w:rsid w:val="009A39A4"/>
    <w:rsid w:val="009A4054"/>
    <w:rsid w:val="009A52E4"/>
    <w:rsid w:val="009A602C"/>
    <w:rsid w:val="009A7593"/>
    <w:rsid w:val="009A7D73"/>
    <w:rsid w:val="009B0F57"/>
    <w:rsid w:val="009B4173"/>
    <w:rsid w:val="009B4429"/>
    <w:rsid w:val="009B48F7"/>
    <w:rsid w:val="009B4B11"/>
    <w:rsid w:val="009B51A1"/>
    <w:rsid w:val="009B5AC0"/>
    <w:rsid w:val="009B5DBD"/>
    <w:rsid w:val="009B5F09"/>
    <w:rsid w:val="009B728D"/>
    <w:rsid w:val="009C0DB8"/>
    <w:rsid w:val="009C216B"/>
    <w:rsid w:val="009C22AE"/>
    <w:rsid w:val="009C3A3D"/>
    <w:rsid w:val="009C3F4A"/>
    <w:rsid w:val="009C4175"/>
    <w:rsid w:val="009C49FD"/>
    <w:rsid w:val="009C50B5"/>
    <w:rsid w:val="009C5F81"/>
    <w:rsid w:val="009C7195"/>
    <w:rsid w:val="009D0B9A"/>
    <w:rsid w:val="009D1B09"/>
    <w:rsid w:val="009D2128"/>
    <w:rsid w:val="009D3366"/>
    <w:rsid w:val="009D5316"/>
    <w:rsid w:val="009D5704"/>
    <w:rsid w:val="009D6771"/>
    <w:rsid w:val="009D6D36"/>
    <w:rsid w:val="009D732C"/>
    <w:rsid w:val="009D76EE"/>
    <w:rsid w:val="009E1B33"/>
    <w:rsid w:val="009E1E6D"/>
    <w:rsid w:val="009E1F67"/>
    <w:rsid w:val="009E2248"/>
    <w:rsid w:val="009E27CE"/>
    <w:rsid w:val="009E2B06"/>
    <w:rsid w:val="009E2F17"/>
    <w:rsid w:val="009E2F4C"/>
    <w:rsid w:val="009E388D"/>
    <w:rsid w:val="009E442D"/>
    <w:rsid w:val="009E4C70"/>
    <w:rsid w:val="009E4DC1"/>
    <w:rsid w:val="009E5079"/>
    <w:rsid w:val="009E5F2B"/>
    <w:rsid w:val="009E7FC2"/>
    <w:rsid w:val="009F1946"/>
    <w:rsid w:val="009F2316"/>
    <w:rsid w:val="009F270B"/>
    <w:rsid w:val="009F27B5"/>
    <w:rsid w:val="009F2B4F"/>
    <w:rsid w:val="009F4412"/>
    <w:rsid w:val="009F6028"/>
    <w:rsid w:val="009F60C2"/>
    <w:rsid w:val="009F69CB"/>
    <w:rsid w:val="009F75E0"/>
    <w:rsid w:val="009F7AE4"/>
    <w:rsid w:val="00A0011E"/>
    <w:rsid w:val="00A02277"/>
    <w:rsid w:val="00A0251A"/>
    <w:rsid w:val="00A03465"/>
    <w:rsid w:val="00A03B69"/>
    <w:rsid w:val="00A049C9"/>
    <w:rsid w:val="00A04B05"/>
    <w:rsid w:val="00A064DA"/>
    <w:rsid w:val="00A06625"/>
    <w:rsid w:val="00A06C03"/>
    <w:rsid w:val="00A07B59"/>
    <w:rsid w:val="00A11AEF"/>
    <w:rsid w:val="00A13454"/>
    <w:rsid w:val="00A147AB"/>
    <w:rsid w:val="00A158F9"/>
    <w:rsid w:val="00A15D1F"/>
    <w:rsid w:val="00A17151"/>
    <w:rsid w:val="00A17158"/>
    <w:rsid w:val="00A17A76"/>
    <w:rsid w:val="00A20107"/>
    <w:rsid w:val="00A203BA"/>
    <w:rsid w:val="00A20F6F"/>
    <w:rsid w:val="00A21854"/>
    <w:rsid w:val="00A23605"/>
    <w:rsid w:val="00A2408C"/>
    <w:rsid w:val="00A24C96"/>
    <w:rsid w:val="00A26677"/>
    <w:rsid w:val="00A266EF"/>
    <w:rsid w:val="00A271FE"/>
    <w:rsid w:val="00A27C89"/>
    <w:rsid w:val="00A27FF3"/>
    <w:rsid w:val="00A3014C"/>
    <w:rsid w:val="00A31AB4"/>
    <w:rsid w:val="00A32758"/>
    <w:rsid w:val="00A32EDE"/>
    <w:rsid w:val="00A3433D"/>
    <w:rsid w:val="00A34D3C"/>
    <w:rsid w:val="00A350D9"/>
    <w:rsid w:val="00A352A7"/>
    <w:rsid w:val="00A354F2"/>
    <w:rsid w:val="00A359E8"/>
    <w:rsid w:val="00A360C7"/>
    <w:rsid w:val="00A36231"/>
    <w:rsid w:val="00A37A7B"/>
    <w:rsid w:val="00A37DD7"/>
    <w:rsid w:val="00A409E0"/>
    <w:rsid w:val="00A40EBA"/>
    <w:rsid w:val="00A4150A"/>
    <w:rsid w:val="00A42A7D"/>
    <w:rsid w:val="00A45161"/>
    <w:rsid w:val="00A47F88"/>
    <w:rsid w:val="00A501E6"/>
    <w:rsid w:val="00A5044B"/>
    <w:rsid w:val="00A50A88"/>
    <w:rsid w:val="00A52418"/>
    <w:rsid w:val="00A52813"/>
    <w:rsid w:val="00A52D06"/>
    <w:rsid w:val="00A53EFE"/>
    <w:rsid w:val="00A540DB"/>
    <w:rsid w:val="00A556BB"/>
    <w:rsid w:val="00A55FAE"/>
    <w:rsid w:val="00A5649E"/>
    <w:rsid w:val="00A576D6"/>
    <w:rsid w:val="00A60B17"/>
    <w:rsid w:val="00A61236"/>
    <w:rsid w:val="00A613A3"/>
    <w:rsid w:val="00A61C1F"/>
    <w:rsid w:val="00A63364"/>
    <w:rsid w:val="00A652D0"/>
    <w:rsid w:val="00A653E9"/>
    <w:rsid w:val="00A65B12"/>
    <w:rsid w:val="00A662AA"/>
    <w:rsid w:val="00A6763B"/>
    <w:rsid w:val="00A679E2"/>
    <w:rsid w:val="00A67D8D"/>
    <w:rsid w:val="00A70F87"/>
    <w:rsid w:val="00A72AB6"/>
    <w:rsid w:val="00A72CD7"/>
    <w:rsid w:val="00A730D1"/>
    <w:rsid w:val="00A75344"/>
    <w:rsid w:val="00A76AF8"/>
    <w:rsid w:val="00A76FBC"/>
    <w:rsid w:val="00A7702A"/>
    <w:rsid w:val="00A7718A"/>
    <w:rsid w:val="00A8065D"/>
    <w:rsid w:val="00A81022"/>
    <w:rsid w:val="00A81D64"/>
    <w:rsid w:val="00A82263"/>
    <w:rsid w:val="00A85102"/>
    <w:rsid w:val="00A87DE0"/>
    <w:rsid w:val="00A901AF"/>
    <w:rsid w:val="00A93D25"/>
    <w:rsid w:val="00A95A2A"/>
    <w:rsid w:val="00A95F16"/>
    <w:rsid w:val="00A96B00"/>
    <w:rsid w:val="00AA0325"/>
    <w:rsid w:val="00AA059A"/>
    <w:rsid w:val="00AA06C1"/>
    <w:rsid w:val="00AA4CA9"/>
    <w:rsid w:val="00AA52CA"/>
    <w:rsid w:val="00AA5CE0"/>
    <w:rsid w:val="00AA70B3"/>
    <w:rsid w:val="00AA79C3"/>
    <w:rsid w:val="00AA7A12"/>
    <w:rsid w:val="00AA7AE0"/>
    <w:rsid w:val="00AB007F"/>
    <w:rsid w:val="00AB15A4"/>
    <w:rsid w:val="00AB1A88"/>
    <w:rsid w:val="00AB45D3"/>
    <w:rsid w:val="00AB702A"/>
    <w:rsid w:val="00AB7922"/>
    <w:rsid w:val="00AB7ED4"/>
    <w:rsid w:val="00AC002F"/>
    <w:rsid w:val="00AC03C9"/>
    <w:rsid w:val="00AC0AF0"/>
    <w:rsid w:val="00AC14B5"/>
    <w:rsid w:val="00AC277A"/>
    <w:rsid w:val="00AC2A7D"/>
    <w:rsid w:val="00AC2FAE"/>
    <w:rsid w:val="00AC6118"/>
    <w:rsid w:val="00AC641A"/>
    <w:rsid w:val="00AC6A1F"/>
    <w:rsid w:val="00AC6C9C"/>
    <w:rsid w:val="00AD07F4"/>
    <w:rsid w:val="00AD4E84"/>
    <w:rsid w:val="00AD668B"/>
    <w:rsid w:val="00AD6DDA"/>
    <w:rsid w:val="00AD6EDF"/>
    <w:rsid w:val="00AD7B9B"/>
    <w:rsid w:val="00AE0526"/>
    <w:rsid w:val="00AE1707"/>
    <w:rsid w:val="00AE19FC"/>
    <w:rsid w:val="00AE21E2"/>
    <w:rsid w:val="00AE25A5"/>
    <w:rsid w:val="00AE2CF1"/>
    <w:rsid w:val="00AE2F85"/>
    <w:rsid w:val="00AE2FFE"/>
    <w:rsid w:val="00AE312D"/>
    <w:rsid w:val="00AE51E7"/>
    <w:rsid w:val="00AE537C"/>
    <w:rsid w:val="00AF3013"/>
    <w:rsid w:val="00AF30B1"/>
    <w:rsid w:val="00AF3D86"/>
    <w:rsid w:val="00AF4AAF"/>
    <w:rsid w:val="00AF722C"/>
    <w:rsid w:val="00B00795"/>
    <w:rsid w:val="00B00A73"/>
    <w:rsid w:val="00B00C01"/>
    <w:rsid w:val="00B00EF4"/>
    <w:rsid w:val="00B0159C"/>
    <w:rsid w:val="00B0266F"/>
    <w:rsid w:val="00B02A37"/>
    <w:rsid w:val="00B03BF8"/>
    <w:rsid w:val="00B03E74"/>
    <w:rsid w:val="00B05AE3"/>
    <w:rsid w:val="00B0633C"/>
    <w:rsid w:val="00B066F5"/>
    <w:rsid w:val="00B0765E"/>
    <w:rsid w:val="00B11551"/>
    <w:rsid w:val="00B1199E"/>
    <w:rsid w:val="00B12E98"/>
    <w:rsid w:val="00B13329"/>
    <w:rsid w:val="00B13390"/>
    <w:rsid w:val="00B1384B"/>
    <w:rsid w:val="00B15119"/>
    <w:rsid w:val="00B15540"/>
    <w:rsid w:val="00B15B21"/>
    <w:rsid w:val="00B16115"/>
    <w:rsid w:val="00B16366"/>
    <w:rsid w:val="00B16493"/>
    <w:rsid w:val="00B170D5"/>
    <w:rsid w:val="00B17426"/>
    <w:rsid w:val="00B208A1"/>
    <w:rsid w:val="00B21D94"/>
    <w:rsid w:val="00B2272C"/>
    <w:rsid w:val="00B24509"/>
    <w:rsid w:val="00B24B8F"/>
    <w:rsid w:val="00B25584"/>
    <w:rsid w:val="00B259AE"/>
    <w:rsid w:val="00B263CB"/>
    <w:rsid w:val="00B2663A"/>
    <w:rsid w:val="00B26CE2"/>
    <w:rsid w:val="00B31403"/>
    <w:rsid w:val="00B31812"/>
    <w:rsid w:val="00B33DB4"/>
    <w:rsid w:val="00B34B39"/>
    <w:rsid w:val="00B36159"/>
    <w:rsid w:val="00B363D6"/>
    <w:rsid w:val="00B36501"/>
    <w:rsid w:val="00B36AAB"/>
    <w:rsid w:val="00B377B1"/>
    <w:rsid w:val="00B40D07"/>
    <w:rsid w:val="00B40EA0"/>
    <w:rsid w:val="00B40FEB"/>
    <w:rsid w:val="00B41A28"/>
    <w:rsid w:val="00B41F4C"/>
    <w:rsid w:val="00B4233C"/>
    <w:rsid w:val="00B42ABB"/>
    <w:rsid w:val="00B452C9"/>
    <w:rsid w:val="00B46CA7"/>
    <w:rsid w:val="00B46E1E"/>
    <w:rsid w:val="00B47997"/>
    <w:rsid w:val="00B50EC1"/>
    <w:rsid w:val="00B51F68"/>
    <w:rsid w:val="00B529A3"/>
    <w:rsid w:val="00B54DD0"/>
    <w:rsid w:val="00B56A5F"/>
    <w:rsid w:val="00B56C00"/>
    <w:rsid w:val="00B57ADC"/>
    <w:rsid w:val="00B57E4F"/>
    <w:rsid w:val="00B60161"/>
    <w:rsid w:val="00B606C1"/>
    <w:rsid w:val="00B625A9"/>
    <w:rsid w:val="00B62FC1"/>
    <w:rsid w:val="00B633B2"/>
    <w:rsid w:val="00B63A6D"/>
    <w:rsid w:val="00B666C7"/>
    <w:rsid w:val="00B668F2"/>
    <w:rsid w:val="00B6744A"/>
    <w:rsid w:val="00B6747B"/>
    <w:rsid w:val="00B67538"/>
    <w:rsid w:val="00B707AF"/>
    <w:rsid w:val="00B7390A"/>
    <w:rsid w:val="00B73F33"/>
    <w:rsid w:val="00B74146"/>
    <w:rsid w:val="00B74C4F"/>
    <w:rsid w:val="00B75381"/>
    <w:rsid w:val="00B75647"/>
    <w:rsid w:val="00B7567E"/>
    <w:rsid w:val="00B767B8"/>
    <w:rsid w:val="00B768EF"/>
    <w:rsid w:val="00B770F8"/>
    <w:rsid w:val="00B771C1"/>
    <w:rsid w:val="00B77541"/>
    <w:rsid w:val="00B77711"/>
    <w:rsid w:val="00B813A3"/>
    <w:rsid w:val="00B82716"/>
    <w:rsid w:val="00B83417"/>
    <w:rsid w:val="00B840CC"/>
    <w:rsid w:val="00B8496D"/>
    <w:rsid w:val="00B8517F"/>
    <w:rsid w:val="00B86187"/>
    <w:rsid w:val="00B86B42"/>
    <w:rsid w:val="00B86B4E"/>
    <w:rsid w:val="00B91344"/>
    <w:rsid w:val="00B915A7"/>
    <w:rsid w:val="00B918A3"/>
    <w:rsid w:val="00B91E54"/>
    <w:rsid w:val="00B92839"/>
    <w:rsid w:val="00B93ABF"/>
    <w:rsid w:val="00B948A3"/>
    <w:rsid w:val="00B94B03"/>
    <w:rsid w:val="00B95445"/>
    <w:rsid w:val="00B95DF6"/>
    <w:rsid w:val="00B965E6"/>
    <w:rsid w:val="00B970FD"/>
    <w:rsid w:val="00B97E40"/>
    <w:rsid w:val="00BA1924"/>
    <w:rsid w:val="00BA1DCD"/>
    <w:rsid w:val="00BA2335"/>
    <w:rsid w:val="00BA3F75"/>
    <w:rsid w:val="00BA455A"/>
    <w:rsid w:val="00BA4ABD"/>
    <w:rsid w:val="00BA512A"/>
    <w:rsid w:val="00BA5580"/>
    <w:rsid w:val="00BA6A84"/>
    <w:rsid w:val="00BB0E3F"/>
    <w:rsid w:val="00BB0F1A"/>
    <w:rsid w:val="00BB28E0"/>
    <w:rsid w:val="00BB3713"/>
    <w:rsid w:val="00BB37F8"/>
    <w:rsid w:val="00BB381C"/>
    <w:rsid w:val="00BB48C8"/>
    <w:rsid w:val="00BB4B92"/>
    <w:rsid w:val="00BB50E1"/>
    <w:rsid w:val="00BB5804"/>
    <w:rsid w:val="00BB5D4A"/>
    <w:rsid w:val="00BB6EBC"/>
    <w:rsid w:val="00BB7FA0"/>
    <w:rsid w:val="00BC01E2"/>
    <w:rsid w:val="00BC03F1"/>
    <w:rsid w:val="00BC10EC"/>
    <w:rsid w:val="00BC12AD"/>
    <w:rsid w:val="00BC18C0"/>
    <w:rsid w:val="00BC1CF4"/>
    <w:rsid w:val="00BC2538"/>
    <w:rsid w:val="00BC3E8D"/>
    <w:rsid w:val="00BC4113"/>
    <w:rsid w:val="00BC415C"/>
    <w:rsid w:val="00BC45CF"/>
    <w:rsid w:val="00BC4FBF"/>
    <w:rsid w:val="00BC51C1"/>
    <w:rsid w:val="00BC52DE"/>
    <w:rsid w:val="00BC5C69"/>
    <w:rsid w:val="00BC6704"/>
    <w:rsid w:val="00BC6C2A"/>
    <w:rsid w:val="00BC6EBE"/>
    <w:rsid w:val="00BC6F2A"/>
    <w:rsid w:val="00BC7431"/>
    <w:rsid w:val="00BD2513"/>
    <w:rsid w:val="00BD35F7"/>
    <w:rsid w:val="00BD387C"/>
    <w:rsid w:val="00BD437D"/>
    <w:rsid w:val="00BD53A1"/>
    <w:rsid w:val="00BD5E7F"/>
    <w:rsid w:val="00BD69B4"/>
    <w:rsid w:val="00BD6C08"/>
    <w:rsid w:val="00BD704F"/>
    <w:rsid w:val="00BD792F"/>
    <w:rsid w:val="00BD7D3F"/>
    <w:rsid w:val="00BD7D4A"/>
    <w:rsid w:val="00BE007F"/>
    <w:rsid w:val="00BE083E"/>
    <w:rsid w:val="00BE0B81"/>
    <w:rsid w:val="00BE1DC5"/>
    <w:rsid w:val="00BE2FA3"/>
    <w:rsid w:val="00BE4016"/>
    <w:rsid w:val="00BE4BE6"/>
    <w:rsid w:val="00BE5DDB"/>
    <w:rsid w:val="00BE66CD"/>
    <w:rsid w:val="00BF140F"/>
    <w:rsid w:val="00BF2534"/>
    <w:rsid w:val="00BF2CFE"/>
    <w:rsid w:val="00BF2DF2"/>
    <w:rsid w:val="00BF308B"/>
    <w:rsid w:val="00BF3FCA"/>
    <w:rsid w:val="00BF405F"/>
    <w:rsid w:val="00BF5ADA"/>
    <w:rsid w:val="00BF628C"/>
    <w:rsid w:val="00BF6B6E"/>
    <w:rsid w:val="00BF6C33"/>
    <w:rsid w:val="00BF6E6E"/>
    <w:rsid w:val="00C00634"/>
    <w:rsid w:val="00C0096B"/>
    <w:rsid w:val="00C00BC3"/>
    <w:rsid w:val="00C023E2"/>
    <w:rsid w:val="00C02B86"/>
    <w:rsid w:val="00C03B76"/>
    <w:rsid w:val="00C0535E"/>
    <w:rsid w:val="00C06770"/>
    <w:rsid w:val="00C1154F"/>
    <w:rsid w:val="00C11683"/>
    <w:rsid w:val="00C128B5"/>
    <w:rsid w:val="00C12E48"/>
    <w:rsid w:val="00C1405A"/>
    <w:rsid w:val="00C1637E"/>
    <w:rsid w:val="00C16ABF"/>
    <w:rsid w:val="00C17798"/>
    <w:rsid w:val="00C17C6A"/>
    <w:rsid w:val="00C21157"/>
    <w:rsid w:val="00C22A13"/>
    <w:rsid w:val="00C2330F"/>
    <w:rsid w:val="00C233FD"/>
    <w:rsid w:val="00C23F81"/>
    <w:rsid w:val="00C26FF0"/>
    <w:rsid w:val="00C27559"/>
    <w:rsid w:val="00C30249"/>
    <w:rsid w:val="00C302DC"/>
    <w:rsid w:val="00C30ECF"/>
    <w:rsid w:val="00C338E3"/>
    <w:rsid w:val="00C33A52"/>
    <w:rsid w:val="00C3492A"/>
    <w:rsid w:val="00C34AC0"/>
    <w:rsid w:val="00C3582E"/>
    <w:rsid w:val="00C35C8E"/>
    <w:rsid w:val="00C36C31"/>
    <w:rsid w:val="00C3755C"/>
    <w:rsid w:val="00C376DF"/>
    <w:rsid w:val="00C41993"/>
    <w:rsid w:val="00C449D8"/>
    <w:rsid w:val="00C44E73"/>
    <w:rsid w:val="00C4503D"/>
    <w:rsid w:val="00C47530"/>
    <w:rsid w:val="00C4780F"/>
    <w:rsid w:val="00C505BA"/>
    <w:rsid w:val="00C516AF"/>
    <w:rsid w:val="00C53405"/>
    <w:rsid w:val="00C53769"/>
    <w:rsid w:val="00C53ABE"/>
    <w:rsid w:val="00C53BA3"/>
    <w:rsid w:val="00C54843"/>
    <w:rsid w:val="00C548E1"/>
    <w:rsid w:val="00C560A5"/>
    <w:rsid w:val="00C56712"/>
    <w:rsid w:val="00C56F06"/>
    <w:rsid w:val="00C56FCC"/>
    <w:rsid w:val="00C61396"/>
    <w:rsid w:val="00C61AC1"/>
    <w:rsid w:val="00C624AC"/>
    <w:rsid w:val="00C62529"/>
    <w:rsid w:val="00C62BDA"/>
    <w:rsid w:val="00C62F80"/>
    <w:rsid w:val="00C63457"/>
    <w:rsid w:val="00C63780"/>
    <w:rsid w:val="00C64039"/>
    <w:rsid w:val="00C6410C"/>
    <w:rsid w:val="00C64E7B"/>
    <w:rsid w:val="00C64EAB"/>
    <w:rsid w:val="00C655F5"/>
    <w:rsid w:val="00C65DDC"/>
    <w:rsid w:val="00C65F07"/>
    <w:rsid w:val="00C660DA"/>
    <w:rsid w:val="00C66906"/>
    <w:rsid w:val="00C669A3"/>
    <w:rsid w:val="00C66D9A"/>
    <w:rsid w:val="00C704AA"/>
    <w:rsid w:val="00C71315"/>
    <w:rsid w:val="00C715AB"/>
    <w:rsid w:val="00C723D4"/>
    <w:rsid w:val="00C72A96"/>
    <w:rsid w:val="00C7354B"/>
    <w:rsid w:val="00C73976"/>
    <w:rsid w:val="00C73D86"/>
    <w:rsid w:val="00C75DA0"/>
    <w:rsid w:val="00C75E91"/>
    <w:rsid w:val="00C76F2A"/>
    <w:rsid w:val="00C80D3B"/>
    <w:rsid w:val="00C80F03"/>
    <w:rsid w:val="00C81129"/>
    <w:rsid w:val="00C812F7"/>
    <w:rsid w:val="00C81779"/>
    <w:rsid w:val="00C8374B"/>
    <w:rsid w:val="00C838A7"/>
    <w:rsid w:val="00C844AF"/>
    <w:rsid w:val="00C85174"/>
    <w:rsid w:val="00C85F45"/>
    <w:rsid w:val="00C869DE"/>
    <w:rsid w:val="00C87885"/>
    <w:rsid w:val="00C90C9D"/>
    <w:rsid w:val="00C9195C"/>
    <w:rsid w:val="00C92258"/>
    <w:rsid w:val="00C922CE"/>
    <w:rsid w:val="00C928E6"/>
    <w:rsid w:val="00C934BB"/>
    <w:rsid w:val="00C941FD"/>
    <w:rsid w:val="00C9487F"/>
    <w:rsid w:val="00C9492E"/>
    <w:rsid w:val="00C952E4"/>
    <w:rsid w:val="00C95381"/>
    <w:rsid w:val="00C95A18"/>
    <w:rsid w:val="00C95A7B"/>
    <w:rsid w:val="00C95AED"/>
    <w:rsid w:val="00C9708B"/>
    <w:rsid w:val="00C97246"/>
    <w:rsid w:val="00C977FF"/>
    <w:rsid w:val="00C97ED7"/>
    <w:rsid w:val="00C97FB4"/>
    <w:rsid w:val="00CA0E18"/>
    <w:rsid w:val="00CA1046"/>
    <w:rsid w:val="00CA1A9C"/>
    <w:rsid w:val="00CA2124"/>
    <w:rsid w:val="00CA2F5B"/>
    <w:rsid w:val="00CA3E66"/>
    <w:rsid w:val="00CA4048"/>
    <w:rsid w:val="00CA49E4"/>
    <w:rsid w:val="00CA55C5"/>
    <w:rsid w:val="00CA5973"/>
    <w:rsid w:val="00CA6162"/>
    <w:rsid w:val="00CA6B8D"/>
    <w:rsid w:val="00CA77B1"/>
    <w:rsid w:val="00CA7997"/>
    <w:rsid w:val="00CB049A"/>
    <w:rsid w:val="00CB0EA7"/>
    <w:rsid w:val="00CB1C5E"/>
    <w:rsid w:val="00CB300D"/>
    <w:rsid w:val="00CB3F52"/>
    <w:rsid w:val="00CB4F1B"/>
    <w:rsid w:val="00CB61DD"/>
    <w:rsid w:val="00CB6AD2"/>
    <w:rsid w:val="00CB6AEB"/>
    <w:rsid w:val="00CB7371"/>
    <w:rsid w:val="00CB75DB"/>
    <w:rsid w:val="00CC01DC"/>
    <w:rsid w:val="00CC1E9F"/>
    <w:rsid w:val="00CC4F03"/>
    <w:rsid w:val="00CC7DF4"/>
    <w:rsid w:val="00CD0D58"/>
    <w:rsid w:val="00CD1165"/>
    <w:rsid w:val="00CD1ACA"/>
    <w:rsid w:val="00CD1DA4"/>
    <w:rsid w:val="00CD2A01"/>
    <w:rsid w:val="00CD2E25"/>
    <w:rsid w:val="00CD3274"/>
    <w:rsid w:val="00CD36B3"/>
    <w:rsid w:val="00CD466C"/>
    <w:rsid w:val="00CD4802"/>
    <w:rsid w:val="00CD5759"/>
    <w:rsid w:val="00CD5771"/>
    <w:rsid w:val="00CD6A5E"/>
    <w:rsid w:val="00CE1061"/>
    <w:rsid w:val="00CE1E88"/>
    <w:rsid w:val="00CE245D"/>
    <w:rsid w:val="00CE2E18"/>
    <w:rsid w:val="00CE41B9"/>
    <w:rsid w:val="00CE62C7"/>
    <w:rsid w:val="00CE74DE"/>
    <w:rsid w:val="00CE7BF6"/>
    <w:rsid w:val="00CF1EE5"/>
    <w:rsid w:val="00CF20DA"/>
    <w:rsid w:val="00CF2C8D"/>
    <w:rsid w:val="00CF4413"/>
    <w:rsid w:val="00CF4BBE"/>
    <w:rsid w:val="00CF4FD4"/>
    <w:rsid w:val="00CF59F5"/>
    <w:rsid w:val="00CF5C5B"/>
    <w:rsid w:val="00CF5E92"/>
    <w:rsid w:val="00CF731F"/>
    <w:rsid w:val="00CF749C"/>
    <w:rsid w:val="00CF75B7"/>
    <w:rsid w:val="00D0003E"/>
    <w:rsid w:val="00D0056F"/>
    <w:rsid w:val="00D074B9"/>
    <w:rsid w:val="00D07509"/>
    <w:rsid w:val="00D102D3"/>
    <w:rsid w:val="00D11282"/>
    <w:rsid w:val="00D112A2"/>
    <w:rsid w:val="00D112EC"/>
    <w:rsid w:val="00D11E8E"/>
    <w:rsid w:val="00D12312"/>
    <w:rsid w:val="00D13650"/>
    <w:rsid w:val="00D139FA"/>
    <w:rsid w:val="00D13FE3"/>
    <w:rsid w:val="00D14BA1"/>
    <w:rsid w:val="00D15B7D"/>
    <w:rsid w:val="00D16052"/>
    <w:rsid w:val="00D161B8"/>
    <w:rsid w:val="00D16631"/>
    <w:rsid w:val="00D166F4"/>
    <w:rsid w:val="00D169DE"/>
    <w:rsid w:val="00D171D8"/>
    <w:rsid w:val="00D2063E"/>
    <w:rsid w:val="00D206BE"/>
    <w:rsid w:val="00D20FBE"/>
    <w:rsid w:val="00D21689"/>
    <w:rsid w:val="00D216C0"/>
    <w:rsid w:val="00D2224D"/>
    <w:rsid w:val="00D2340A"/>
    <w:rsid w:val="00D23B7E"/>
    <w:rsid w:val="00D23D3F"/>
    <w:rsid w:val="00D245C1"/>
    <w:rsid w:val="00D24ECC"/>
    <w:rsid w:val="00D272BD"/>
    <w:rsid w:val="00D27BA8"/>
    <w:rsid w:val="00D30383"/>
    <w:rsid w:val="00D30B4A"/>
    <w:rsid w:val="00D31525"/>
    <w:rsid w:val="00D32742"/>
    <w:rsid w:val="00D32C0D"/>
    <w:rsid w:val="00D32E7A"/>
    <w:rsid w:val="00D3373E"/>
    <w:rsid w:val="00D3539E"/>
    <w:rsid w:val="00D35BC2"/>
    <w:rsid w:val="00D3665F"/>
    <w:rsid w:val="00D37C6B"/>
    <w:rsid w:val="00D401BD"/>
    <w:rsid w:val="00D406B6"/>
    <w:rsid w:val="00D419A4"/>
    <w:rsid w:val="00D42038"/>
    <w:rsid w:val="00D43A0A"/>
    <w:rsid w:val="00D43A80"/>
    <w:rsid w:val="00D44139"/>
    <w:rsid w:val="00D444C0"/>
    <w:rsid w:val="00D44D2A"/>
    <w:rsid w:val="00D44DCE"/>
    <w:rsid w:val="00D45667"/>
    <w:rsid w:val="00D45E8C"/>
    <w:rsid w:val="00D46DCE"/>
    <w:rsid w:val="00D47864"/>
    <w:rsid w:val="00D47F83"/>
    <w:rsid w:val="00D50919"/>
    <w:rsid w:val="00D51C61"/>
    <w:rsid w:val="00D521B9"/>
    <w:rsid w:val="00D52DFF"/>
    <w:rsid w:val="00D53F97"/>
    <w:rsid w:val="00D54111"/>
    <w:rsid w:val="00D5418A"/>
    <w:rsid w:val="00D544CF"/>
    <w:rsid w:val="00D5463E"/>
    <w:rsid w:val="00D54CF8"/>
    <w:rsid w:val="00D5694B"/>
    <w:rsid w:val="00D56977"/>
    <w:rsid w:val="00D56C93"/>
    <w:rsid w:val="00D60CB0"/>
    <w:rsid w:val="00D60F04"/>
    <w:rsid w:val="00D60FC0"/>
    <w:rsid w:val="00D61456"/>
    <w:rsid w:val="00D617D1"/>
    <w:rsid w:val="00D61EC6"/>
    <w:rsid w:val="00D64E36"/>
    <w:rsid w:val="00D65ADC"/>
    <w:rsid w:val="00D675D5"/>
    <w:rsid w:val="00D67607"/>
    <w:rsid w:val="00D70BD1"/>
    <w:rsid w:val="00D74C48"/>
    <w:rsid w:val="00D75B97"/>
    <w:rsid w:val="00D77290"/>
    <w:rsid w:val="00D81672"/>
    <w:rsid w:val="00D816E0"/>
    <w:rsid w:val="00D827D6"/>
    <w:rsid w:val="00D82F7E"/>
    <w:rsid w:val="00D83758"/>
    <w:rsid w:val="00D838EF"/>
    <w:rsid w:val="00D85181"/>
    <w:rsid w:val="00D857F3"/>
    <w:rsid w:val="00D85D42"/>
    <w:rsid w:val="00D85EB0"/>
    <w:rsid w:val="00D87C53"/>
    <w:rsid w:val="00D90F54"/>
    <w:rsid w:val="00D91C90"/>
    <w:rsid w:val="00D92599"/>
    <w:rsid w:val="00D92C5B"/>
    <w:rsid w:val="00D944FE"/>
    <w:rsid w:val="00D94B95"/>
    <w:rsid w:val="00D9534E"/>
    <w:rsid w:val="00D96634"/>
    <w:rsid w:val="00D969F9"/>
    <w:rsid w:val="00D96BF7"/>
    <w:rsid w:val="00D96E4A"/>
    <w:rsid w:val="00D97801"/>
    <w:rsid w:val="00DA0AB9"/>
    <w:rsid w:val="00DA0B5F"/>
    <w:rsid w:val="00DA0D3B"/>
    <w:rsid w:val="00DA0F00"/>
    <w:rsid w:val="00DA2DCB"/>
    <w:rsid w:val="00DA3DF8"/>
    <w:rsid w:val="00DA5CA9"/>
    <w:rsid w:val="00DA5D89"/>
    <w:rsid w:val="00DA60CD"/>
    <w:rsid w:val="00DA7413"/>
    <w:rsid w:val="00DA7A1E"/>
    <w:rsid w:val="00DA7AF0"/>
    <w:rsid w:val="00DA7EB4"/>
    <w:rsid w:val="00DA7F59"/>
    <w:rsid w:val="00DB0297"/>
    <w:rsid w:val="00DB032F"/>
    <w:rsid w:val="00DB2A42"/>
    <w:rsid w:val="00DB31B2"/>
    <w:rsid w:val="00DB36C1"/>
    <w:rsid w:val="00DB3996"/>
    <w:rsid w:val="00DB444D"/>
    <w:rsid w:val="00DB5C17"/>
    <w:rsid w:val="00DB653B"/>
    <w:rsid w:val="00DB6FF9"/>
    <w:rsid w:val="00DC18EC"/>
    <w:rsid w:val="00DC1AE2"/>
    <w:rsid w:val="00DC20DD"/>
    <w:rsid w:val="00DC3084"/>
    <w:rsid w:val="00DC33A0"/>
    <w:rsid w:val="00DC3684"/>
    <w:rsid w:val="00DC49F4"/>
    <w:rsid w:val="00DC5BF5"/>
    <w:rsid w:val="00DC646A"/>
    <w:rsid w:val="00DC727A"/>
    <w:rsid w:val="00DC7EEC"/>
    <w:rsid w:val="00DD00C0"/>
    <w:rsid w:val="00DD022D"/>
    <w:rsid w:val="00DD03A0"/>
    <w:rsid w:val="00DD367B"/>
    <w:rsid w:val="00DD568B"/>
    <w:rsid w:val="00DD793A"/>
    <w:rsid w:val="00DE0BD9"/>
    <w:rsid w:val="00DE1B5F"/>
    <w:rsid w:val="00DE3C7F"/>
    <w:rsid w:val="00DE41C7"/>
    <w:rsid w:val="00DE490B"/>
    <w:rsid w:val="00DE5422"/>
    <w:rsid w:val="00DE6A6B"/>
    <w:rsid w:val="00DF0E5B"/>
    <w:rsid w:val="00DF1C22"/>
    <w:rsid w:val="00DF20C3"/>
    <w:rsid w:val="00DF40F2"/>
    <w:rsid w:val="00DF5EB8"/>
    <w:rsid w:val="00DF642A"/>
    <w:rsid w:val="00DF6539"/>
    <w:rsid w:val="00E001D9"/>
    <w:rsid w:val="00E00626"/>
    <w:rsid w:val="00E01495"/>
    <w:rsid w:val="00E01C8B"/>
    <w:rsid w:val="00E037D7"/>
    <w:rsid w:val="00E0471A"/>
    <w:rsid w:val="00E04917"/>
    <w:rsid w:val="00E04C29"/>
    <w:rsid w:val="00E0545C"/>
    <w:rsid w:val="00E057FD"/>
    <w:rsid w:val="00E058C8"/>
    <w:rsid w:val="00E06AF8"/>
    <w:rsid w:val="00E07508"/>
    <w:rsid w:val="00E102E4"/>
    <w:rsid w:val="00E1196A"/>
    <w:rsid w:val="00E12C8E"/>
    <w:rsid w:val="00E12DFB"/>
    <w:rsid w:val="00E1353A"/>
    <w:rsid w:val="00E139E4"/>
    <w:rsid w:val="00E13E18"/>
    <w:rsid w:val="00E13E36"/>
    <w:rsid w:val="00E144E9"/>
    <w:rsid w:val="00E159CE"/>
    <w:rsid w:val="00E1662F"/>
    <w:rsid w:val="00E21053"/>
    <w:rsid w:val="00E220D5"/>
    <w:rsid w:val="00E23A2A"/>
    <w:rsid w:val="00E23CF3"/>
    <w:rsid w:val="00E23F5E"/>
    <w:rsid w:val="00E24923"/>
    <w:rsid w:val="00E25381"/>
    <w:rsid w:val="00E2702D"/>
    <w:rsid w:val="00E274AA"/>
    <w:rsid w:val="00E27AB9"/>
    <w:rsid w:val="00E27BD6"/>
    <w:rsid w:val="00E27E77"/>
    <w:rsid w:val="00E3174A"/>
    <w:rsid w:val="00E31B83"/>
    <w:rsid w:val="00E31C0F"/>
    <w:rsid w:val="00E34FD2"/>
    <w:rsid w:val="00E36373"/>
    <w:rsid w:val="00E366A5"/>
    <w:rsid w:val="00E37088"/>
    <w:rsid w:val="00E3733E"/>
    <w:rsid w:val="00E40BE0"/>
    <w:rsid w:val="00E4203B"/>
    <w:rsid w:val="00E42913"/>
    <w:rsid w:val="00E4381D"/>
    <w:rsid w:val="00E44FA1"/>
    <w:rsid w:val="00E4512C"/>
    <w:rsid w:val="00E45A23"/>
    <w:rsid w:val="00E45A3D"/>
    <w:rsid w:val="00E46DAE"/>
    <w:rsid w:val="00E47B8E"/>
    <w:rsid w:val="00E50ADC"/>
    <w:rsid w:val="00E51006"/>
    <w:rsid w:val="00E5238F"/>
    <w:rsid w:val="00E52DF4"/>
    <w:rsid w:val="00E52F0F"/>
    <w:rsid w:val="00E53C25"/>
    <w:rsid w:val="00E5531F"/>
    <w:rsid w:val="00E56D87"/>
    <w:rsid w:val="00E5726D"/>
    <w:rsid w:val="00E60C0C"/>
    <w:rsid w:val="00E61028"/>
    <w:rsid w:val="00E614A8"/>
    <w:rsid w:val="00E62BEF"/>
    <w:rsid w:val="00E64DC0"/>
    <w:rsid w:val="00E64FA9"/>
    <w:rsid w:val="00E65234"/>
    <w:rsid w:val="00E654A4"/>
    <w:rsid w:val="00E654AB"/>
    <w:rsid w:val="00E65766"/>
    <w:rsid w:val="00E66679"/>
    <w:rsid w:val="00E66C09"/>
    <w:rsid w:val="00E66D25"/>
    <w:rsid w:val="00E67DFC"/>
    <w:rsid w:val="00E71346"/>
    <w:rsid w:val="00E717E8"/>
    <w:rsid w:val="00E72AE8"/>
    <w:rsid w:val="00E72DF3"/>
    <w:rsid w:val="00E73183"/>
    <w:rsid w:val="00E74B90"/>
    <w:rsid w:val="00E766C5"/>
    <w:rsid w:val="00E76955"/>
    <w:rsid w:val="00E76DA4"/>
    <w:rsid w:val="00E776D2"/>
    <w:rsid w:val="00E77C7A"/>
    <w:rsid w:val="00E80775"/>
    <w:rsid w:val="00E80F1A"/>
    <w:rsid w:val="00E81ADF"/>
    <w:rsid w:val="00E82095"/>
    <w:rsid w:val="00E82E10"/>
    <w:rsid w:val="00E8384E"/>
    <w:rsid w:val="00E83B5C"/>
    <w:rsid w:val="00E83F8B"/>
    <w:rsid w:val="00E8453B"/>
    <w:rsid w:val="00E847D1"/>
    <w:rsid w:val="00E84F03"/>
    <w:rsid w:val="00E86B22"/>
    <w:rsid w:val="00E86F61"/>
    <w:rsid w:val="00E87AD7"/>
    <w:rsid w:val="00E87AD9"/>
    <w:rsid w:val="00E902B4"/>
    <w:rsid w:val="00E908BE"/>
    <w:rsid w:val="00E908FF"/>
    <w:rsid w:val="00E9137D"/>
    <w:rsid w:val="00E915B4"/>
    <w:rsid w:val="00E91A26"/>
    <w:rsid w:val="00E91E1A"/>
    <w:rsid w:val="00E922C5"/>
    <w:rsid w:val="00E9252C"/>
    <w:rsid w:val="00E92C9D"/>
    <w:rsid w:val="00E943DD"/>
    <w:rsid w:val="00E948F8"/>
    <w:rsid w:val="00E95015"/>
    <w:rsid w:val="00E9622A"/>
    <w:rsid w:val="00E96449"/>
    <w:rsid w:val="00E96618"/>
    <w:rsid w:val="00E97C88"/>
    <w:rsid w:val="00EA10CE"/>
    <w:rsid w:val="00EA180E"/>
    <w:rsid w:val="00EA36E0"/>
    <w:rsid w:val="00EA38F1"/>
    <w:rsid w:val="00EA391D"/>
    <w:rsid w:val="00EA4AFA"/>
    <w:rsid w:val="00EA50CC"/>
    <w:rsid w:val="00EB01EF"/>
    <w:rsid w:val="00EB07ED"/>
    <w:rsid w:val="00EB0B34"/>
    <w:rsid w:val="00EB28F7"/>
    <w:rsid w:val="00EB2B17"/>
    <w:rsid w:val="00EB35D3"/>
    <w:rsid w:val="00EB38C0"/>
    <w:rsid w:val="00EB547B"/>
    <w:rsid w:val="00EB6D2E"/>
    <w:rsid w:val="00EB6FE1"/>
    <w:rsid w:val="00EB7758"/>
    <w:rsid w:val="00EC14D4"/>
    <w:rsid w:val="00EC35B2"/>
    <w:rsid w:val="00EC4CE0"/>
    <w:rsid w:val="00EC591C"/>
    <w:rsid w:val="00EC5D0E"/>
    <w:rsid w:val="00EC6193"/>
    <w:rsid w:val="00EC71A2"/>
    <w:rsid w:val="00EC798A"/>
    <w:rsid w:val="00ED05B0"/>
    <w:rsid w:val="00ED06FB"/>
    <w:rsid w:val="00ED115A"/>
    <w:rsid w:val="00ED18D7"/>
    <w:rsid w:val="00ED2148"/>
    <w:rsid w:val="00ED4BF1"/>
    <w:rsid w:val="00ED5CB4"/>
    <w:rsid w:val="00ED6EEB"/>
    <w:rsid w:val="00EE07E0"/>
    <w:rsid w:val="00EE0A7C"/>
    <w:rsid w:val="00EE1F98"/>
    <w:rsid w:val="00EE38A4"/>
    <w:rsid w:val="00EE3E20"/>
    <w:rsid w:val="00EE40EF"/>
    <w:rsid w:val="00EE4794"/>
    <w:rsid w:val="00EE520E"/>
    <w:rsid w:val="00EE562C"/>
    <w:rsid w:val="00EE5673"/>
    <w:rsid w:val="00EE6A29"/>
    <w:rsid w:val="00EF0334"/>
    <w:rsid w:val="00EF04FB"/>
    <w:rsid w:val="00EF1390"/>
    <w:rsid w:val="00EF22C2"/>
    <w:rsid w:val="00EF2EB1"/>
    <w:rsid w:val="00EF3E49"/>
    <w:rsid w:val="00EF3EAF"/>
    <w:rsid w:val="00EF3FE6"/>
    <w:rsid w:val="00EF4641"/>
    <w:rsid w:val="00EF4B66"/>
    <w:rsid w:val="00EF5244"/>
    <w:rsid w:val="00EF5756"/>
    <w:rsid w:val="00EF63DB"/>
    <w:rsid w:val="00EF65A4"/>
    <w:rsid w:val="00EF66E5"/>
    <w:rsid w:val="00EF71ED"/>
    <w:rsid w:val="00EF782C"/>
    <w:rsid w:val="00F007C6"/>
    <w:rsid w:val="00F00F91"/>
    <w:rsid w:val="00F01BB8"/>
    <w:rsid w:val="00F02137"/>
    <w:rsid w:val="00F02A59"/>
    <w:rsid w:val="00F03F6B"/>
    <w:rsid w:val="00F04E23"/>
    <w:rsid w:val="00F054A2"/>
    <w:rsid w:val="00F058D0"/>
    <w:rsid w:val="00F05F16"/>
    <w:rsid w:val="00F079DC"/>
    <w:rsid w:val="00F1059C"/>
    <w:rsid w:val="00F11BCD"/>
    <w:rsid w:val="00F125D1"/>
    <w:rsid w:val="00F12EB1"/>
    <w:rsid w:val="00F13C1B"/>
    <w:rsid w:val="00F14184"/>
    <w:rsid w:val="00F148C4"/>
    <w:rsid w:val="00F14DAC"/>
    <w:rsid w:val="00F159CD"/>
    <w:rsid w:val="00F1672F"/>
    <w:rsid w:val="00F16A9B"/>
    <w:rsid w:val="00F16CDD"/>
    <w:rsid w:val="00F17149"/>
    <w:rsid w:val="00F21B44"/>
    <w:rsid w:val="00F22D71"/>
    <w:rsid w:val="00F23722"/>
    <w:rsid w:val="00F24E75"/>
    <w:rsid w:val="00F2602C"/>
    <w:rsid w:val="00F26554"/>
    <w:rsid w:val="00F27D2D"/>
    <w:rsid w:val="00F31FAA"/>
    <w:rsid w:val="00F32BE2"/>
    <w:rsid w:val="00F32CF3"/>
    <w:rsid w:val="00F34658"/>
    <w:rsid w:val="00F348CB"/>
    <w:rsid w:val="00F35164"/>
    <w:rsid w:val="00F352C9"/>
    <w:rsid w:val="00F361C8"/>
    <w:rsid w:val="00F3633B"/>
    <w:rsid w:val="00F3684F"/>
    <w:rsid w:val="00F37506"/>
    <w:rsid w:val="00F37C4F"/>
    <w:rsid w:val="00F41412"/>
    <w:rsid w:val="00F42435"/>
    <w:rsid w:val="00F424DE"/>
    <w:rsid w:val="00F42809"/>
    <w:rsid w:val="00F42C66"/>
    <w:rsid w:val="00F42E0F"/>
    <w:rsid w:val="00F439EE"/>
    <w:rsid w:val="00F43DA3"/>
    <w:rsid w:val="00F4407B"/>
    <w:rsid w:val="00F515A3"/>
    <w:rsid w:val="00F52015"/>
    <w:rsid w:val="00F55B14"/>
    <w:rsid w:val="00F56434"/>
    <w:rsid w:val="00F56CC8"/>
    <w:rsid w:val="00F57557"/>
    <w:rsid w:val="00F5788F"/>
    <w:rsid w:val="00F60DDF"/>
    <w:rsid w:val="00F614B1"/>
    <w:rsid w:val="00F61C4A"/>
    <w:rsid w:val="00F6385B"/>
    <w:rsid w:val="00F64307"/>
    <w:rsid w:val="00F645C3"/>
    <w:rsid w:val="00F646B8"/>
    <w:rsid w:val="00F6493B"/>
    <w:rsid w:val="00F65520"/>
    <w:rsid w:val="00F669A8"/>
    <w:rsid w:val="00F672F5"/>
    <w:rsid w:val="00F673B9"/>
    <w:rsid w:val="00F67940"/>
    <w:rsid w:val="00F702B9"/>
    <w:rsid w:val="00F7046B"/>
    <w:rsid w:val="00F70E50"/>
    <w:rsid w:val="00F71955"/>
    <w:rsid w:val="00F74919"/>
    <w:rsid w:val="00F7493E"/>
    <w:rsid w:val="00F74B8F"/>
    <w:rsid w:val="00F75469"/>
    <w:rsid w:val="00F764C9"/>
    <w:rsid w:val="00F765A2"/>
    <w:rsid w:val="00F77D10"/>
    <w:rsid w:val="00F77D1D"/>
    <w:rsid w:val="00F80BDF"/>
    <w:rsid w:val="00F81232"/>
    <w:rsid w:val="00F8179D"/>
    <w:rsid w:val="00F8299F"/>
    <w:rsid w:val="00F832E7"/>
    <w:rsid w:val="00F853BE"/>
    <w:rsid w:val="00F86E9F"/>
    <w:rsid w:val="00F87622"/>
    <w:rsid w:val="00F87919"/>
    <w:rsid w:val="00F92AF1"/>
    <w:rsid w:val="00F92B35"/>
    <w:rsid w:val="00F936B9"/>
    <w:rsid w:val="00F941C2"/>
    <w:rsid w:val="00F956B3"/>
    <w:rsid w:val="00F95CFE"/>
    <w:rsid w:val="00F96360"/>
    <w:rsid w:val="00F9697E"/>
    <w:rsid w:val="00F9791A"/>
    <w:rsid w:val="00F979B8"/>
    <w:rsid w:val="00FA004D"/>
    <w:rsid w:val="00FA1192"/>
    <w:rsid w:val="00FA27E8"/>
    <w:rsid w:val="00FA353C"/>
    <w:rsid w:val="00FA3F16"/>
    <w:rsid w:val="00FA433C"/>
    <w:rsid w:val="00FA4F82"/>
    <w:rsid w:val="00FA5750"/>
    <w:rsid w:val="00FA6548"/>
    <w:rsid w:val="00FB14E2"/>
    <w:rsid w:val="00FB1B91"/>
    <w:rsid w:val="00FB233C"/>
    <w:rsid w:val="00FB2562"/>
    <w:rsid w:val="00FB3CE6"/>
    <w:rsid w:val="00FB5474"/>
    <w:rsid w:val="00FB5F23"/>
    <w:rsid w:val="00FB61C3"/>
    <w:rsid w:val="00FB68E1"/>
    <w:rsid w:val="00FB6CD6"/>
    <w:rsid w:val="00FB6F8A"/>
    <w:rsid w:val="00FB712A"/>
    <w:rsid w:val="00FB7A1E"/>
    <w:rsid w:val="00FC00E8"/>
    <w:rsid w:val="00FC02CB"/>
    <w:rsid w:val="00FC16F4"/>
    <w:rsid w:val="00FC1B5B"/>
    <w:rsid w:val="00FC2ADB"/>
    <w:rsid w:val="00FC391F"/>
    <w:rsid w:val="00FC39E4"/>
    <w:rsid w:val="00FC4565"/>
    <w:rsid w:val="00FD02A9"/>
    <w:rsid w:val="00FD061B"/>
    <w:rsid w:val="00FD2617"/>
    <w:rsid w:val="00FD300B"/>
    <w:rsid w:val="00FD32D9"/>
    <w:rsid w:val="00FD38A5"/>
    <w:rsid w:val="00FD4304"/>
    <w:rsid w:val="00FD499F"/>
    <w:rsid w:val="00FD578E"/>
    <w:rsid w:val="00FD6829"/>
    <w:rsid w:val="00FD684D"/>
    <w:rsid w:val="00FD7268"/>
    <w:rsid w:val="00FE09B1"/>
    <w:rsid w:val="00FE2CEA"/>
    <w:rsid w:val="00FE2F26"/>
    <w:rsid w:val="00FE2F2F"/>
    <w:rsid w:val="00FE35E6"/>
    <w:rsid w:val="00FE41B3"/>
    <w:rsid w:val="00FE4AB7"/>
    <w:rsid w:val="00FE4CE2"/>
    <w:rsid w:val="00FE69A3"/>
    <w:rsid w:val="00FF0312"/>
    <w:rsid w:val="00FF1145"/>
    <w:rsid w:val="00FF161A"/>
    <w:rsid w:val="00FF1C90"/>
    <w:rsid w:val="00FF3DAA"/>
    <w:rsid w:val="00FF4606"/>
    <w:rsid w:val="00FF4789"/>
    <w:rsid w:val="00FF54FF"/>
    <w:rsid w:val="00FF5795"/>
    <w:rsid w:val="00FF5C98"/>
    <w:rsid w:val="00FF63F4"/>
    <w:rsid w:val="00FF6DE6"/>
    <w:rsid w:val="00FF7AA2"/>
    <w:rsid w:val="3AD4D19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91D0B"/>
  <w15:chartTrackingRefBased/>
  <w15:docId w15:val="{D6865531-074B-4BC4-9031-8507351A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301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C56F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C56F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C56F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30175"/>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C56FCC"/>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C56FCC"/>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C56FCC"/>
    <w:rPr>
      <w:rFonts w:asciiTheme="majorHAnsi" w:eastAsiaTheme="majorEastAsia" w:hAnsiTheme="majorHAnsi" w:cstheme="majorBidi"/>
      <w:i/>
      <w:iCs/>
      <w:color w:val="2F5496" w:themeColor="accent1" w:themeShade="BF"/>
    </w:rPr>
  </w:style>
  <w:style w:type="paragraph" w:styleId="Nessunaspaziatura">
    <w:name w:val="No Spacing"/>
    <w:link w:val="NessunaspaziaturaCarattere"/>
    <w:uiPriority w:val="1"/>
    <w:qFormat/>
    <w:rsid w:val="00B26CE2"/>
    <w:pPr>
      <w:spacing w:after="0" w:line="240" w:lineRule="auto"/>
    </w:pPr>
    <w:rPr>
      <w:color w:val="44546A" w:themeColor="text2"/>
      <w:sz w:val="20"/>
      <w:szCs w:val="20"/>
    </w:rPr>
  </w:style>
  <w:style w:type="character" w:customStyle="1" w:styleId="NessunaspaziaturaCarattere">
    <w:name w:val="Nessuna spaziatura Carattere"/>
    <w:basedOn w:val="Carpredefinitoparagrafo"/>
    <w:link w:val="Nessunaspaziatura"/>
    <w:uiPriority w:val="1"/>
    <w:rsid w:val="00614091"/>
    <w:rPr>
      <w:color w:val="44546A" w:themeColor="text2"/>
      <w:sz w:val="20"/>
      <w:szCs w:val="20"/>
    </w:rPr>
  </w:style>
  <w:style w:type="paragraph" w:styleId="Sottotitolo">
    <w:name w:val="Subtitle"/>
    <w:basedOn w:val="Normale"/>
    <w:next w:val="Normale"/>
    <w:link w:val="SottotitoloCarattere"/>
    <w:uiPriority w:val="11"/>
    <w:qFormat/>
    <w:rsid w:val="00022F9A"/>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022F9A"/>
    <w:rPr>
      <w:rFonts w:eastAsiaTheme="minorEastAsia"/>
      <w:color w:val="5A5A5A" w:themeColor="text1" w:themeTint="A5"/>
      <w:spacing w:val="15"/>
    </w:rPr>
  </w:style>
  <w:style w:type="paragraph" w:styleId="Titolosommario">
    <w:name w:val="TOC Heading"/>
    <w:basedOn w:val="Titolo1"/>
    <w:next w:val="Normale"/>
    <w:uiPriority w:val="39"/>
    <w:unhideWhenUsed/>
    <w:qFormat/>
    <w:rsid w:val="00C56FCC"/>
    <w:pPr>
      <w:outlineLvl w:val="9"/>
    </w:pPr>
  </w:style>
  <w:style w:type="paragraph" w:styleId="Sommario1">
    <w:name w:val="toc 1"/>
    <w:basedOn w:val="Normale"/>
    <w:next w:val="Normale"/>
    <w:autoRedefine/>
    <w:uiPriority w:val="39"/>
    <w:unhideWhenUsed/>
    <w:rsid w:val="00427127"/>
    <w:pPr>
      <w:spacing w:after="100" w:line="360" w:lineRule="auto"/>
      <w:jc w:val="both"/>
    </w:pPr>
    <w:rPr>
      <w:rFonts w:ascii="Garamond" w:hAnsi="Garamond"/>
    </w:rPr>
  </w:style>
  <w:style w:type="character" w:styleId="Collegamentoipertestuale">
    <w:name w:val="Hyperlink"/>
    <w:basedOn w:val="Carpredefinitoparagrafo"/>
    <w:uiPriority w:val="99"/>
    <w:unhideWhenUsed/>
    <w:rsid w:val="00C56FCC"/>
    <w:rPr>
      <w:color w:val="0563C1" w:themeColor="hyperlink"/>
      <w:u w:val="single"/>
    </w:rPr>
  </w:style>
  <w:style w:type="paragraph" w:styleId="Didascalia">
    <w:name w:val="caption"/>
    <w:basedOn w:val="Normale"/>
    <w:next w:val="Normale"/>
    <w:uiPriority w:val="35"/>
    <w:unhideWhenUsed/>
    <w:qFormat/>
    <w:rsid w:val="00C56FCC"/>
    <w:pPr>
      <w:spacing w:after="200" w:line="240" w:lineRule="auto"/>
    </w:pPr>
    <w:rPr>
      <w:rFonts w:eastAsiaTheme="minorEastAsia"/>
      <w:i/>
      <w:iCs/>
      <w:color w:val="44546A" w:themeColor="text2"/>
      <w:sz w:val="18"/>
      <w:szCs w:val="18"/>
      <w:lang w:val="en-IN"/>
    </w:rPr>
  </w:style>
  <w:style w:type="paragraph" w:styleId="PreformattatoHTML">
    <w:name w:val="HTML Preformatted"/>
    <w:basedOn w:val="Normale"/>
    <w:link w:val="PreformattatoHTMLCarattere"/>
    <w:uiPriority w:val="99"/>
    <w:unhideWhenUsed/>
    <w:rsid w:val="00C5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56FCC"/>
    <w:rPr>
      <w:rFonts w:ascii="Courier New" w:eastAsia="Times New Roman" w:hAnsi="Courier New" w:cs="Courier New"/>
      <w:sz w:val="20"/>
      <w:szCs w:val="20"/>
    </w:rPr>
  </w:style>
  <w:style w:type="paragraph" w:styleId="Paragrafoelenco">
    <w:name w:val="List Paragraph"/>
    <w:basedOn w:val="Normale"/>
    <w:uiPriority w:val="34"/>
    <w:qFormat/>
    <w:rsid w:val="00C56FCC"/>
    <w:pPr>
      <w:spacing w:before="100" w:after="200" w:line="276" w:lineRule="auto"/>
      <w:ind w:left="720"/>
      <w:contextualSpacing/>
    </w:pPr>
    <w:rPr>
      <w:rFonts w:eastAsiaTheme="minorEastAsia"/>
      <w:sz w:val="20"/>
      <w:szCs w:val="20"/>
      <w:lang w:val="en-IN"/>
    </w:rPr>
  </w:style>
  <w:style w:type="paragraph" w:styleId="NormaleWeb">
    <w:name w:val="Normal (Web)"/>
    <w:basedOn w:val="Normale"/>
    <w:uiPriority w:val="99"/>
    <w:unhideWhenUsed/>
    <w:rsid w:val="00C56FCC"/>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C56FCC"/>
    <w:rPr>
      <w:i/>
      <w:iCs/>
    </w:rPr>
  </w:style>
  <w:style w:type="table" w:styleId="Grigliatabella">
    <w:name w:val="Table Grid"/>
    <w:basedOn w:val="Tabellanormale"/>
    <w:uiPriority w:val="39"/>
    <w:rsid w:val="00BE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614091"/>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614091"/>
  </w:style>
  <w:style w:type="paragraph" w:styleId="Pidipagina">
    <w:name w:val="footer"/>
    <w:basedOn w:val="Normale"/>
    <w:link w:val="PidipaginaCarattere"/>
    <w:uiPriority w:val="99"/>
    <w:unhideWhenUsed/>
    <w:rsid w:val="00614091"/>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614091"/>
  </w:style>
  <w:style w:type="paragraph" w:styleId="Titolo">
    <w:name w:val="Title"/>
    <w:basedOn w:val="Normale"/>
    <w:next w:val="Normale"/>
    <w:link w:val="TitoloCarattere"/>
    <w:uiPriority w:val="10"/>
    <w:qFormat/>
    <w:rsid w:val="006140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14091"/>
    <w:rPr>
      <w:rFonts w:asciiTheme="majorHAnsi" w:eastAsiaTheme="majorEastAsia" w:hAnsiTheme="majorHAnsi" w:cstheme="majorBidi"/>
      <w:spacing w:val="-10"/>
      <w:kern w:val="28"/>
      <w:sz w:val="56"/>
      <w:szCs w:val="56"/>
    </w:rPr>
  </w:style>
  <w:style w:type="paragraph" w:styleId="Sommario2">
    <w:name w:val="toc 2"/>
    <w:basedOn w:val="Normale"/>
    <w:next w:val="Normale"/>
    <w:autoRedefine/>
    <w:uiPriority w:val="39"/>
    <w:unhideWhenUsed/>
    <w:rsid w:val="00614091"/>
    <w:pPr>
      <w:spacing w:after="100"/>
      <w:ind w:left="220"/>
    </w:pPr>
    <w:rPr>
      <w:rFonts w:eastAsiaTheme="minorEastAsia" w:cs="Times New Roman"/>
    </w:rPr>
  </w:style>
  <w:style w:type="paragraph" w:styleId="Sommario3">
    <w:name w:val="toc 3"/>
    <w:basedOn w:val="Normale"/>
    <w:next w:val="Normale"/>
    <w:autoRedefine/>
    <w:uiPriority w:val="39"/>
    <w:unhideWhenUsed/>
    <w:rsid w:val="00614091"/>
    <w:pPr>
      <w:spacing w:after="100"/>
      <w:ind w:left="440"/>
    </w:pPr>
    <w:rPr>
      <w:rFonts w:eastAsiaTheme="minorEastAsia" w:cs="Times New Roman"/>
    </w:rPr>
  </w:style>
  <w:style w:type="table" w:styleId="Tabellagriglia1chiara">
    <w:name w:val="Grid Table 1 Light"/>
    <w:basedOn w:val="Tabellanormale"/>
    <w:uiPriority w:val="46"/>
    <w:rsid w:val="006140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zionenonrisolta">
    <w:name w:val="Unresolved Mention"/>
    <w:basedOn w:val="Carpredefinitoparagrafo"/>
    <w:uiPriority w:val="99"/>
    <w:semiHidden/>
    <w:unhideWhenUsed/>
    <w:rsid w:val="00614091"/>
    <w:rPr>
      <w:color w:val="605E5C"/>
      <w:shd w:val="clear" w:color="auto" w:fill="E1DFDD"/>
    </w:rPr>
  </w:style>
  <w:style w:type="paragraph" w:styleId="Indicedellefigure">
    <w:name w:val="table of figures"/>
    <w:basedOn w:val="Normale"/>
    <w:next w:val="Normale"/>
    <w:uiPriority w:val="99"/>
    <w:unhideWhenUsed/>
    <w:rsid w:val="00614091"/>
    <w:pPr>
      <w:spacing w:after="0"/>
    </w:pPr>
  </w:style>
  <w:style w:type="character" w:styleId="Enfasigrassetto">
    <w:name w:val="Strong"/>
    <w:basedOn w:val="Carpredefinitoparagrafo"/>
    <w:uiPriority w:val="22"/>
    <w:qFormat/>
    <w:rsid w:val="00614091"/>
    <w:rPr>
      <w:b/>
      <w:bCs/>
    </w:rPr>
  </w:style>
  <w:style w:type="paragraph" w:styleId="Sommario4">
    <w:name w:val="toc 4"/>
    <w:basedOn w:val="Normale"/>
    <w:next w:val="Normale"/>
    <w:autoRedefine/>
    <w:uiPriority w:val="39"/>
    <w:unhideWhenUsed/>
    <w:rsid w:val="00614091"/>
    <w:pPr>
      <w:spacing w:after="100"/>
      <w:ind w:left="660"/>
    </w:pPr>
    <w:rPr>
      <w:rFonts w:eastAsiaTheme="minorEastAsia"/>
    </w:rPr>
  </w:style>
  <w:style w:type="paragraph" w:styleId="Sommario5">
    <w:name w:val="toc 5"/>
    <w:basedOn w:val="Normale"/>
    <w:next w:val="Normale"/>
    <w:autoRedefine/>
    <w:uiPriority w:val="39"/>
    <w:unhideWhenUsed/>
    <w:rsid w:val="00614091"/>
    <w:pPr>
      <w:spacing w:after="100"/>
      <w:ind w:left="880"/>
    </w:pPr>
    <w:rPr>
      <w:rFonts w:eastAsiaTheme="minorEastAsia"/>
    </w:rPr>
  </w:style>
  <w:style w:type="paragraph" w:styleId="Sommario6">
    <w:name w:val="toc 6"/>
    <w:basedOn w:val="Normale"/>
    <w:next w:val="Normale"/>
    <w:autoRedefine/>
    <w:uiPriority w:val="39"/>
    <w:unhideWhenUsed/>
    <w:rsid w:val="00614091"/>
    <w:pPr>
      <w:spacing w:after="100"/>
      <w:ind w:left="1100"/>
    </w:pPr>
    <w:rPr>
      <w:rFonts w:eastAsiaTheme="minorEastAsia"/>
    </w:rPr>
  </w:style>
  <w:style w:type="paragraph" w:styleId="Sommario7">
    <w:name w:val="toc 7"/>
    <w:basedOn w:val="Normale"/>
    <w:next w:val="Normale"/>
    <w:autoRedefine/>
    <w:uiPriority w:val="39"/>
    <w:unhideWhenUsed/>
    <w:rsid w:val="00614091"/>
    <w:pPr>
      <w:spacing w:after="100"/>
      <w:ind w:left="1320"/>
    </w:pPr>
    <w:rPr>
      <w:rFonts w:eastAsiaTheme="minorEastAsia"/>
    </w:rPr>
  </w:style>
  <w:style w:type="paragraph" w:styleId="Sommario8">
    <w:name w:val="toc 8"/>
    <w:basedOn w:val="Normale"/>
    <w:next w:val="Normale"/>
    <w:autoRedefine/>
    <w:uiPriority w:val="39"/>
    <w:unhideWhenUsed/>
    <w:rsid w:val="00614091"/>
    <w:pPr>
      <w:spacing w:after="100"/>
      <w:ind w:left="1540"/>
    </w:pPr>
    <w:rPr>
      <w:rFonts w:eastAsiaTheme="minorEastAsia"/>
    </w:rPr>
  </w:style>
  <w:style w:type="paragraph" w:styleId="Sommario9">
    <w:name w:val="toc 9"/>
    <w:basedOn w:val="Normale"/>
    <w:next w:val="Normale"/>
    <w:autoRedefine/>
    <w:uiPriority w:val="39"/>
    <w:unhideWhenUsed/>
    <w:rsid w:val="00614091"/>
    <w:pPr>
      <w:spacing w:after="100"/>
      <w:ind w:left="1760"/>
    </w:pPr>
    <w:rPr>
      <w:rFonts w:eastAsiaTheme="minorEastAsia"/>
    </w:rPr>
  </w:style>
  <w:style w:type="paragraph" w:customStyle="1" w:styleId="ListParagraphPHPDOCX">
    <w:name w:val="List Paragraph PHPDOCX"/>
    <w:basedOn w:val="Normale"/>
    <w:uiPriority w:val="34"/>
    <w:qFormat/>
    <w:rsid w:val="00614091"/>
    <w:pPr>
      <w:spacing w:after="200" w:line="276" w:lineRule="auto"/>
      <w:ind w:left="720"/>
      <w:contextualSpacing/>
    </w:pPr>
  </w:style>
  <w:style w:type="table" w:customStyle="1" w:styleId="NormalTablePHPDOCX">
    <w:name w:val="Normal Table PHPDOCX"/>
    <w:uiPriority w:val="99"/>
    <w:semiHidden/>
    <w:qFormat/>
    <w:rsid w:val="00614091"/>
    <w:pPr>
      <w:spacing w:after="200" w:line="276" w:lineRule="auto"/>
    </w:pPr>
    <w:tblPr>
      <w:tblCellMar>
        <w:top w:w="0" w:type="dxa"/>
        <w:left w:w="108" w:type="dxa"/>
        <w:bottom w:w="0" w:type="dxa"/>
        <w:right w:w="108" w:type="dxa"/>
      </w:tblCellMar>
    </w:tblPr>
  </w:style>
  <w:style w:type="character" w:styleId="Collegamentovisitato">
    <w:name w:val="FollowedHyperlink"/>
    <w:basedOn w:val="Carpredefinitoparagrafo"/>
    <w:uiPriority w:val="99"/>
    <w:semiHidden/>
    <w:unhideWhenUsed/>
    <w:rsid w:val="00614091"/>
    <w:rPr>
      <w:color w:val="954F72" w:themeColor="followedHyperlink"/>
      <w:u w:val="single"/>
    </w:rPr>
  </w:style>
  <w:style w:type="character" w:styleId="Rimandocommento">
    <w:name w:val="annotation reference"/>
    <w:basedOn w:val="Carpredefinitoparagrafo"/>
    <w:uiPriority w:val="99"/>
    <w:semiHidden/>
    <w:unhideWhenUsed/>
    <w:rsid w:val="00C233FD"/>
    <w:rPr>
      <w:sz w:val="16"/>
      <w:szCs w:val="16"/>
    </w:rPr>
  </w:style>
  <w:style w:type="paragraph" w:styleId="Testocommento">
    <w:name w:val="annotation text"/>
    <w:basedOn w:val="Normale"/>
    <w:link w:val="TestocommentoCarattere"/>
    <w:uiPriority w:val="99"/>
    <w:unhideWhenUsed/>
    <w:rsid w:val="00C233FD"/>
    <w:pPr>
      <w:spacing w:line="240" w:lineRule="auto"/>
    </w:pPr>
    <w:rPr>
      <w:sz w:val="20"/>
      <w:szCs w:val="20"/>
    </w:rPr>
  </w:style>
  <w:style w:type="character" w:customStyle="1" w:styleId="TestocommentoCarattere">
    <w:name w:val="Testo commento Carattere"/>
    <w:basedOn w:val="Carpredefinitoparagrafo"/>
    <w:link w:val="Testocommento"/>
    <w:uiPriority w:val="99"/>
    <w:rsid w:val="00C233FD"/>
    <w:rPr>
      <w:sz w:val="20"/>
      <w:szCs w:val="20"/>
    </w:rPr>
  </w:style>
  <w:style w:type="character" w:customStyle="1" w:styleId="cf01">
    <w:name w:val="cf01"/>
    <w:basedOn w:val="Carpredefinitoparagrafo"/>
    <w:rsid w:val="00C233FD"/>
    <w:rPr>
      <w:rFonts w:ascii="Segoe UI" w:hAnsi="Segoe UI" w:cs="Segoe UI" w:hint="default"/>
      <w:sz w:val="18"/>
      <w:szCs w:val="18"/>
    </w:rPr>
  </w:style>
  <w:style w:type="character" w:customStyle="1" w:styleId="supcontent">
    <w:name w:val="sup_content"/>
    <w:basedOn w:val="Carpredefinitoparagrafo"/>
    <w:rsid w:val="006B0C54"/>
  </w:style>
  <w:style w:type="table" w:styleId="Tabellasemplice-3">
    <w:name w:val="Plain Table 3"/>
    <w:basedOn w:val="Tabellanormale"/>
    <w:uiPriority w:val="43"/>
    <w:rsid w:val="003E43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4-colore1">
    <w:name w:val="Grid Table 4 Accent 1"/>
    <w:basedOn w:val="Tabellanormale"/>
    <w:uiPriority w:val="49"/>
    <w:rsid w:val="0072349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SJOMText">
    <w:name w:val="5 -SJOM Text"/>
    <w:basedOn w:val="Normale"/>
    <w:qFormat/>
    <w:rsid w:val="000D45C7"/>
    <w:pPr>
      <w:spacing w:line="240" w:lineRule="auto"/>
      <w:jc w:val="both"/>
    </w:pPr>
    <w:rPr>
      <w:rFonts w:ascii="Garamond" w:eastAsia="Calibri" w:hAnsi="Garamond" w:cs="Arial"/>
      <w:sz w:val="24"/>
    </w:rPr>
  </w:style>
  <w:style w:type="paragraph" w:styleId="Soggettocommento">
    <w:name w:val="annotation subject"/>
    <w:basedOn w:val="Testocommento"/>
    <w:next w:val="Testocommento"/>
    <w:link w:val="SoggettocommentoCarattere"/>
    <w:uiPriority w:val="99"/>
    <w:semiHidden/>
    <w:unhideWhenUsed/>
    <w:rsid w:val="00B666C7"/>
    <w:rPr>
      <w:b/>
      <w:bCs/>
    </w:rPr>
  </w:style>
  <w:style w:type="character" w:customStyle="1" w:styleId="SoggettocommentoCarattere">
    <w:name w:val="Soggetto commento Carattere"/>
    <w:basedOn w:val="TestocommentoCarattere"/>
    <w:link w:val="Soggettocommento"/>
    <w:uiPriority w:val="99"/>
    <w:semiHidden/>
    <w:rsid w:val="00B666C7"/>
    <w:rPr>
      <w:b/>
      <w:bCs/>
      <w:sz w:val="20"/>
      <w:szCs w:val="20"/>
    </w:rPr>
  </w:style>
  <w:style w:type="table" w:customStyle="1" w:styleId="GridTable1Light1">
    <w:name w:val="Grid Table 1 Light1"/>
    <w:basedOn w:val="Tabellanormale"/>
    <w:uiPriority w:val="46"/>
    <w:rsid w:val="00E56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Carpredefinitoparagrafo"/>
    <w:uiPriority w:val="99"/>
    <w:semiHidden/>
    <w:unhideWhenUsed/>
    <w:rsid w:val="00E56D87"/>
    <w:rPr>
      <w:color w:val="605E5C"/>
      <w:shd w:val="clear" w:color="auto" w:fill="E1DFDD"/>
    </w:rPr>
  </w:style>
  <w:style w:type="table" w:customStyle="1" w:styleId="PlainTable31">
    <w:name w:val="Plain Table 31"/>
    <w:basedOn w:val="Tabellanormale"/>
    <w:uiPriority w:val="43"/>
    <w:rsid w:val="00E56D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ellanormale"/>
    <w:uiPriority w:val="49"/>
    <w:rsid w:val="00E56D8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stofumetto">
    <w:name w:val="Balloon Text"/>
    <w:basedOn w:val="Normale"/>
    <w:link w:val="TestofumettoCarattere"/>
    <w:uiPriority w:val="99"/>
    <w:semiHidden/>
    <w:unhideWhenUsed/>
    <w:rsid w:val="00E56D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6D87"/>
    <w:rPr>
      <w:rFonts w:ascii="Tahoma" w:hAnsi="Tahoma" w:cs="Tahoma"/>
      <w:sz w:val="16"/>
      <w:szCs w:val="16"/>
    </w:rPr>
  </w:style>
  <w:style w:type="paragraph" w:styleId="Corpotesto">
    <w:name w:val="Body Text"/>
    <w:basedOn w:val="Normale"/>
    <w:link w:val="CorpotestoCarattere"/>
    <w:uiPriority w:val="1"/>
    <w:qFormat/>
    <w:rsid w:val="009C50B5"/>
    <w:pPr>
      <w:widowControl w:val="0"/>
      <w:autoSpaceDE w:val="0"/>
      <w:autoSpaceDN w:val="0"/>
      <w:spacing w:after="0" w:line="240" w:lineRule="auto"/>
    </w:pPr>
    <w:rPr>
      <w:rFonts w:ascii="Times New Roman" w:eastAsia="Times New Roman" w:hAnsi="Times New Roman" w:cs="Times New Roman"/>
      <w:sz w:val="18"/>
      <w:szCs w:val="18"/>
      <w:lang w:val="it-IT"/>
    </w:rPr>
  </w:style>
  <w:style w:type="character" w:customStyle="1" w:styleId="CorpotestoCarattere">
    <w:name w:val="Corpo testo Carattere"/>
    <w:basedOn w:val="Carpredefinitoparagrafo"/>
    <w:link w:val="Corpotesto"/>
    <w:uiPriority w:val="1"/>
    <w:rsid w:val="009C50B5"/>
    <w:rPr>
      <w:rFonts w:ascii="Times New Roman" w:eastAsia="Times New Roman" w:hAnsi="Times New Roman" w:cs="Times New Roman"/>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chart" Target="charts/chart1.xml"/><Relationship Id="rId8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69.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0.jpe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image" Target="media/image62.png"/><Relationship Id="rId75" Type="http://schemas.openxmlformats.org/officeDocument/2006/relationships/image" Target="media/image67.jpeg"/><Relationship Id="rId83" Type="http://schemas.microsoft.com/office/2007/relationships/hdphoto" Target="NUL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Survey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93-4AAF-873D-B268649222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93-4AAF-873D-B268649222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93-4AAF-873D-B268649222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93-4AAF-873D-B268649222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793-4AAF-873D-B268649222A6}"/>
              </c:ext>
            </c:extLst>
          </c:dPt>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60.9</c:v>
                </c:pt>
                <c:pt idx="1">
                  <c:v>34.799999999999997</c:v>
                </c:pt>
                <c:pt idx="2">
                  <c:v>4.3</c:v>
                </c:pt>
                <c:pt idx="3">
                  <c:v>0</c:v>
                </c:pt>
                <c:pt idx="4">
                  <c:v>0</c:v>
                </c:pt>
              </c:numCache>
            </c:numRef>
          </c:val>
          <c:extLst>
            <c:ext xmlns:c16="http://schemas.microsoft.com/office/drawing/2014/chart" uri="{C3380CC4-5D6E-409C-BE32-E72D297353CC}">
              <c16:uniqueId val="{0000000A-1793-4AAF-873D-B268649222A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Role of Technology</c:v>
                </c:pt>
              </c:strCache>
            </c:strRef>
          </c:tx>
          <c:spPr>
            <a:solidFill>
              <a:schemeClr val="accent1"/>
            </a:solidFill>
            <a:ln>
              <a:noFill/>
            </a:ln>
            <a:effectLst/>
            <a:sp3d/>
          </c:spPr>
          <c:invertIfNegative val="0"/>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8.6999999999999993</c:v>
                </c:pt>
                <c:pt idx="1">
                  <c:v>26.1</c:v>
                </c:pt>
                <c:pt idx="2">
                  <c:v>43.5</c:v>
                </c:pt>
                <c:pt idx="3">
                  <c:v>13</c:v>
                </c:pt>
                <c:pt idx="4">
                  <c:v>8.6999999999999993</c:v>
                </c:pt>
              </c:numCache>
            </c:numRef>
          </c:val>
          <c:extLst>
            <c:ext xmlns:c16="http://schemas.microsoft.com/office/drawing/2014/chart" uri="{C3380CC4-5D6E-409C-BE32-E72D297353CC}">
              <c16:uniqueId val="{00000000-2F90-4BFD-A1F0-AF994AA97DB3}"/>
            </c:ext>
          </c:extLst>
        </c:ser>
        <c:dLbls>
          <c:showLegendKey val="0"/>
          <c:showVal val="0"/>
          <c:showCatName val="0"/>
          <c:showSerName val="0"/>
          <c:showPercent val="0"/>
          <c:showBubbleSize val="0"/>
        </c:dLbls>
        <c:gapWidth val="150"/>
        <c:shape val="box"/>
        <c:axId val="230842752"/>
        <c:axId val="230844288"/>
        <c:axId val="0"/>
      </c:bar3DChart>
      <c:catAx>
        <c:axId val="23084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30844288"/>
        <c:crosses val="autoZero"/>
        <c:auto val="1"/>
        <c:lblAlgn val="ctr"/>
        <c:lblOffset val="100"/>
        <c:noMultiLvlLbl val="0"/>
      </c:catAx>
      <c:valAx>
        <c:axId val="23084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3084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B13BA6-0C6D-43E5-A9A6-2D0DC6B5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63</Pages>
  <Words>230758</Words>
  <Characters>1315325</Characters>
  <Application>Microsoft Office Word</Application>
  <DocSecurity>0</DocSecurity>
  <Lines>10961</Lines>
  <Paragraphs>3085</Paragraphs>
  <ScaleCrop>false</ScaleCrop>
  <HeadingPairs>
    <vt:vector size="6" baseType="variant">
      <vt:variant>
        <vt:lpstr>Title</vt:lpstr>
      </vt:variant>
      <vt:variant>
        <vt:i4>1</vt:i4>
      </vt:variant>
      <vt:variant>
        <vt:lpstr>Headings</vt:lpstr>
      </vt:variant>
      <vt:variant>
        <vt:i4>1</vt:i4>
      </vt:variant>
      <vt:variant>
        <vt:lpstr>Titolo</vt:lpstr>
      </vt:variant>
      <vt:variant>
        <vt:i4>1</vt:i4>
      </vt:variant>
    </vt:vector>
  </HeadingPairs>
  <TitlesOfParts>
    <vt:vector size="3" baseType="lpstr">
      <vt:lpstr>Augmenting Psychological Well-being using Artificial Intelligence</vt:lpstr>
      <vt:lpstr>INTRODUCTION	</vt:lpstr>
      <vt:lpstr>Augmenting Psychological Well-being using Artificial Intelligence</vt:lpstr>
    </vt:vector>
  </TitlesOfParts>
  <Manager>Cristina Mele</Manager>
  <Company/>
  <LinksUpToDate>false</LinksUpToDate>
  <CharactersWithSpaces>1542998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Augmenting Psychological Well-being using Artificial Intelligence</dc:title>
  <dc:subject>Reflections on Workplace Productivity</dc:subject>
  <dc:creator>Swapnil Morande</dc:creator>
  <cp:keywords>University of Naples;Thesis;PON</cp:keywords>
  <dc:description/>
  <cp:lastModifiedBy>CAB106</cp:lastModifiedBy>
  <cp:revision>2</cp:revision>
  <cp:lastPrinted>2022-07-02T06:32:00Z</cp:lastPrinted>
  <dcterms:created xsi:type="dcterms:W3CDTF">2024-02-02T12:00:00Z</dcterms:created>
  <dcterms:modified xsi:type="dcterms:W3CDTF">2024-02-02T12:00:00Z</dcterms:modified>
  <cp:category>University of Naples, Italy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a740dbb8-1492-36cf-80d7-633cc277193b</vt:lpwstr>
  </property>
  <property fmtid="{D5CDD505-2E9C-101B-9397-08002B2CF9AE}" pid="24" name="Mendeley Citation Style_1">
    <vt:lpwstr>http://www.zotero.org/styles/apa</vt:lpwstr>
  </property>
</Properties>
</file>